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61790">
      <w:pPr>
        <w:pStyle w:val="NormalWeb"/>
        <w:rPr>
          <w:lang w:val="es-ES"/>
        </w:rPr>
      </w:pPr>
      <w:bookmarkStart w:id="0" w:name="_GoBack"/>
      <w:bookmarkEnd w:id="0"/>
      <w:r>
        <w:rPr>
          <w:b/>
          <w:bCs/>
          <w:lang w:val="es-ES"/>
        </w:rPr>
        <w:t>Registro Oficial No. 547 , 3 de Octubre 2011</w:t>
      </w:r>
    </w:p>
    <w:p w:rsidR="00000000" w:rsidRDefault="00261790">
      <w:pPr>
        <w:pStyle w:val="NormalWeb"/>
        <w:rPr>
          <w:lang w:val="es-ES"/>
        </w:rPr>
      </w:pPr>
      <w:r>
        <w:rPr>
          <w:b/>
          <w:bCs/>
          <w:lang w:val="es-ES"/>
        </w:rPr>
        <w:t>Normativa:</w:t>
      </w:r>
      <w:r>
        <w:rPr>
          <w:lang w:val="es-ES"/>
        </w:rPr>
        <w:t xml:space="preserve"> Vigente</w:t>
      </w:r>
    </w:p>
    <w:p w:rsidR="00261790" w:rsidRDefault="00261790">
      <w:pPr>
        <w:rPr>
          <w:rFonts w:eastAsia="Times New Roman"/>
          <w:lang w:val="es-ES"/>
        </w:rPr>
      </w:pPr>
      <w:r>
        <w:rPr>
          <w:rFonts w:eastAsia="Times New Roman"/>
          <w:lang w:val="es-ES"/>
        </w:rPr>
        <w:br/>
      </w:r>
      <w:r>
        <w:rPr>
          <w:rFonts w:eastAsia="Times New Roman"/>
          <w:lang w:val="es-ES"/>
        </w:rPr>
        <w:br/>
        <w:t>ACUERDO DE COOPERACIÓN ENTRE LA PROCURADURÍA GENERAL DE LA REPÚBLICA DOMINICANA (PGR) Y EL MINISTERIO DE JUSTICIA, DERECHOS HUMANOS Y CULTOS DE LA REPÚBLICA DE ECUADOR</w:t>
      </w:r>
      <w:r>
        <w:rPr>
          <w:rFonts w:eastAsia="Times New Roman"/>
          <w:sz w:val="30"/>
          <w:szCs w:val="30"/>
          <w:lang w:val="es-ES"/>
        </w:rPr>
        <w:br/>
      </w:r>
      <w:r>
        <w:rPr>
          <w:rFonts w:eastAsia="Times New Roman"/>
          <w:sz w:val="30"/>
          <w:szCs w:val="30"/>
          <w:lang w:val="es-ES"/>
        </w:rPr>
        <w:br/>
      </w:r>
      <w:r>
        <w:rPr>
          <w:rFonts w:eastAsia="Times New Roman"/>
          <w:sz w:val="30"/>
          <w:szCs w:val="30"/>
          <w:lang w:val="es-ES"/>
        </w:rPr>
        <w:t>MINISTERIO DE RELACIONES EXTERIORES, COMERCIO E INTEGRACIÓN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 de agosto del 2011 Santo Domingo, Distrito Nacional República Dominicana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ACUERDO DE COOPERACIÓN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ENTRE: </w:t>
      </w:r>
      <w:r>
        <w:rPr>
          <w:rFonts w:eastAsia="Times New Roman"/>
          <w:sz w:val="30"/>
          <w:szCs w:val="30"/>
          <w:lang w:val="es-ES"/>
        </w:rPr>
        <w:t xml:space="preserve">De una parte, la </w:t>
      </w:r>
      <w:r>
        <w:rPr>
          <w:rFonts w:eastAsia="Times New Roman"/>
          <w:b/>
          <w:bCs/>
          <w:sz w:val="30"/>
          <w:szCs w:val="30"/>
          <w:lang w:val="es-ES"/>
        </w:rPr>
        <w:t xml:space="preserve">PROCURADURÍA GENERAL DE LA REPÚBLICA, </w:t>
      </w:r>
      <w:r>
        <w:rPr>
          <w:rFonts w:eastAsia="Times New Roman"/>
          <w:sz w:val="30"/>
          <w:szCs w:val="30"/>
          <w:lang w:val="es-ES"/>
        </w:rPr>
        <w:t>institucional gubernamental inves</w:t>
      </w:r>
      <w:r>
        <w:rPr>
          <w:rFonts w:eastAsia="Times New Roman"/>
          <w:sz w:val="30"/>
          <w:szCs w:val="30"/>
          <w:lang w:val="es-ES"/>
        </w:rPr>
        <w:t>tida de personalidad jurídica por la Ley No. 821, del 21 de noviembre del 1927, con su domicilio y asiento principal en la avenida Jiménez Moya, Centro de los Héroes, de la cuidad de Santo Domingo, Distrito Nacional, capital de la República Dominicana, rep</w:t>
      </w:r>
      <w:r>
        <w:rPr>
          <w:rFonts w:eastAsia="Times New Roman"/>
          <w:sz w:val="30"/>
          <w:szCs w:val="30"/>
          <w:lang w:val="es-ES"/>
        </w:rPr>
        <w:t xml:space="preserve">resentante por el Magistrado Procurador General de la República, </w:t>
      </w:r>
      <w:r>
        <w:rPr>
          <w:rFonts w:eastAsia="Times New Roman"/>
          <w:b/>
          <w:bCs/>
          <w:sz w:val="30"/>
          <w:szCs w:val="30"/>
          <w:lang w:val="es-ES"/>
        </w:rPr>
        <w:t xml:space="preserve">Dr. Radhamés Jiménez Peña, </w:t>
      </w:r>
      <w:r>
        <w:rPr>
          <w:rFonts w:eastAsia="Times New Roman"/>
          <w:sz w:val="30"/>
          <w:szCs w:val="30"/>
          <w:lang w:val="es-ES"/>
        </w:rPr>
        <w:t>dominicano mayor de edad, soltero, titular de la Cédula de Identidad y Electoral No. 047-0043141-6, el Director Nacional de la Escuela Nacional Penitenciaria, Coord</w:t>
      </w:r>
      <w:r>
        <w:rPr>
          <w:rFonts w:eastAsia="Times New Roman"/>
          <w:sz w:val="30"/>
          <w:szCs w:val="30"/>
          <w:lang w:val="es-ES"/>
        </w:rPr>
        <w:t xml:space="preserve">inador Nacional del Modelo de Gestión Penitenciario y Coordinador Nacional del Centro de Excelencia sobre el Sistema Penitenciario y Reducción de la Demanda, </w:t>
      </w:r>
      <w:r>
        <w:rPr>
          <w:rFonts w:eastAsia="Times New Roman"/>
          <w:b/>
          <w:bCs/>
          <w:sz w:val="30"/>
          <w:szCs w:val="30"/>
          <w:lang w:val="es-ES"/>
        </w:rPr>
        <w:t xml:space="preserve">Licenciado Roberto Santana Sánchez, </w:t>
      </w:r>
      <w:r>
        <w:rPr>
          <w:rFonts w:eastAsia="Times New Roman"/>
          <w:sz w:val="30"/>
          <w:szCs w:val="30"/>
          <w:lang w:val="es-ES"/>
        </w:rPr>
        <w:t>portador de la cédula de identidad y electoral No. 001-1130856</w:t>
      </w:r>
      <w:r>
        <w:rPr>
          <w:rFonts w:eastAsia="Times New Roman"/>
          <w:sz w:val="30"/>
          <w:szCs w:val="30"/>
          <w:lang w:val="es-ES"/>
        </w:rPr>
        <w:t xml:space="preserve">-5, con domicilio y asiento principal en la entidad que estos representan, para los fines y consecuencias de este acto se denominará indistintamente, por su propio nombre o como la </w:t>
      </w:r>
      <w:r>
        <w:rPr>
          <w:rFonts w:eastAsia="Times New Roman"/>
          <w:b/>
          <w:bCs/>
          <w:sz w:val="30"/>
          <w:szCs w:val="30"/>
          <w:lang w:val="es-ES"/>
        </w:rPr>
        <w:t xml:space="preserve">PROCURADURÍA; </w:t>
      </w:r>
      <w:r>
        <w:rPr>
          <w:rFonts w:eastAsia="Times New Roman"/>
          <w:sz w:val="30"/>
          <w:szCs w:val="30"/>
          <w:lang w:val="es-ES"/>
        </w:rPr>
        <w:t>y</w:t>
      </w:r>
      <w:r>
        <w:rPr>
          <w:rFonts w:eastAsia="Times New Roman"/>
          <w:sz w:val="30"/>
          <w:szCs w:val="30"/>
          <w:lang w:val="es-ES"/>
        </w:rPr>
        <w:br/>
      </w:r>
      <w:r>
        <w:rPr>
          <w:rFonts w:eastAsia="Times New Roman"/>
          <w:sz w:val="30"/>
          <w:szCs w:val="30"/>
          <w:lang w:val="es-ES"/>
        </w:rPr>
        <w:br/>
        <w:t xml:space="preserve">De la otra parte, el </w:t>
      </w:r>
      <w:r>
        <w:rPr>
          <w:rFonts w:eastAsia="Times New Roman"/>
          <w:b/>
          <w:bCs/>
          <w:sz w:val="30"/>
          <w:szCs w:val="30"/>
          <w:lang w:val="es-ES"/>
        </w:rPr>
        <w:t>Ministerio de Justicia, Derechos Huma</w:t>
      </w:r>
      <w:r>
        <w:rPr>
          <w:rFonts w:eastAsia="Times New Roman"/>
          <w:b/>
          <w:bCs/>
          <w:sz w:val="30"/>
          <w:szCs w:val="30"/>
          <w:lang w:val="es-ES"/>
        </w:rPr>
        <w:t xml:space="preserve">nos y Cultos de la República del Ecuador, </w:t>
      </w:r>
      <w:r>
        <w:rPr>
          <w:rFonts w:eastAsia="Times New Roman"/>
          <w:sz w:val="30"/>
          <w:szCs w:val="30"/>
          <w:lang w:val="es-ES"/>
        </w:rPr>
        <w:t xml:space="preserve">representado por la </w:t>
      </w:r>
      <w:r>
        <w:rPr>
          <w:rFonts w:eastAsia="Times New Roman"/>
          <w:b/>
          <w:bCs/>
          <w:sz w:val="30"/>
          <w:szCs w:val="30"/>
          <w:lang w:val="es-ES"/>
        </w:rPr>
        <w:t xml:space="preserve">Dra. Johana Pesántez Benítez, </w:t>
      </w:r>
      <w:r>
        <w:rPr>
          <w:rFonts w:eastAsia="Times New Roman"/>
          <w:sz w:val="30"/>
          <w:szCs w:val="30"/>
          <w:lang w:val="es-ES"/>
        </w:rPr>
        <w:t>ecuatoriana, mayor de edad, casada, titular de la cédula de ciudadanía No. 170788779-8, para los fines y consecuencias de este acto se denominará indistintamente, p</w:t>
      </w:r>
      <w:r>
        <w:rPr>
          <w:rFonts w:eastAsia="Times New Roman"/>
          <w:sz w:val="30"/>
          <w:szCs w:val="30"/>
          <w:lang w:val="es-ES"/>
        </w:rPr>
        <w:t xml:space="preserve">or su propio nombre o como el </w:t>
      </w:r>
      <w:r>
        <w:rPr>
          <w:rFonts w:eastAsia="Times New Roman"/>
          <w:b/>
          <w:bCs/>
          <w:sz w:val="30"/>
          <w:szCs w:val="30"/>
          <w:lang w:val="es-ES"/>
        </w:rPr>
        <w:t xml:space="preserve">MINISTERIO DE JUSTICIA, </w:t>
      </w:r>
      <w:r>
        <w:rPr>
          <w:rFonts w:eastAsia="Times New Roman"/>
          <w:b/>
          <w:bCs/>
          <w:sz w:val="30"/>
          <w:szCs w:val="30"/>
          <w:lang w:val="es-ES"/>
        </w:rPr>
        <w:lastRenderedPageBreak/>
        <w:t>DERECHOS HUMANOS Y CULTOS.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PREÁMBULO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POR CUANTO: </w:t>
      </w:r>
      <w:r>
        <w:rPr>
          <w:rFonts w:eastAsia="Times New Roman"/>
          <w:sz w:val="30"/>
          <w:szCs w:val="30"/>
          <w:lang w:val="es-ES"/>
        </w:rPr>
        <w:t>Es conveniente formalizar y estrechar las relaciones de cooperación en el ámbito de la Reforma Penitenciaria, prevención del delito, tratamiento del de</w:t>
      </w:r>
      <w:r>
        <w:rPr>
          <w:rFonts w:eastAsia="Times New Roman"/>
          <w:sz w:val="30"/>
          <w:szCs w:val="30"/>
          <w:lang w:val="es-ES"/>
        </w:rPr>
        <w:t>lincuente y la administración de justicia penal, así como el mejor aprovechamiento de los recursos nacionales e internacionales destinados a estos fines.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Las instituciones suscribientes favorecerán la concertación de las acciones de cooperación de acuerdo</w:t>
      </w:r>
      <w:r>
        <w:rPr>
          <w:rFonts w:eastAsia="Times New Roman"/>
          <w:b/>
          <w:bCs/>
          <w:sz w:val="30"/>
          <w:szCs w:val="30"/>
          <w:lang w:val="es-ES"/>
        </w:rPr>
        <w:t xml:space="preserve"> a las siguientes cláusulas:</w:t>
      </w:r>
      <w:r>
        <w:rPr>
          <w:rFonts w:eastAsia="Times New Roman"/>
          <w:b/>
          <w:bCs/>
          <w:sz w:val="30"/>
          <w:szCs w:val="30"/>
          <w:lang w:val="es-ES"/>
        </w:rPr>
        <w:br/>
      </w:r>
      <w:r>
        <w:rPr>
          <w:rFonts w:eastAsia="Times New Roman"/>
          <w:b/>
          <w:bCs/>
          <w:sz w:val="30"/>
          <w:szCs w:val="30"/>
          <w:lang w:val="es-ES"/>
        </w:rPr>
        <w:br/>
        <w:t xml:space="preserve">HAN CONVENIDO Y PACTADO LO SIGUIENTE:Primero.- </w:t>
      </w:r>
      <w:r>
        <w:rPr>
          <w:rFonts w:eastAsia="Times New Roman"/>
          <w:sz w:val="30"/>
          <w:szCs w:val="30"/>
          <w:lang w:val="es-ES"/>
        </w:rPr>
        <w:t>Desarrollar intercambio y colaboración en materia penitenciaria.</w:t>
      </w:r>
      <w:r>
        <w:rPr>
          <w:rFonts w:eastAsia="Times New Roman"/>
          <w:b/>
          <w:bCs/>
          <w:sz w:val="30"/>
          <w:szCs w:val="30"/>
          <w:lang w:val="es-ES"/>
        </w:rPr>
        <w:t xml:space="preserve">Segundo.- </w:t>
      </w:r>
      <w:r>
        <w:rPr>
          <w:rFonts w:eastAsia="Times New Roman"/>
          <w:sz w:val="30"/>
          <w:szCs w:val="30"/>
          <w:lang w:val="es-ES"/>
        </w:rPr>
        <w:t>Este intercambio y colaboración en materia penitenciaria tiene como ámbito las políticas públicas, la leg</w:t>
      </w:r>
      <w:r>
        <w:rPr>
          <w:rFonts w:eastAsia="Times New Roman"/>
          <w:sz w:val="30"/>
          <w:szCs w:val="30"/>
          <w:lang w:val="es-ES"/>
        </w:rPr>
        <w:t>islación penitenciaria, así como los proyectos, programas e iniciativas que puedan contribuir al respecto a la dignidad y a los derechos humanos de las personas privadas de libertad, su educación social y la adecuada inserción en el medio libre.</w:t>
      </w:r>
      <w:r>
        <w:rPr>
          <w:rFonts w:eastAsia="Times New Roman"/>
          <w:b/>
          <w:bCs/>
          <w:sz w:val="30"/>
          <w:szCs w:val="30"/>
          <w:lang w:val="es-ES"/>
        </w:rPr>
        <w:t xml:space="preserve">Tercero.- </w:t>
      </w:r>
      <w:r>
        <w:rPr>
          <w:rFonts w:eastAsia="Times New Roman"/>
          <w:sz w:val="30"/>
          <w:szCs w:val="30"/>
          <w:lang w:val="es-ES"/>
        </w:rPr>
        <w:t>L</w:t>
      </w:r>
      <w:r>
        <w:rPr>
          <w:rFonts w:eastAsia="Times New Roman"/>
          <w:sz w:val="30"/>
          <w:szCs w:val="30"/>
          <w:lang w:val="es-ES"/>
        </w:rPr>
        <w:t xml:space="preserve">a Procuraduría General de la República y el Ministerio de Justicia, Derechos Humanos y Cultos de la República del Ecuador, desarrollarán una colaboración bilateral a los fines de que sus establecimientos penitenciarios contribuyan a la inclusión social, a </w:t>
      </w:r>
      <w:r>
        <w:rPr>
          <w:rFonts w:eastAsia="Times New Roman"/>
          <w:sz w:val="30"/>
          <w:szCs w:val="30"/>
          <w:lang w:val="es-ES"/>
        </w:rPr>
        <w:t>la seguridad pública, democrática y al combate de la delincuencia.</w:t>
      </w:r>
      <w:r>
        <w:rPr>
          <w:rFonts w:eastAsia="Times New Roman"/>
          <w:b/>
          <w:bCs/>
          <w:sz w:val="30"/>
          <w:szCs w:val="30"/>
          <w:lang w:val="es-ES"/>
        </w:rPr>
        <w:t xml:space="preserve">Cuarto.- </w:t>
      </w:r>
      <w:r>
        <w:rPr>
          <w:rFonts w:eastAsia="Times New Roman"/>
          <w:sz w:val="30"/>
          <w:szCs w:val="30"/>
          <w:lang w:val="es-ES"/>
        </w:rPr>
        <w:t xml:space="preserve">Ambos países colaboran a favor de enfrentar la sobrepoblación carcelaria, así como cualquier forma de delincuencia, corrupción, tráfico de drogas, armas y demás situaciones dañinas </w:t>
      </w:r>
      <w:r>
        <w:rPr>
          <w:rFonts w:eastAsia="Times New Roman"/>
          <w:sz w:val="30"/>
          <w:szCs w:val="30"/>
          <w:lang w:val="es-ES"/>
        </w:rPr>
        <w:t>a lo interno de los dichos establecimientos.</w:t>
      </w:r>
      <w:r>
        <w:rPr>
          <w:rFonts w:eastAsia="Times New Roman"/>
          <w:b/>
          <w:bCs/>
          <w:sz w:val="30"/>
          <w:szCs w:val="30"/>
          <w:lang w:val="es-ES"/>
        </w:rPr>
        <w:t xml:space="preserve">Quinto.- </w:t>
      </w:r>
      <w:r>
        <w:rPr>
          <w:rFonts w:eastAsia="Times New Roman"/>
          <w:sz w:val="30"/>
          <w:szCs w:val="30"/>
          <w:lang w:val="es-ES"/>
        </w:rPr>
        <w:t>Ambos países intercambiarán experiencias en materia de reforma penitenciaria, a través de las instituciones y funcionarios que sean establecidos según solicitud de cada parte y de mutuo acuerdo.</w:t>
      </w:r>
      <w:r>
        <w:rPr>
          <w:rFonts w:eastAsia="Times New Roman"/>
          <w:b/>
          <w:bCs/>
          <w:sz w:val="30"/>
          <w:szCs w:val="30"/>
          <w:lang w:val="es-ES"/>
        </w:rPr>
        <w:t>Sexto.- L</w:t>
      </w:r>
      <w:r>
        <w:rPr>
          <w:rFonts w:eastAsia="Times New Roman"/>
          <w:b/>
          <w:bCs/>
          <w:sz w:val="30"/>
          <w:szCs w:val="30"/>
          <w:lang w:val="es-ES"/>
        </w:rPr>
        <w:t xml:space="preserve">AS PARTES </w:t>
      </w:r>
      <w:r>
        <w:rPr>
          <w:rFonts w:eastAsia="Times New Roman"/>
          <w:sz w:val="30"/>
          <w:szCs w:val="30"/>
          <w:lang w:val="es-ES"/>
        </w:rPr>
        <w:t>se comprometen a contribuir con la realización de este acuerdo según sus posibilidades; sus obligaciones se efectuarán estrictamente a los acuerdos específicos oficialmente pactados en cada caso.</w:t>
      </w:r>
      <w:r>
        <w:rPr>
          <w:rFonts w:eastAsia="Times New Roman"/>
          <w:b/>
          <w:bCs/>
          <w:sz w:val="30"/>
          <w:szCs w:val="30"/>
          <w:lang w:val="es-ES"/>
        </w:rPr>
        <w:t xml:space="preserve">Séptimo.- </w:t>
      </w:r>
      <w:r>
        <w:rPr>
          <w:rFonts w:eastAsia="Times New Roman"/>
          <w:sz w:val="30"/>
          <w:szCs w:val="30"/>
          <w:lang w:val="es-ES"/>
        </w:rPr>
        <w:t>Para la materialización y seguimiento del</w:t>
      </w:r>
      <w:r>
        <w:rPr>
          <w:rFonts w:eastAsia="Times New Roman"/>
          <w:sz w:val="30"/>
          <w:szCs w:val="30"/>
          <w:lang w:val="es-ES"/>
        </w:rPr>
        <w:t xml:space="preserve"> presente convenio las partes acuerdan crear un Comité Técnico Bilateral que será constituido dentro de los treinta (30) días siguientes a la puesta en vigencia de este acuerdo.</w:t>
      </w:r>
      <w:r>
        <w:rPr>
          <w:rFonts w:eastAsia="Times New Roman"/>
          <w:b/>
          <w:bCs/>
          <w:sz w:val="30"/>
          <w:szCs w:val="30"/>
          <w:lang w:val="es-ES"/>
        </w:rPr>
        <w:t xml:space="preserve">Octavo.- </w:t>
      </w:r>
      <w:r>
        <w:rPr>
          <w:rFonts w:eastAsia="Times New Roman"/>
          <w:sz w:val="30"/>
          <w:szCs w:val="30"/>
          <w:lang w:val="es-ES"/>
        </w:rPr>
        <w:t xml:space="preserve">La Procuraduría General de la República Dominicana y el Ministerio de </w:t>
      </w:r>
      <w:r>
        <w:rPr>
          <w:rFonts w:eastAsia="Times New Roman"/>
          <w:sz w:val="30"/>
          <w:szCs w:val="30"/>
          <w:lang w:val="es-ES"/>
        </w:rPr>
        <w:t xml:space="preserve">Justicia, Derechos Humanos </w:t>
      </w:r>
      <w:r>
        <w:rPr>
          <w:rFonts w:eastAsia="Times New Roman"/>
          <w:sz w:val="30"/>
          <w:szCs w:val="30"/>
          <w:lang w:val="es-ES"/>
        </w:rPr>
        <w:lastRenderedPageBreak/>
        <w:t>y Cultos de la República del Ecuador, designarán un responsable y un suplente ante el Comité Técnico Bilateral.</w:t>
      </w:r>
      <w:r>
        <w:rPr>
          <w:rFonts w:eastAsia="Times New Roman"/>
          <w:b/>
          <w:bCs/>
          <w:sz w:val="30"/>
          <w:szCs w:val="30"/>
          <w:lang w:val="es-ES"/>
        </w:rPr>
        <w:t xml:space="preserve">Noveno.- </w:t>
      </w:r>
      <w:r>
        <w:rPr>
          <w:rFonts w:eastAsia="Times New Roman"/>
          <w:sz w:val="30"/>
          <w:szCs w:val="30"/>
          <w:lang w:val="es-ES"/>
        </w:rPr>
        <w:t xml:space="preserve">El Comité Técnico Bilateral elaborará y propondrán en treinta (30) días a partir de su puesta en funciones y </w:t>
      </w:r>
      <w:r>
        <w:rPr>
          <w:rFonts w:eastAsia="Times New Roman"/>
          <w:sz w:val="30"/>
          <w:szCs w:val="30"/>
          <w:lang w:val="es-ES"/>
        </w:rPr>
        <w:t>para la revisión de la Procuraduría General de República y el Ministerio de Justicia, Derechos Humanos y Cultos de la República del Ecuador, un reglamento de funcionamiento, así como su plan de llevar adelante los objetivos y el cumplimiento de los acuerdo</w:t>
      </w:r>
      <w:r>
        <w:rPr>
          <w:rFonts w:eastAsia="Times New Roman"/>
          <w:sz w:val="30"/>
          <w:szCs w:val="30"/>
          <w:lang w:val="es-ES"/>
        </w:rPr>
        <w:t>s del siguiente acuerdo.</w:t>
      </w:r>
      <w:r>
        <w:rPr>
          <w:rFonts w:eastAsia="Times New Roman"/>
          <w:b/>
          <w:bCs/>
          <w:sz w:val="30"/>
          <w:szCs w:val="30"/>
          <w:lang w:val="es-ES"/>
        </w:rPr>
        <w:t xml:space="preserve">Décimo.- </w:t>
      </w:r>
      <w:r>
        <w:rPr>
          <w:rFonts w:eastAsia="Times New Roman"/>
          <w:sz w:val="30"/>
          <w:szCs w:val="30"/>
          <w:lang w:val="es-ES"/>
        </w:rPr>
        <w:t>El Comité Técnico Bilateral dependerá de la Procuraduría General de la República Dominicana y del Ministerio de Justicia, Derechos Humanos y Cultos de la República del Ecuador, instituciones responsables, presupuesto y gast</w:t>
      </w:r>
      <w:r>
        <w:rPr>
          <w:rFonts w:eastAsia="Times New Roman"/>
          <w:sz w:val="30"/>
          <w:szCs w:val="30"/>
          <w:lang w:val="es-ES"/>
        </w:rPr>
        <w:t>os en general del Comité Técnico Bilateral.</w:t>
      </w:r>
      <w:r>
        <w:rPr>
          <w:rFonts w:eastAsia="Times New Roman"/>
          <w:b/>
          <w:bCs/>
          <w:sz w:val="30"/>
          <w:szCs w:val="30"/>
          <w:lang w:val="es-ES"/>
        </w:rPr>
        <w:t xml:space="preserve">Décimo Primero.- </w:t>
      </w:r>
      <w:r>
        <w:rPr>
          <w:rFonts w:eastAsia="Times New Roman"/>
          <w:sz w:val="30"/>
          <w:szCs w:val="30"/>
          <w:lang w:val="es-ES"/>
        </w:rPr>
        <w:t>La Procuraduría General de la República Dominicana y el Ministerio de Justicia, Derechos Humanos y Cultos de la República del Ecuador, evaluarán cada año la marcha del presente convenio y las prop</w:t>
      </w:r>
      <w:r>
        <w:rPr>
          <w:rFonts w:eastAsia="Times New Roman"/>
          <w:sz w:val="30"/>
          <w:szCs w:val="30"/>
          <w:lang w:val="es-ES"/>
        </w:rPr>
        <w:t>uestas para el año siguiente. Tanto la evaluación anual como la propuesta de actividades para el año siguiente serán elaboradas y propuestas por el Comité Técnico Bilateral.</w:t>
      </w:r>
      <w:r>
        <w:rPr>
          <w:rFonts w:eastAsia="Times New Roman"/>
          <w:b/>
          <w:bCs/>
          <w:sz w:val="30"/>
          <w:szCs w:val="30"/>
          <w:lang w:val="es-ES"/>
        </w:rPr>
        <w:t xml:space="preserve">Décimo Segundo.- </w:t>
      </w:r>
      <w:r>
        <w:rPr>
          <w:rFonts w:eastAsia="Times New Roman"/>
          <w:sz w:val="30"/>
          <w:szCs w:val="30"/>
          <w:lang w:val="es-ES"/>
        </w:rPr>
        <w:t>El presente acuerdo tiene una vigencia de un (1) año que puede ser</w:t>
      </w:r>
      <w:r>
        <w:rPr>
          <w:rFonts w:eastAsia="Times New Roman"/>
          <w:sz w:val="30"/>
          <w:szCs w:val="30"/>
          <w:lang w:val="es-ES"/>
        </w:rPr>
        <w:t xml:space="preserve"> denunciado por cualquiera de las partes, comunicándolo por escrito, por la vía correspondiente, con un mínimo de noventa (90) días antes de la fecha prevista para la finalización, en cuyo caso permanecerán vigentes hasta un término aquellas actividades ac</w:t>
      </w:r>
      <w:r>
        <w:rPr>
          <w:rFonts w:eastAsia="Times New Roman"/>
          <w:sz w:val="30"/>
          <w:szCs w:val="30"/>
          <w:lang w:val="es-ES"/>
        </w:rPr>
        <w:t>ordadas previamente a la fecha de la comunicación de denuncia del presente convenio.Décimo Tercero.</w:t>
      </w:r>
      <w:r>
        <w:rPr>
          <w:rFonts w:eastAsia="Times New Roman"/>
          <w:b/>
          <w:bCs/>
          <w:sz w:val="30"/>
          <w:szCs w:val="30"/>
          <w:lang w:val="es-ES"/>
        </w:rPr>
        <w:t xml:space="preserve">- Notificaciones.- </w:t>
      </w:r>
      <w:r>
        <w:rPr>
          <w:rFonts w:eastAsia="Times New Roman"/>
          <w:sz w:val="30"/>
          <w:szCs w:val="30"/>
          <w:lang w:val="es-ES"/>
        </w:rPr>
        <w:t>Las Notificaciones y otras comunicaciones deben ser hechas por cualquiera de las partes a la otra según este convenio, podrán ser enviadas</w:t>
      </w:r>
      <w:r>
        <w:rPr>
          <w:rFonts w:eastAsia="Times New Roman"/>
          <w:sz w:val="30"/>
          <w:szCs w:val="30"/>
          <w:lang w:val="es-ES"/>
        </w:rPr>
        <w:t xml:space="preserve"> por correo electrónico con acuse de recibo.Décimo Cuarto.- </w:t>
      </w:r>
      <w:r>
        <w:rPr>
          <w:rFonts w:eastAsia="Times New Roman"/>
          <w:b/>
          <w:bCs/>
          <w:sz w:val="30"/>
          <w:szCs w:val="30"/>
          <w:lang w:val="es-ES"/>
        </w:rPr>
        <w:t xml:space="preserve">Elección de Domicilio.- </w:t>
      </w:r>
      <w:r>
        <w:rPr>
          <w:rFonts w:eastAsia="Times New Roman"/>
          <w:sz w:val="30"/>
          <w:szCs w:val="30"/>
          <w:lang w:val="es-ES"/>
        </w:rPr>
        <w:t>Para los fines y consecuencias del presente acuerdo. LAS PARTES hacen elección de domicilio en las direcciones mencionadas al inicio del mismo.Décimo Quinto.</w:t>
      </w:r>
      <w:r>
        <w:rPr>
          <w:rFonts w:eastAsia="Times New Roman"/>
          <w:b/>
          <w:bCs/>
          <w:sz w:val="30"/>
          <w:szCs w:val="30"/>
          <w:lang w:val="es-ES"/>
        </w:rPr>
        <w:t>- Modificacione</w:t>
      </w:r>
      <w:r>
        <w:rPr>
          <w:rFonts w:eastAsia="Times New Roman"/>
          <w:b/>
          <w:bCs/>
          <w:sz w:val="30"/>
          <w:szCs w:val="30"/>
          <w:lang w:val="es-ES"/>
        </w:rPr>
        <w:t xml:space="preserve">s.- </w:t>
      </w:r>
      <w:r>
        <w:rPr>
          <w:rFonts w:eastAsia="Times New Roman"/>
          <w:sz w:val="30"/>
          <w:szCs w:val="30"/>
          <w:lang w:val="es-ES"/>
        </w:rPr>
        <w:t>Los términos de este convenio podrán ser modificados por consenso entre LAS PARTES. Para los fines, basta que una de ellas presente por escrito una solicitud de modificación, la cual será evaluada con el fin de llegar al consenso.Décimo Sexto.-</w:t>
      </w:r>
      <w:r>
        <w:rPr>
          <w:rFonts w:eastAsia="Times New Roman"/>
          <w:b/>
          <w:bCs/>
          <w:sz w:val="30"/>
          <w:szCs w:val="30"/>
          <w:lang w:val="es-ES"/>
        </w:rPr>
        <w:t xml:space="preserve"> Idioma </w:t>
      </w:r>
      <w:r>
        <w:rPr>
          <w:rFonts w:eastAsia="Times New Roman"/>
          <w:b/>
          <w:bCs/>
          <w:sz w:val="30"/>
          <w:szCs w:val="30"/>
          <w:lang w:val="es-ES"/>
        </w:rPr>
        <w:t xml:space="preserve">Oficial.- </w:t>
      </w:r>
      <w:r>
        <w:rPr>
          <w:rFonts w:eastAsia="Times New Roman"/>
          <w:sz w:val="30"/>
          <w:szCs w:val="30"/>
          <w:lang w:val="es-ES"/>
        </w:rPr>
        <w:t>El presente convenio ha sido redactado en español, que será el idioma de control para todos los asuntos relacionados con el significado e interpretación de los términos y condiciones de este documento.</w:t>
      </w:r>
      <w:r>
        <w:rPr>
          <w:rFonts w:eastAsia="Times New Roman"/>
          <w:sz w:val="30"/>
          <w:szCs w:val="30"/>
          <w:lang w:val="es-ES"/>
        </w:rPr>
        <w:br/>
      </w:r>
      <w:r>
        <w:rPr>
          <w:rFonts w:eastAsia="Times New Roman"/>
          <w:sz w:val="30"/>
          <w:szCs w:val="30"/>
          <w:lang w:val="es-ES"/>
        </w:rPr>
        <w:br/>
        <w:t>Dada en la ciudad de Santo Domingo, Distrit</w:t>
      </w:r>
      <w:r>
        <w:rPr>
          <w:rFonts w:eastAsia="Times New Roman"/>
          <w:sz w:val="30"/>
          <w:szCs w:val="30"/>
          <w:lang w:val="es-ES"/>
        </w:rPr>
        <w:t xml:space="preserve">o Nacional, República </w:t>
      </w:r>
      <w:r>
        <w:rPr>
          <w:rFonts w:eastAsia="Times New Roman"/>
          <w:sz w:val="30"/>
          <w:szCs w:val="30"/>
          <w:lang w:val="es-ES"/>
        </w:rPr>
        <w:lastRenderedPageBreak/>
        <w:t>Dominicana, a los cinco (5) días del mes de agosto del año dos mil once (2011)</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FUENTES DE LA PRESENTE EDICIÓN DEL ACUERDO DE COOPERACIÓN ENTRE LA PROCURADURÍA GENERAL DE LA REPÚBLICA DOMINICANA (PGR) Y EL MINISTERIO DE JUSTICIA, DER</w:t>
      </w:r>
      <w:r>
        <w:rPr>
          <w:rFonts w:eastAsia="Times New Roman"/>
          <w:sz w:val="30"/>
          <w:szCs w:val="30"/>
          <w:lang w:val="es-ES"/>
        </w:rPr>
        <w:t>ECHOS HUMANOS Y CULTOS DE LA REPÚBLICA DE ECUADOR</w:t>
      </w:r>
      <w:r>
        <w:rPr>
          <w:rFonts w:eastAsia="Times New Roman"/>
          <w:sz w:val="30"/>
          <w:szCs w:val="30"/>
          <w:lang w:val="es-ES"/>
        </w:rPr>
        <w:br/>
      </w:r>
      <w:r>
        <w:rPr>
          <w:rFonts w:eastAsia="Times New Roman"/>
          <w:sz w:val="30"/>
          <w:szCs w:val="30"/>
          <w:lang w:val="es-ES"/>
        </w:rPr>
        <w:br/>
        <w:t>1.- Registro Oficial 547, 3-X-2011.</w:t>
      </w:r>
    </w:p>
    <w:sectPr w:rsidR="002617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E4834"/>
    <w:rsid w:val="00261790"/>
    <w:rsid w:val="003E48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E147E4-01DC-402C-A466-1A60E452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5905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2017-11-24T20:26:00Z</dcterms:created>
  <dcterms:modified xsi:type="dcterms:W3CDTF">2017-11-24T20:26:00Z</dcterms:modified>
</cp:coreProperties>
</file>