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44263">
      <w:pPr>
        <w:pStyle w:val="NormalWeb"/>
        <w:rPr>
          <w:lang w:val="es-ES"/>
        </w:rPr>
      </w:pPr>
      <w:bookmarkStart w:id="0" w:name="_GoBack"/>
      <w:bookmarkEnd w:id="0"/>
      <w:r>
        <w:rPr>
          <w:b/>
          <w:bCs/>
          <w:lang w:val="es-ES"/>
        </w:rPr>
        <w:t>Registro Oficial No. 812 , 18 de Octubre 2012</w:t>
      </w:r>
    </w:p>
    <w:p w:rsidR="00000000" w:rsidRDefault="00444263">
      <w:pPr>
        <w:pStyle w:val="NormalWeb"/>
        <w:rPr>
          <w:lang w:val="es-ES"/>
        </w:rPr>
      </w:pPr>
      <w:r>
        <w:rPr>
          <w:b/>
          <w:bCs/>
          <w:lang w:val="es-ES"/>
        </w:rPr>
        <w:t>Normativa:</w:t>
      </w:r>
      <w:r>
        <w:rPr>
          <w:lang w:val="es-ES"/>
        </w:rPr>
        <w:t xml:space="preserve"> Vigente</w:t>
      </w:r>
    </w:p>
    <w:p w:rsidR="00000000" w:rsidRDefault="00444263">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INSTRUCTIVO PARA LA PRESTACIÓN DE LOS SERVICIOS DEFENSORIALES DEL PROCESO DE PATROCINIO SOCIAL</w:t>
      </w:r>
    </w:p>
    <w:p w:rsidR="00000000" w:rsidRDefault="00444263">
      <w:pPr>
        <w:jc w:val="center"/>
        <w:rPr>
          <w:rFonts w:eastAsia="Times New Roman"/>
          <w:sz w:val="30"/>
          <w:szCs w:val="30"/>
          <w:lang w:val="es-ES"/>
        </w:rPr>
      </w:pPr>
      <w:r>
        <w:rPr>
          <w:rFonts w:eastAsia="Times New Roman"/>
          <w:sz w:val="30"/>
          <w:szCs w:val="30"/>
          <w:lang w:val="es-ES"/>
        </w:rPr>
        <w:t>(Resolución No. DP-DPG-2012-085)</w:t>
      </w:r>
    </w:p>
    <w:p w:rsidR="00000000" w:rsidRDefault="00444263">
      <w:pPr>
        <w:divId w:val="867765966"/>
        <w:rPr>
          <w:rFonts w:eastAsia="Times New Roman"/>
          <w:sz w:val="30"/>
          <w:szCs w:val="30"/>
          <w:lang w:val="es-ES"/>
        </w:rPr>
      </w:pP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Dr. Ernesto Pazmiño Granizo</w:t>
      </w:r>
      <w:r>
        <w:rPr>
          <w:rFonts w:eastAsia="Times New Roman"/>
          <w:sz w:val="30"/>
          <w:szCs w:val="30"/>
          <w:lang w:val="es-ES"/>
        </w:rPr>
        <w:br/>
        <w:t>DEFENSOR PÚBLICO GENERAL</w:t>
      </w:r>
      <w:r>
        <w:rPr>
          <w:rFonts w:eastAsia="Times New Roman"/>
          <w:sz w:val="30"/>
          <w:szCs w:val="30"/>
          <w:lang w:val="es-ES"/>
        </w:rPr>
        <w:br/>
      </w:r>
      <w:r>
        <w:rPr>
          <w:rFonts w:eastAsia="Times New Roman"/>
          <w:b/>
          <w:bCs/>
          <w:sz w:val="30"/>
          <w:szCs w:val="30"/>
          <w:lang w:val="es-ES"/>
        </w:rPr>
        <w:br/>
      </w:r>
      <w:r>
        <w:rPr>
          <w:rFonts w:eastAsia="Times New Roman"/>
          <w:b/>
          <w:bCs/>
          <w:sz w:val="30"/>
          <w:szCs w:val="30"/>
          <w:lang w:val="es-ES"/>
        </w:rPr>
        <w:t>Considerando: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Que, el artículo 191 de la Constitución de la República establece que la Defensoría Pública es un órgano autónomo de la Función Judicial, cuyo fin es garantizar el pleno e igual acceso a la justicia de las personas que, por su estado de inde</w:t>
      </w:r>
      <w:r>
        <w:rPr>
          <w:rFonts w:eastAsia="Times New Roman"/>
          <w:sz w:val="30"/>
          <w:szCs w:val="30"/>
          <w:lang w:val="es-ES"/>
        </w:rPr>
        <w:t>fensión o condición económica, social o cultural, no puedan contratar los servicios de defensa legal para la protección de sus derechos.</w:t>
      </w:r>
      <w:r>
        <w:rPr>
          <w:rFonts w:eastAsia="Times New Roman"/>
          <w:sz w:val="30"/>
          <w:szCs w:val="30"/>
          <w:lang w:val="es-ES"/>
        </w:rPr>
        <w:br/>
      </w:r>
      <w:r>
        <w:rPr>
          <w:rFonts w:eastAsia="Times New Roman"/>
          <w:sz w:val="30"/>
          <w:szCs w:val="30"/>
          <w:lang w:val="es-ES"/>
        </w:rPr>
        <w:br/>
        <w:t>Que, de acuerdo con el artículo 227 de la Constitución, uno de los principios rectores aplicable a los servicios que b</w:t>
      </w:r>
      <w:r>
        <w:rPr>
          <w:rFonts w:eastAsia="Times New Roman"/>
          <w:sz w:val="30"/>
          <w:szCs w:val="30"/>
          <w:lang w:val="es-ES"/>
        </w:rPr>
        <w:t>rinda la Defensoría Pública es el de eficiencia, que exige a la Defensoría Pública concentrar sus esfuerzos en las materias sociales más importantes y en la atención a los grupos más vulnerables, sin descuidar la atención en otras áreas.</w:t>
      </w:r>
      <w:r>
        <w:rPr>
          <w:rFonts w:eastAsia="Times New Roman"/>
          <w:sz w:val="30"/>
          <w:szCs w:val="30"/>
          <w:lang w:val="es-ES"/>
        </w:rPr>
        <w:br/>
      </w:r>
      <w:r>
        <w:rPr>
          <w:rFonts w:eastAsia="Times New Roman"/>
          <w:sz w:val="30"/>
          <w:szCs w:val="30"/>
          <w:lang w:val="es-ES"/>
        </w:rPr>
        <w:br/>
        <w:t>Que, la Disposici</w:t>
      </w:r>
      <w:r>
        <w:rPr>
          <w:rFonts w:eastAsia="Times New Roman"/>
          <w:sz w:val="30"/>
          <w:szCs w:val="30"/>
          <w:lang w:val="es-ES"/>
        </w:rPr>
        <w:t>ón Transitoria Décima de la Constitución, prioriza la prestación de servicios defensoriales en las materias penal, niñez y adolescencia y laboral.</w:t>
      </w:r>
      <w:r>
        <w:rPr>
          <w:rFonts w:eastAsia="Times New Roman"/>
          <w:sz w:val="30"/>
          <w:szCs w:val="30"/>
          <w:lang w:val="es-ES"/>
        </w:rPr>
        <w:br/>
      </w:r>
      <w:r>
        <w:rPr>
          <w:rFonts w:eastAsia="Times New Roman"/>
          <w:sz w:val="30"/>
          <w:szCs w:val="30"/>
          <w:lang w:val="es-ES"/>
        </w:rPr>
        <w:br/>
        <w:t xml:space="preserve">Que, el artículo 35 de la Constitución de la República establece, </w:t>
      </w:r>
      <w:r>
        <w:rPr>
          <w:rFonts w:eastAsia="Times New Roman"/>
          <w:sz w:val="30"/>
          <w:szCs w:val="30"/>
          <w:lang w:val="es-ES"/>
        </w:rPr>
        <w:lastRenderedPageBreak/>
        <w:t>además, la prioridad para la atención públ</w:t>
      </w:r>
      <w:r>
        <w:rPr>
          <w:rFonts w:eastAsia="Times New Roman"/>
          <w:sz w:val="30"/>
          <w:szCs w:val="30"/>
          <w:lang w:val="es-ES"/>
        </w:rPr>
        <w:t>ica de las personas adultas mayores, niñas, niños y adolescentes, mujeres embarazadas, personas con discapacidad, personas privadas de libertad y quienes adolezcan de enfermedades catastróficas o de alta complejidad, las personas en situación de riesgo, la</w:t>
      </w:r>
      <w:r>
        <w:rPr>
          <w:rFonts w:eastAsia="Times New Roman"/>
          <w:sz w:val="30"/>
          <w:szCs w:val="30"/>
          <w:lang w:val="es-ES"/>
        </w:rPr>
        <w:t>s víctimas de violencia doméstica y sexual, maltrato infantil, y de desastres naturales o antropogénicos.</w:t>
      </w:r>
      <w:r>
        <w:rPr>
          <w:rFonts w:eastAsia="Times New Roman"/>
          <w:sz w:val="30"/>
          <w:szCs w:val="30"/>
          <w:lang w:val="es-ES"/>
        </w:rPr>
        <w:br/>
      </w:r>
      <w:r>
        <w:rPr>
          <w:rFonts w:eastAsia="Times New Roman"/>
          <w:sz w:val="30"/>
          <w:szCs w:val="30"/>
          <w:lang w:val="es-ES"/>
        </w:rPr>
        <w:br/>
        <w:t>Que, las “100 Reglas de Brasilia sobre el Acceso a la Justicia de las Personas en Condición de Vulnerabilidad”, aprobadas como producto de la XIV Cum</w:t>
      </w:r>
      <w:r>
        <w:rPr>
          <w:rFonts w:eastAsia="Times New Roman"/>
          <w:sz w:val="30"/>
          <w:szCs w:val="30"/>
          <w:lang w:val="es-ES"/>
        </w:rPr>
        <w:t xml:space="preserve">bre Judicial Iberoamericana celebrada en Brasil el 7 y 8 de marzo de 2008, desarrolla los principios recogidos en la Carta de Derechos de las Personas ante la Justicia en el Espacio Judicial Iberoamericano desarrollados en el 2002 en Cancún, y prevé en su </w:t>
      </w:r>
      <w:r>
        <w:rPr>
          <w:rFonts w:eastAsia="Times New Roman"/>
          <w:sz w:val="30"/>
          <w:szCs w:val="30"/>
          <w:lang w:val="es-ES"/>
        </w:rPr>
        <w:t>artículo 4, como causas de vulnerabilidad, a la edad, la discapacidad, la pertenencia a comunidades indígenas o a minorías, la victimización, la migración y el desplazamiento interno, la pobreza, el género y la privación de la libertad.</w:t>
      </w:r>
      <w:r>
        <w:rPr>
          <w:rFonts w:eastAsia="Times New Roman"/>
          <w:sz w:val="30"/>
          <w:szCs w:val="30"/>
          <w:lang w:val="es-ES"/>
        </w:rPr>
        <w:br/>
      </w:r>
      <w:r>
        <w:rPr>
          <w:rFonts w:eastAsia="Times New Roman"/>
          <w:sz w:val="30"/>
          <w:szCs w:val="30"/>
          <w:lang w:val="es-ES"/>
        </w:rPr>
        <w:br/>
        <w:t>Que, el artículo 2</w:t>
      </w:r>
      <w:r>
        <w:rPr>
          <w:rFonts w:eastAsia="Times New Roman"/>
          <w:sz w:val="30"/>
          <w:szCs w:val="30"/>
          <w:lang w:val="es-ES"/>
        </w:rPr>
        <w:t>86 del Código Orgánico de la Función Judicial, establece las funciones de la Defensoría Pública para la prestación del servicio público de defensa en favor de las personas que por su situación económica o social no puedan contratar un abogado particular.</w:t>
      </w:r>
      <w:r>
        <w:rPr>
          <w:rFonts w:eastAsia="Times New Roman"/>
          <w:sz w:val="30"/>
          <w:szCs w:val="30"/>
          <w:lang w:val="es-ES"/>
        </w:rPr>
        <w:br/>
      </w:r>
      <w:r>
        <w:rPr>
          <w:rFonts w:eastAsia="Times New Roman"/>
          <w:sz w:val="30"/>
          <w:szCs w:val="30"/>
          <w:lang w:val="es-ES"/>
        </w:rPr>
        <w:br/>
      </w:r>
      <w:r>
        <w:rPr>
          <w:rFonts w:eastAsia="Times New Roman"/>
          <w:sz w:val="30"/>
          <w:szCs w:val="30"/>
          <w:lang w:val="es-ES"/>
        </w:rPr>
        <w:t>Que, el punto 3.1 del artículo 6 del Estatuto Orgánico Administrativo de Gestión Organizacional por Procesos de la Defensoría Pública, aprobado y expedido mediante Resolución No. 023-DP-2011 de 16 de marzo de 2011, publicada en la Edición Especial del Regi</w:t>
      </w:r>
      <w:r>
        <w:rPr>
          <w:rFonts w:eastAsia="Times New Roman"/>
          <w:sz w:val="30"/>
          <w:szCs w:val="30"/>
          <w:lang w:val="es-ES"/>
        </w:rPr>
        <w:t>stro Oficial No. 131 de 12 de abril de 2011 establece como una de las responsabilidades y atribuciones del Comité de Patrocinio y Acreditación, calificar los criterios de indefensión y de atención prioritaria de las personas que solicitan el patrocinio jud</w:t>
      </w:r>
      <w:r>
        <w:rPr>
          <w:rFonts w:eastAsia="Times New Roman"/>
          <w:sz w:val="30"/>
          <w:szCs w:val="30"/>
          <w:lang w:val="es-ES"/>
        </w:rPr>
        <w:t>icial de la cadena de valor de Patrocinio Social, así como autorizar las solicitudes de patrocinio judicial de la misma cadena de valor.</w:t>
      </w:r>
      <w:r>
        <w:rPr>
          <w:rFonts w:eastAsia="Times New Roman"/>
          <w:sz w:val="30"/>
          <w:szCs w:val="30"/>
          <w:lang w:val="es-ES"/>
        </w:rPr>
        <w:br/>
      </w:r>
      <w:r>
        <w:rPr>
          <w:rFonts w:eastAsia="Times New Roman"/>
          <w:sz w:val="30"/>
          <w:szCs w:val="30"/>
          <w:lang w:val="es-ES"/>
        </w:rPr>
        <w:br/>
        <w:t>Que, de acuerdo con el número 3 del artículo 288 del Código Orgánico de la Función Judicial, compete al Defensor Públi</w:t>
      </w:r>
      <w:r>
        <w:rPr>
          <w:rFonts w:eastAsia="Times New Roman"/>
          <w:sz w:val="30"/>
          <w:szCs w:val="30"/>
          <w:lang w:val="es-ES"/>
        </w:rPr>
        <w:t>co General expedir -mediante resolución-, reglamentos internos, instructivos, circulares, manuales de organización y procedimientos y cuanto instrumento se requiera para funcionar eficientemente.</w:t>
      </w:r>
      <w:r>
        <w:rPr>
          <w:rFonts w:eastAsia="Times New Roman"/>
          <w:sz w:val="30"/>
          <w:szCs w:val="30"/>
          <w:lang w:val="es-ES"/>
        </w:rPr>
        <w:br/>
      </w:r>
      <w:r>
        <w:rPr>
          <w:rFonts w:eastAsia="Times New Roman"/>
          <w:sz w:val="30"/>
          <w:szCs w:val="30"/>
          <w:lang w:val="es-ES"/>
        </w:rPr>
        <w:lastRenderedPageBreak/>
        <w:br/>
        <w:t>En ejercicio de sus atribuciones constitucionales y legales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Resuelve:</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Expedir el siguiente INSTRUCTIVO PARA LA PRESTACIÓN DE LOS SERVICIOS DEFENSORIALES DEL PROCESO DE PATROCINIO SOCIAL.</w:t>
      </w:r>
    </w:p>
    <w:p w:rsidR="00000000" w:rsidRDefault="00444263">
      <w:pPr>
        <w:divId w:val="1975065222"/>
        <w:rPr>
          <w:rFonts w:eastAsia="Times New Roman"/>
          <w:sz w:val="30"/>
          <w:szCs w:val="30"/>
          <w:lang w:val="es-ES"/>
        </w:rPr>
      </w:pPr>
      <w:r>
        <w:rPr>
          <w:rFonts w:eastAsia="Times New Roman"/>
          <w:sz w:val="30"/>
          <w:szCs w:val="30"/>
          <w:lang w:val="es-ES"/>
        </w:rPr>
        <w:t>Art. 1.-</w:t>
      </w:r>
      <w:r>
        <w:rPr>
          <w:rFonts w:eastAsia="Times New Roman"/>
          <w:b/>
          <w:bCs/>
          <w:sz w:val="30"/>
          <w:szCs w:val="30"/>
          <w:lang w:val="es-ES"/>
        </w:rPr>
        <w:t xml:space="preserve"> Objeto.-</w:t>
      </w:r>
      <w:r>
        <w:rPr>
          <w:rFonts w:eastAsia="Times New Roman"/>
          <w:sz w:val="30"/>
          <w:szCs w:val="30"/>
          <w:lang w:val="es-ES"/>
        </w:rPr>
        <w:t xml:space="preserve"> El presente instructivo tiene por objeto determinar los criterios de atención en las materias de patrocinio</w:t>
      </w:r>
      <w:r>
        <w:rPr>
          <w:rFonts w:eastAsia="Times New Roman"/>
          <w:sz w:val="30"/>
          <w:szCs w:val="30"/>
          <w:lang w:val="es-ES"/>
        </w:rPr>
        <w:t xml:space="preserve"> social, en consideración de la situación de vulnerabilidad social, económica y cultural de personas y grupos de personas de atención prioritaria.</w:t>
      </w:r>
    </w:p>
    <w:p w:rsidR="00000000" w:rsidRDefault="00444263">
      <w:pPr>
        <w:divId w:val="622618850"/>
        <w:rPr>
          <w:rFonts w:eastAsia="Times New Roman"/>
          <w:sz w:val="30"/>
          <w:szCs w:val="30"/>
          <w:lang w:val="es-ES"/>
        </w:rPr>
      </w:pPr>
      <w:r>
        <w:rPr>
          <w:rFonts w:eastAsia="Times New Roman"/>
          <w:sz w:val="30"/>
          <w:szCs w:val="30"/>
          <w:lang w:val="es-ES"/>
        </w:rPr>
        <w:t>Art. 2.-</w:t>
      </w:r>
      <w:r>
        <w:rPr>
          <w:rFonts w:eastAsia="Times New Roman"/>
          <w:b/>
          <w:bCs/>
          <w:sz w:val="30"/>
          <w:szCs w:val="30"/>
          <w:lang w:val="es-ES"/>
        </w:rPr>
        <w:t xml:space="preserve"> Ámbito.-</w:t>
      </w:r>
      <w:r>
        <w:rPr>
          <w:rFonts w:eastAsia="Times New Roman"/>
          <w:sz w:val="30"/>
          <w:szCs w:val="30"/>
          <w:lang w:val="es-ES"/>
        </w:rPr>
        <w:t xml:space="preserve"> Las disposiciones del presente instructivo se aplican a la prestación de los servicios del </w:t>
      </w:r>
      <w:r>
        <w:rPr>
          <w:rFonts w:eastAsia="Times New Roman"/>
          <w:sz w:val="30"/>
          <w:szCs w:val="30"/>
          <w:lang w:val="es-ES"/>
        </w:rPr>
        <w:t>proceso de Patrocino Social de la Defensoría Pública a nivel nacional.</w:t>
      </w:r>
      <w:r>
        <w:rPr>
          <w:rFonts w:eastAsia="Times New Roman"/>
          <w:sz w:val="30"/>
          <w:szCs w:val="30"/>
          <w:lang w:val="es-ES"/>
        </w:rPr>
        <w:br/>
      </w:r>
      <w:r>
        <w:rPr>
          <w:rFonts w:eastAsia="Times New Roman"/>
          <w:sz w:val="30"/>
          <w:szCs w:val="30"/>
          <w:lang w:val="es-ES"/>
        </w:rPr>
        <w:br/>
        <w:t>El proceso de Patrocinio Social cubre los problemas o conflictos de personas regulados en la legislación laboral, civil y de familia, así como de niñez y adolescencia y violencia intra</w:t>
      </w:r>
      <w:r>
        <w:rPr>
          <w:rFonts w:eastAsia="Times New Roman"/>
          <w:sz w:val="30"/>
          <w:szCs w:val="30"/>
          <w:lang w:val="es-ES"/>
        </w:rPr>
        <w:t>familiar, de acuerdo con lo que establece el art. 5 del presente Instructivo.</w:t>
      </w:r>
    </w:p>
    <w:p w:rsidR="00000000" w:rsidRDefault="00444263">
      <w:pPr>
        <w:divId w:val="1226643121"/>
        <w:rPr>
          <w:rFonts w:eastAsia="Times New Roman"/>
          <w:sz w:val="30"/>
          <w:szCs w:val="30"/>
          <w:lang w:val="es-ES"/>
        </w:rPr>
      </w:pPr>
      <w:r>
        <w:rPr>
          <w:rFonts w:eastAsia="Times New Roman"/>
          <w:sz w:val="30"/>
          <w:szCs w:val="30"/>
          <w:lang w:val="es-ES"/>
        </w:rPr>
        <w:t>Art. 3.-</w:t>
      </w:r>
      <w:r>
        <w:rPr>
          <w:rFonts w:eastAsia="Times New Roman"/>
          <w:b/>
          <w:bCs/>
          <w:sz w:val="30"/>
          <w:szCs w:val="30"/>
          <w:lang w:val="es-ES"/>
        </w:rPr>
        <w:t xml:space="preserve"> Criterios para la prestación del servicio de patrocinio social.-</w:t>
      </w:r>
      <w:r>
        <w:rPr>
          <w:rFonts w:eastAsia="Times New Roman"/>
          <w:sz w:val="30"/>
          <w:szCs w:val="30"/>
          <w:lang w:val="es-ES"/>
        </w:rPr>
        <w:t xml:space="preserve"> El servicio de Patrocinio Social de la Defensoría Pública se brindará conforme a los siguientes parámetr</w:t>
      </w:r>
      <w:r>
        <w:rPr>
          <w:rFonts w:eastAsia="Times New Roman"/>
          <w:sz w:val="30"/>
          <w:szCs w:val="30"/>
          <w:lang w:val="es-ES"/>
        </w:rPr>
        <w:t>os:</w:t>
      </w:r>
      <w:r>
        <w:rPr>
          <w:rFonts w:eastAsia="Times New Roman"/>
          <w:sz w:val="30"/>
          <w:szCs w:val="30"/>
          <w:lang w:val="es-ES"/>
        </w:rPr>
        <w:br/>
      </w:r>
      <w:r>
        <w:rPr>
          <w:rFonts w:eastAsia="Times New Roman"/>
          <w:sz w:val="30"/>
          <w:szCs w:val="30"/>
          <w:lang w:val="es-ES"/>
        </w:rPr>
        <w:br/>
        <w:t>1. En lo referente a asesoría o consultas legales, el servicio de Patrocinio Social se prestará en todas las materias a cualquier persona que lo requiera o solicite, sin excepción alguna.</w:t>
      </w:r>
      <w:r>
        <w:rPr>
          <w:rFonts w:eastAsia="Times New Roman"/>
          <w:sz w:val="30"/>
          <w:szCs w:val="30"/>
          <w:lang w:val="es-ES"/>
        </w:rPr>
        <w:br/>
      </w:r>
      <w:r>
        <w:rPr>
          <w:rFonts w:eastAsia="Times New Roman"/>
          <w:sz w:val="30"/>
          <w:szCs w:val="30"/>
          <w:lang w:val="es-ES"/>
        </w:rPr>
        <w:br/>
        <w:t>En todo lo referente a la asistencia legal documentaria de trá</w:t>
      </w:r>
      <w:r>
        <w:rPr>
          <w:rFonts w:eastAsia="Times New Roman"/>
          <w:sz w:val="30"/>
          <w:szCs w:val="30"/>
          <w:lang w:val="es-ES"/>
        </w:rPr>
        <w:t>mites administrativos, como la elaboración de minutas o peticiones de derechos, así como patrocinio judicial o litigio de cualquiera de las causas que se presenten en la Defensoría Pública, el Servicio de Patrocinio Social se prestará a las personas o grup</w:t>
      </w:r>
      <w:r>
        <w:rPr>
          <w:rFonts w:eastAsia="Times New Roman"/>
          <w:sz w:val="30"/>
          <w:szCs w:val="30"/>
          <w:lang w:val="es-ES"/>
        </w:rPr>
        <w:t>os de personas de atención prioritaria descritos en el artículo siguiente.</w:t>
      </w:r>
    </w:p>
    <w:p w:rsidR="00000000" w:rsidRDefault="00444263">
      <w:pPr>
        <w:divId w:val="480923322"/>
        <w:rPr>
          <w:rFonts w:eastAsia="Times New Roman"/>
          <w:sz w:val="30"/>
          <w:szCs w:val="30"/>
          <w:lang w:val="es-ES"/>
        </w:rPr>
      </w:pPr>
      <w:r>
        <w:rPr>
          <w:rFonts w:eastAsia="Times New Roman"/>
          <w:sz w:val="30"/>
          <w:szCs w:val="30"/>
          <w:lang w:val="es-ES"/>
        </w:rPr>
        <w:t>Art. 4.-</w:t>
      </w:r>
      <w:r>
        <w:rPr>
          <w:rFonts w:eastAsia="Times New Roman"/>
          <w:b/>
          <w:bCs/>
          <w:sz w:val="30"/>
          <w:szCs w:val="30"/>
          <w:lang w:val="es-ES"/>
        </w:rPr>
        <w:t xml:space="preserve"> Grupos de atención prioritaria del servicio de patrocinio social.-</w:t>
      </w:r>
      <w:r>
        <w:rPr>
          <w:rFonts w:eastAsia="Times New Roman"/>
          <w:sz w:val="30"/>
          <w:szCs w:val="30"/>
          <w:lang w:val="es-ES"/>
        </w:rPr>
        <w:t xml:space="preserve"> Las personas o grupos de personas que recibirán la asistencia técnico-jurídica para el servicio de asiste</w:t>
      </w:r>
      <w:r>
        <w:rPr>
          <w:rFonts w:eastAsia="Times New Roman"/>
          <w:sz w:val="30"/>
          <w:szCs w:val="30"/>
          <w:lang w:val="es-ES"/>
        </w:rPr>
        <w:t>ncia legal documentaria y patrocinio judicial o litigio son los siguientes:</w:t>
      </w:r>
    </w:p>
    <w:p w:rsidR="00000000" w:rsidRDefault="00444263">
      <w:pPr>
        <w:rPr>
          <w:rFonts w:eastAsia="Times New Roman"/>
          <w:sz w:val="30"/>
          <w:szCs w:val="30"/>
          <w:lang w:val="es-E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4"/>
        <w:gridCol w:w="5524"/>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jc w:val="center"/>
              <w:rPr>
                <w:rFonts w:eastAsia="Times New Roman"/>
              </w:rPr>
            </w:pPr>
            <w:r>
              <w:rPr>
                <w:rFonts w:eastAsia="Times New Roman"/>
                <w:b/>
                <w:bCs/>
              </w:rPr>
              <w:lastRenderedPageBreak/>
              <w:t>Grupo de Atención Prioritaria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jc w:val="center"/>
              <w:rPr>
                <w:rFonts w:eastAsia="Times New Roman"/>
              </w:rPr>
            </w:pPr>
            <w:r>
              <w:rPr>
                <w:rFonts w:eastAsia="Times New Roman"/>
              </w:rPr>
              <w:t>Verificación de condición</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b/>
                <w:bCs/>
              </w:rPr>
              <w:t>Niñas, niños y adolescentes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Partida de nacimiento o cédula de ciudadanía o identidad.</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Mujeres embarazadas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Certificado m</w:t>
            </w:r>
            <w:r>
              <w:rPr>
                <w:rFonts w:eastAsia="Times New Roman"/>
              </w:rPr>
              <w:t>édico de un centro de salud público o del Instituto Ecuatoriano de Seguridad Social (IESS).</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Personas víctimas de violencia doméstica y sexual o maltrato infantil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Versión de la víctima, su padre o madre o representante legal.</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Personas víctimas de desastres naturales o antropogénicos, o en situación de riesgo catastrófico-natural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Comprobación del defensor a partir de información objetiva de medios de comunicación o del ente o cartera encargada de riesgos, medio ambiente, patrimo</w:t>
            </w:r>
            <w:r>
              <w:rPr>
                <w:rFonts w:eastAsia="Times New Roman"/>
              </w:rPr>
              <w:t>nio, inclusión social, entre otros.</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Personas con discapacidad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Carné del CONADIS.</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Personas pacientes de enfermedades catastróficas, de alta complejidad o mortales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Certificado médico de un centro de salud público o del Instituto Ecuatoriano de Seguridad So</w:t>
            </w:r>
            <w:r>
              <w:rPr>
                <w:rFonts w:eastAsia="Times New Roman"/>
              </w:rPr>
              <w:t>cial (IESS).</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Personas adultas mayores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 xml:space="preserve">Cédula de ciudadanía o pasaporte.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Personas pertenecientes a comunas, comunidades, pueblos y nacionalidades indígenas, afro descendientes y montubias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Autodefinición del usuario.</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 xml:space="preserve">Personas sin instrucción o educación </w:t>
            </w:r>
            <w:r>
              <w:rPr>
                <w:rFonts w:eastAsia="Times New Roman"/>
              </w:rPr>
              <w:t>primaria o básica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Cédula de ciudadanía o identidad.</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Personas residentes en sectores rurales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Planilla de luz, agua o teléfono u otros documentos públicos relacionados, excepto las parroquias rurales que tenga su población cubierto más del 50% de las necesi</w:t>
            </w:r>
            <w:r>
              <w:rPr>
                <w:rFonts w:eastAsia="Times New Roman"/>
              </w:rPr>
              <w:t>dades básicas.</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Personas privadas de la libertad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Ubicación en centros legales de privación de la libertad como Centros de Rehabilitación Social, Centros de Detención Provisional, Centros de Adolescentes Infractores y Casas de Confianza, así como lugares cl</w:t>
            </w:r>
            <w:r>
              <w:rPr>
                <w:rFonts w:eastAsia="Times New Roman"/>
              </w:rPr>
              <w:t>andestinos de encierro sea para tratamiento terapéutico o cualquier forma de privación de la libertad.</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Personas en situación de movilidad humana (migrantes).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Pasaporte, censos o movimientos migratorios, entre otros.</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Personas trabajadoras o ex trabajadoras en situación de vulnerabilidad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a) Roles de pagos, mecanizado del IESS u cualquier otro documento, donde se compruebe que su último ingreso mensual sea menor a dos salarios básicos unificados.</w:t>
            </w:r>
            <w:r>
              <w:rPr>
                <w:rFonts w:eastAsia="Times New Roman"/>
              </w:rPr>
              <w:br/>
            </w:r>
            <w:r>
              <w:rPr>
                <w:rFonts w:eastAsia="Times New Roman"/>
              </w:rPr>
              <w:br/>
              <w:t>b) Versión del trabajad</w:t>
            </w:r>
            <w:r>
              <w:rPr>
                <w:rFonts w:eastAsia="Times New Roman"/>
              </w:rPr>
              <w:t>or o ex trabajador en caso de no contar con ningún documento de respaldo.</w:t>
            </w:r>
          </w:p>
        </w:tc>
      </w:tr>
    </w:tbl>
    <w:p w:rsidR="00000000" w:rsidRDefault="00444263">
      <w:pPr>
        <w:spacing w:after="300"/>
        <w:divId w:val="232202029"/>
        <w:rPr>
          <w:rFonts w:eastAsia="Times New Roman"/>
          <w:sz w:val="30"/>
          <w:szCs w:val="30"/>
          <w:lang w:val="es-ES"/>
        </w:rPr>
      </w:pPr>
      <w:r>
        <w:rPr>
          <w:rFonts w:eastAsia="Times New Roman"/>
          <w:sz w:val="30"/>
          <w:szCs w:val="30"/>
          <w:lang w:val="es-ES"/>
        </w:rPr>
        <w:t>Art. 5.-</w:t>
      </w:r>
      <w:r>
        <w:rPr>
          <w:rFonts w:eastAsia="Times New Roman"/>
          <w:b/>
          <w:bCs/>
          <w:sz w:val="30"/>
          <w:szCs w:val="30"/>
          <w:lang w:val="es-ES"/>
        </w:rPr>
        <w:t xml:space="preserve"> Materias del servicio de patrocinio social.-</w:t>
      </w:r>
      <w:r>
        <w:rPr>
          <w:rFonts w:eastAsia="Times New Roman"/>
          <w:sz w:val="30"/>
          <w:szCs w:val="30"/>
          <w:lang w:val="es-ES"/>
        </w:rPr>
        <w:t xml:space="preserve"> La asistencia técnico-jurídica para el servicio de asistencia legal documentaria y patrocinio judicial o litigio se prestará en</w:t>
      </w:r>
      <w:r>
        <w:rPr>
          <w:rFonts w:eastAsia="Times New Roman"/>
          <w:sz w:val="30"/>
          <w:szCs w:val="30"/>
          <w:lang w:val="es-ES"/>
        </w:rPr>
        <w:t xml:space="preserve"> las siguientes materias:</w:t>
      </w:r>
    </w:p>
    <w:p w:rsidR="00000000" w:rsidRDefault="00444263">
      <w:pPr>
        <w:rPr>
          <w:rFonts w:eastAsia="Times New Roman"/>
          <w:sz w:val="30"/>
          <w:szCs w:val="30"/>
          <w:lang w:val="es-E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5"/>
        <w:gridCol w:w="5873"/>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jc w:val="center"/>
              <w:rPr>
                <w:rFonts w:eastAsia="Times New Roman"/>
              </w:rPr>
            </w:pPr>
            <w:r>
              <w:rPr>
                <w:rFonts w:eastAsia="Times New Roman"/>
                <w:b/>
                <w:bCs/>
              </w:rPr>
              <w:t>Materias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jc w:val="center"/>
              <w:rPr>
                <w:rFonts w:eastAsia="Times New Roman"/>
              </w:rPr>
            </w:pPr>
            <w:r>
              <w:rPr>
                <w:rFonts w:eastAsia="Times New Roman"/>
              </w:rPr>
              <w:t>Servicios generales</w:t>
            </w:r>
          </w:p>
        </w:tc>
      </w:tr>
      <w:tr w:rsidR="00000000">
        <w:trPr>
          <w:tblCellSpacing w:w="0" w:type="dxa"/>
        </w:trPr>
        <w:tc>
          <w:tcPr>
            <w:tcW w:w="0" w:type="auto"/>
            <w:tcBorders>
              <w:top w:val="outset" w:sz="6" w:space="0" w:color="auto"/>
              <w:left w:val="outset" w:sz="6" w:space="0" w:color="auto"/>
              <w:bottom w:val="nil"/>
              <w:right w:val="outset" w:sz="6" w:space="0" w:color="auto"/>
            </w:tcBorders>
            <w:vAlign w:val="center"/>
            <w:hideMark/>
          </w:tcPr>
          <w:p w:rsidR="00000000" w:rsidRDefault="00444263">
            <w:pPr>
              <w:rPr>
                <w:rFonts w:eastAsia="Times New Roman"/>
              </w:rPr>
            </w:pP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Alimentos</w:t>
            </w:r>
          </w:p>
        </w:tc>
      </w:tr>
      <w:tr w:rsidR="00000000">
        <w:trPr>
          <w:tblCellSpacing w:w="0" w:type="dxa"/>
        </w:trPr>
        <w:tc>
          <w:tcPr>
            <w:tcW w:w="0" w:type="auto"/>
            <w:tcBorders>
              <w:top w:val="nil"/>
              <w:left w:val="outset" w:sz="6" w:space="0" w:color="auto"/>
              <w:bottom w:val="nil"/>
              <w:right w:val="outset" w:sz="6" w:space="0" w:color="auto"/>
            </w:tcBorders>
            <w:vAlign w:val="center"/>
            <w:hideMark/>
          </w:tcPr>
          <w:p w:rsidR="00000000" w:rsidRDefault="00444263">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Tenencia</w:t>
            </w:r>
          </w:p>
        </w:tc>
      </w:tr>
      <w:tr w:rsidR="00000000">
        <w:trPr>
          <w:tblCellSpacing w:w="0" w:type="dxa"/>
        </w:trPr>
        <w:tc>
          <w:tcPr>
            <w:tcW w:w="0" w:type="auto"/>
            <w:tcBorders>
              <w:top w:val="nil"/>
              <w:left w:val="outset" w:sz="6" w:space="0" w:color="auto"/>
              <w:bottom w:val="nil"/>
              <w:right w:val="outset" w:sz="6" w:space="0" w:color="auto"/>
            </w:tcBorders>
            <w:vAlign w:val="center"/>
            <w:hideMark/>
          </w:tcPr>
          <w:p w:rsidR="00000000" w:rsidRDefault="00444263">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 xml:space="preserve">Visitas </w:t>
            </w:r>
          </w:p>
        </w:tc>
      </w:tr>
      <w:tr w:rsidR="00000000">
        <w:trPr>
          <w:tblCellSpacing w:w="0" w:type="dxa"/>
        </w:trPr>
        <w:tc>
          <w:tcPr>
            <w:tcW w:w="0" w:type="auto"/>
            <w:tcBorders>
              <w:top w:val="nil"/>
              <w:left w:val="outset" w:sz="6" w:space="0" w:color="auto"/>
              <w:bottom w:val="nil"/>
              <w:right w:val="outset" w:sz="6" w:space="0" w:color="auto"/>
            </w:tcBorders>
            <w:vAlign w:val="center"/>
            <w:hideMark/>
          </w:tcPr>
          <w:p w:rsidR="00000000" w:rsidRDefault="00444263">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Recuperación</w:t>
            </w:r>
          </w:p>
        </w:tc>
      </w:tr>
      <w:tr w:rsidR="00000000">
        <w:trPr>
          <w:tblCellSpacing w:w="0" w:type="dxa"/>
        </w:trPr>
        <w:tc>
          <w:tcPr>
            <w:tcW w:w="0" w:type="auto"/>
            <w:tcBorders>
              <w:top w:val="nil"/>
              <w:left w:val="outset" w:sz="6" w:space="0" w:color="auto"/>
              <w:bottom w:val="nil"/>
              <w:right w:val="outset" w:sz="6" w:space="0" w:color="auto"/>
            </w:tcBorders>
            <w:vAlign w:val="center"/>
            <w:hideMark/>
          </w:tcPr>
          <w:p w:rsidR="00000000" w:rsidRDefault="00444263">
            <w:pPr>
              <w:rPr>
                <w:rFonts w:eastAsia="Times New Roman"/>
              </w:rPr>
            </w:pPr>
            <w:r>
              <w:rPr>
                <w:rFonts w:eastAsia="Times New Roman"/>
              </w:rPr>
              <w:t>Niñez y adolescencia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Ayuda prenatal</w:t>
            </w:r>
          </w:p>
        </w:tc>
      </w:tr>
      <w:tr w:rsidR="00000000">
        <w:trPr>
          <w:tblCellSpacing w:w="0" w:type="dxa"/>
        </w:trPr>
        <w:tc>
          <w:tcPr>
            <w:tcW w:w="0" w:type="auto"/>
            <w:tcBorders>
              <w:top w:val="nil"/>
              <w:left w:val="outset" w:sz="6" w:space="0" w:color="auto"/>
              <w:bottom w:val="nil"/>
              <w:right w:val="outset" w:sz="6" w:space="0" w:color="auto"/>
            </w:tcBorders>
            <w:vAlign w:val="center"/>
            <w:hideMark/>
          </w:tcPr>
          <w:p w:rsidR="00000000" w:rsidRDefault="00444263">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Medidas de protección</w:t>
            </w:r>
          </w:p>
        </w:tc>
      </w:tr>
      <w:tr w:rsidR="00000000">
        <w:trPr>
          <w:tblCellSpacing w:w="0" w:type="dxa"/>
        </w:trPr>
        <w:tc>
          <w:tcPr>
            <w:tcW w:w="0" w:type="auto"/>
            <w:tcBorders>
              <w:top w:val="nil"/>
              <w:left w:val="outset" w:sz="6" w:space="0" w:color="auto"/>
              <w:bottom w:val="nil"/>
              <w:right w:val="outset" w:sz="6" w:space="0" w:color="auto"/>
            </w:tcBorders>
            <w:vAlign w:val="center"/>
            <w:hideMark/>
          </w:tcPr>
          <w:p w:rsidR="00000000" w:rsidRDefault="00444263">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Permisos de salida del país</w:t>
            </w:r>
          </w:p>
        </w:tc>
      </w:tr>
      <w:tr w:rsidR="00000000">
        <w:trPr>
          <w:tblCellSpacing w:w="0" w:type="dxa"/>
        </w:trPr>
        <w:tc>
          <w:tcPr>
            <w:tcW w:w="0" w:type="auto"/>
            <w:tcBorders>
              <w:top w:val="nil"/>
              <w:left w:val="outset" w:sz="6" w:space="0" w:color="auto"/>
              <w:bottom w:val="nil"/>
              <w:right w:val="outset" w:sz="6" w:space="0" w:color="auto"/>
            </w:tcBorders>
            <w:vAlign w:val="center"/>
            <w:hideMark/>
          </w:tcPr>
          <w:p w:rsidR="00000000" w:rsidRDefault="00444263">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Investigación de paternidad</w:t>
            </w:r>
          </w:p>
        </w:tc>
      </w:tr>
      <w:tr w:rsidR="00000000">
        <w:trPr>
          <w:tblCellSpacing w:w="0" w:type="dxa"/>
        </w:trPr>
        <w:tc>
          <w:tcPr>
            <w:tcW w:w="0" w:type="auto"/>
            <w:tcBorders>
              <w:top w:val="nil"/>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Declaración de adoptabilidad</w:t>
            </w:r>
          </w:p>
        </w:tc>
      </w:tr>
      <w:tr w:rsidR="00000000">
        <w:trPr>
          <w:tblCellSpacing w:w="0" w:type="dxa"/>
        </w:trPr>
        <w:tc>
          <w:tcPr>
            <w:tcW w:w="0" w:type="auto"/>
            <w:tcBorders>
              <w:top w:val="outset" w:sz="6" w:space="0" w:color="auto"/>
              <w:left w:val="outset" w:sz="6" w:space="0" w:color="auto"/>
              <w:bottom w:val="nil"/>
              <w:right w:val="outset" w:sz="6" w:space="0" w:color="auto"/>
            </w:tcBorders>
            <w:vAlign w:val="center"/>
            <w:hideMark/>
          </w:tcPr>
          <w:p w:rsidR="00000000" w:rsidRDefault="00444263">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Todos los temas relacionados únicamente al Libro I del Código Civil, en los casos donde existan niños, niñas y adolescentes o personas con capacidades especiales, cuando el patrocinio sea fundamental o necesario para precaut</w:t>
            </w:r>
            <w:r>
              <w:rPr>
                <w:rFonts w:eastAsia="Times New Roman"/>
              </w:rPr>
              <w:t>elar el interés superior de estos grupos. En casos de divorcio sólo se patrocinará a la persona demandada.</w:t>
            </w:r>
          </w:p>
        </w:tc>
      </w:tr>
      <w:tr w:rsidR="00000000">
        <w:trPr>
          <w:tblCellSpacing w:w="0" w:type="dxa"/>
        </w:trPr>
        <w:tc>
          <w:tcPr>
            <w:tcW w:w="0" w:type="auto"/>
            <w:tcBorders>
              <w:top w:val="nil"/>
              <w:left w:val="outset" w:sz="6" w:space="0" w:color="auto"/>
              <w:bottom w:val="nil"/>
              <w:right w:val="outset" w:sz="6" w:space="0" w:color="auto"/>
            </w:tcBorders>
            <w:vAlign w:val="center"/>
            <w:hideMark/>
          </w:tcPr>
          <w:p w:rsidR="00000000" w:rsidRDefault="00444263">
            <w:pPr>
              <w:rPr>
                <w:rFonts w:eastAsia="Times New Roman"/>
              </w:rPr>
            </w:pPr>
            <w:r>
              <w:rPr>
                <w:rFonts w:eastAsia="Times New Roman"/>
              </w:rPr>
              <w:br/>
              <w:t>Civil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Amparos posesorios, excepto cuando existan presunciones que el patrocinio pueda ser utilizado como mecanismo para legalizar invasiones.</w:t>
            </w:r>
          </w:p>
        </w:tc>
      </w:tr>
      <w:tr w:rsidR="00000000">
        <w:trPr>
          <w:tblCellSpacing w:w="0" w:type="dxa"/>
        </w:trPr>
        <w:tc>
          <w:tcPr>
            <w:tcW w:w="0" w:type="auto"/>
            <w:tcBorders>
              <w:top w:val="nil"/>
              <w:left w:val="outset" w:sz="6" w:space="0" w:color="auto"/>
              <w:bottom w:val="nil"/>
              <w:right w:val="outset" w:sz="6" w:space="0" w:color="auto"/>
            </w:tcBorders>
            <w:vAlign w:val="center"/>
            <w:hideMark/>
          </w:tcPr>
          <w:p w:rsidR="00000000" w:rsidRDefault="00444263">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Pr</w:t>
            </w:r>
            <w:r>
              <w:rPr>
                <w:rFonts w:eastAsia="Times New Roman"/>
              </w:rPr>
              <w:t xml:space="preserve">escripción adquisitiva de dominio, excepto cuando existan presunciones que el patrocinio pueda ser utilizado como mecanismo para legalizar invasiones, o cuando la superficie del inmueble supere los 200 metros cuadrados en el sector urbano o 5 hectáreas en </w:t>
            </w:r>
            <w:r>
              <w:rPr>
                <w:rFonts w:eastAsia="Times New Roman"/>
              </w:rPr>
              <w:t>el sector rural.</w:t>
            </w:r>
          </w:p>
        </w:tc>
      </w:tr>
      <w:tr w:rsidR="00000000">
        <w:trPr>
          <w:tblCellSpacing w:w="0" w:type="dxa"/>
        </w:trPr>
        <w:tc>
          <w:tcPr>
            <w:tcW w:w="0" w:type="auto"/>
            <w:tcBorders>
              <w:top w:val="nil"/>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 xml:space="preserve">Posesión efectiva únicamente hasta la elaboración de la minuta correspondiente, de personas que se encuentren dentro de los grupos de atención de la Defensoría Pública. </w:t>
            </w:r>
          </w:p>
        </w:tc>
      </w:tr>
      <w:tr w:rsidR="00000000">
        <w:trPr>
          <w:tblCellSpacing w:w="0" w:type="dxa"/>
        </w:trPr>
        <w:tc>
          <w:tcPr>
            <w:tcW w:w="0" w:type="auto"/>
            <w:tcBorders>
              <w:top w:val="outset" w:sz="6" w:space="0" w:color="auto"/>
              <w:left w:val="outset" w:sz="6" w:space="0" w:color="auto"/>
              <w:bottom w:val="nil"/>
              <w:right w:val="outset" w:sz="6" w:space="0" w:color="auto"/>
            </w:tcBorders>
            <w:vAlign w:val="center"/>
            <w:hideMark/>
          </w:tcPr>
          <w:p w:rsidR="00000000" w:rsidRDefault="00444263">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Vistos buenos</w:t>
            </w:r>
          </w:p>
        </w:tc>
      </w:tr>
      <w:tr w:rsidR="00000000">
        <w:trPr>
          <w:tblCellSpacing w:w="0" w:type="dxa"/>
        </w:trPr>
        <w:tc>
          <w:tcPr>
            <w:tcW w:w="0" w:type="auto"/>
            <w:tcBorders>
              <w:top w:val="nil"/>
              <w:left w:val="outset" w:sz="6" w:space="0" w:color="auto"/>
              <w:bottom w:val="nil"/>
              <w:right w:val="outset" w:sz="6" w:space="0" w:color="auto"/>
            </w:tcBorders>
            <w:vAlign w:val="center"/>
            <w:hideMark/>
          </w:tcPr>
          <w:p w:rsidR="00000000" w:rsidRDefault="00444263">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Desahucios</w:t>
            </w:r>
          </w:p>
        </w:tc>
      </w:tr>
      <w:tr w:rsidR="00000000">
        <w:trPr>
          <w:tblCellSpacing w:w="0" w:type="dxa"/>
        </w:trPr>
        <w:tc>
          <w:tcPr>
            <w:tcW w:w="0" w:type="auto"/>
            <w:tcBorders>
              <w:top w:val="nil"/>
              <w:left w:val="outset" w:sz="6" w:space="0" w:color="auto"/>
              <w:bottom w:val="nil"/>
              <w:right w:val="outset" w:sz="6" w:space="0" w:color="auto"/>
            </w:tcBorders>
            <w:vAlign w:val="center"/>
            <w:hideMark/>
          </w:tcPr>
          <w:p w:rsidR="00000000" w:rsidRDefault="00444263">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 xml:space="preserve">Solicitudes de boleta única </w:t>
            </w:r>
          </w:p>
        </w:tc>
      </w:tr>
      <w:tr w:rsidR="00000000">
        <w:trPr>
          <w:tblCellSpacing w:w="0" w:type="dxa"/>
        </w:trPr>
        <w:tc>
          <w:tcPr>
            <w:tcW w:w="0" w:type="auto"/>
            <w:tcBorders>
              <w:top w:val="nil"/>
              <w:left w:val="outset" w:sz="6" w:space="0" w:color="auto"/>
              <w:bottom w:val="nil"/>
              <w:right w:val="outset" w:sz="6" w:space="0" w:color="auto"/>
            </w:tcBorders>
            <w:vAlign w:val="center"/>
            <w:hideMark/>
          </w:tcPr>
          <w:p w:rsidR="00000000" w:rsidRDefault="00444263">
            <w:pPr>
              <w:rPr>
                <w:rFonts w:eastAsia="Times New Roman"/>
              </w:rPr>
            </w:pPr>
            <w:r>
              <w:rPr>
                <w:rFonts w:eastAsia="Times New Roman"/>
              </w:rPr>
              <w:t>Laboral</w:t>
            </w:r>
            <w:r>
              <w:rPr>
                <w:rFonts w:eastAsia="Times New Roman"/>
              </w:rPr>
              <w:br/>
              <w:t>(Únicamente defensa del trabajador)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Solicitudes de constatación de despido intempestivo, cambio de ocupación del trabajador, investigación integral de las empresas, etc.</w:t>
            </w:r>
          </w:p>
        </w:tc>
      </w:tr>
      <w:tr w:rsidR="00000000">
        <w:trPr>
          <w:tblCellSpacing w:w="0" w:type="dxa"/>
        </w:trPr>
        <w:tc>
          <w:tcPr>
            <w:tcW w:w="0" w:type="auto"/>
            <w:tcBorders>
              <w:top w:val="nil"/>
              <w:left w:val="outset" w:sz="6" w:space="0" w:color="auto"/>
              <w:bottom w:val="nil"/>
              <w:right w:val="outset" w:sz="6" w:space="0" w:color="auto"/>
            </w:tcBorders>
            <w:vAlign w:val="center"/>
            <w:hideMark/>
          </w:tcPr>
          <w:p w:rsidR="00000000" w:rsidRDefault="00444263">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Incumplimiento de contratos</w:t>
            </w:r>
          </w:p>
        </w:tc>
      </w:tr>
      <w:tr w:rsidR="00000000">
        <w:trPr>
          <w:tblCellSpacing w:w="0" w:type="dxa"/>
        </w:trPr>
        <w:tc>
          <w:tcPr>
            <w:tcW w:w="0" w:type="auto"/>
            <w:tcBorders>
              <w:top w:val="nil"/>
              <w:left w:val="outset" w:sz="6" w:space="0" w:color="auto"/>
              <w:bottom w:val="nil"/>
              <w:right w:val="outset" w:sz="6" w:space="0" w:color="auto"/>
            </w:tcBorders>
            <w:vAlign w:val="center"/>
            <w:hideMark/>
          </w:tcPr>
          <w:p w:rsidR="00000000" w:rsidRDefault="00444263">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Jubilación patronal</w:t>
            </w:r>
          </w:p>
        </w:tc>
      </w:tr>
      <w:tr w:rsidR="00000000">
        <w:trPr>
          <w:tblCellSpacing w:w="0" w:type="dxa"/>
        </w:trPr>
        <w:tc>
          <w:tcPr>
            <w:tcW w:w="0" w:type="auto"/>
            <w:tcBorders>
              <w:top w:val="nil"/>
              <w:left w:val="outset" w:sz="6" w:space="0" w:color="auto"/>
              <w:bottom w:val="nil"/>
              <w:right w:val="outset" w:sz="6" w:space="0" w:color="auto"/>
            </w:tcBorders>
            <w:vAlign w:val="center"/>
            <w:hideMark/>
          </w:tcPr>
          <w:p w:rsidR="00000000" w:rsidRDefault="00444263">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 xml:space="preserve">Impugnación de actas </w:t>
            </w:r>
            <w:r>
              <w:rPr>
                <w:rFonts w:eastAsia="Times New Roman"/>
              </w:rPr>
              <w:t>de finiquito</w:t>
            </w:r>
          </w:p>
        </w:tc>
      </w:tr>
      <w:tr w:rsidR="00000000">
        <w:trPr>
          <w:tblCellSpacing w:w="0" w:type="dxa"/>
        </w:trPr>
        <w:tc>
          <w:tcPr>
            <w:tcW w:w="0" w:type="auto"/>
            <w:tcBorders>
              <w:top w:val="nil"/>
              <w:left w:val="outset" w:sz="6" w:space="0" w:color="auto"/>
              <w:bottom w:val="nil"/>
              <w:right w:val="outset" w:sz="6" w:space="0" w:color="auto"/>
            </w:tcBorders>
            <w:vAlign w:val="center"/>
            <w:hideMark/>
          </w:tcPr>
          <w:p w:rsidR="00000000" w:rsidRDefault="00444263">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Reclamación de derechos sociales adquiridos</w:t>
            </w:r>
          </w:p>
        </w:tc>
      </w:tr>
      <w:tr w:rsidR="00000000">
        <w:trPr>
          <w:tblCellSpacing w:w="0" w:type="dxa"/>
        </w:trPr>
        <w:tc>
          <w:tcPr>
            <w:tcW w:w="0" w:type="auto"/>
            <w:tcBorders>
              <w:top w:val="nil"/>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Despidos intempestivos</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br/>
              <w:t>Violencia intrafamiliar (contra cualquier víctima mujer o personas pertenecientes a grupos GLBTI)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Contravenciones generales, siempre y cuando la persona denunciante sea la víctima. Excepcionalmente, la o el defensor pública patrocinará:</w:t>
            </w:r>
            <w:r>
              <w:rPr>
                <w:rFonts w:eastAsia="Times New Roman"/>
              </w:rPr>
              <w:br/>
            </w:r>
            <w:r>
              <w:rPr>
                <w:rFonts w:eastAsia="Times New Roman"/>
              </w:rPr>
              <w:br/>
              <w:t xml:space="preserve">a) En aquellos casos donde el procesado no cuente con defensor y, para evitar la impunidad o la marcha del proceso, </w:t>
            </w:r>
            <w:r>
              <w:rPr>
                <w:rFonts w:eastAsia="Times New Roman"/>
              </w:rPr>
              <w:t>éste será asistido por un defensor público.</w:t>
            </w:r>
            <w:r>
              <w:rPr>
                <w:rFonts w:eastAsia="Times New Roman"/>
              </w:rPr>
              <w:br/>
            </w:r>
            <w:r>
              <w:rPr>
                <w:rFonts w:eastAsia="Times New Roman"/>
              </w:rPr>
              <w:br/>
            </w:r>
            <w:r>
              <w:rPr>
                <w:rFonts w:eastAsia="Times New Roman"/>
              </w:rPr>
              <w:lastRenderedPageBreak/>
              <w:t xml:space="preserve">b) En aquellos casos donde la víctima cuente con defensor y el procesado no lo tenga, siempre y cuando la o el juez disponga del patrocinio de un defensor público.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lastRenderedPageBreak/>
              <w:t>Tierras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Legalización de tierras rurales (segú</w:t>
            </w:r>
            <w:r>
              <w:rPr>
                <w:rFonts w:eastAsia="Times New Roman"/>
              </w:rPr>
              <w:t>n programa Sig-Tierras del MAGAP)</w:t>
            </w:r>
          </w:p>
        </w:tc>
      </w:tr>
      <w:tr w:rsidR="00000000">
        <w:trPr>
          <w:tblCellSpacing w:w="0" w:type="dxa"/>
        </w:trPr>
        <w:tc>
          <w:tcPr>
            <w:tcW w:w="0" w:type="auto"/>
            <w:tcBorders>
              <w:top w:val="outset" w:sz="6" w:space="0" w:color="auto"/>
              <w:left w:val="outset" w:sz="6" w:space="0" w:color="auto"/>
              <w:bottom w:val="nil"/>
              <w:right w:val="outset" w:sz="6" w:space="0" w:color="auto"/>
            </w:tcBorders>
            <w:vAlign w:val="center"/>
            <w:hideMark/>
          </w:tcPr>
          <w:p w:rsidR="00000000" w:rsidRDefault="00444263">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Medidas cautelares</w:t>
            </w:r>
          </w:p>
        </w:tc>
      </w:tr>
      <w:tr w:rsidR="00000000">
        <w:trPr>
          <w:tblCellSpacing w:w="0" w:type="dxa"/>
        </w:trPr>
        <w:tc>
          <w:tcPr>
            <w:tcW w:w="0" w:type="auto"/>
            <w:tcBorders>
              <w:top w:val="nil"/>
              <w:left w:val="outset" w:sz="6" w:space="0" w:color="auto"/>
              <w:bottom w:val="nil"/>
              <w:right w:val="outset" w:sz="6" w:space="0" w:color="auto"/>
            </w:tcBorders>
            <w:vAlign w:val="center"/>
            <w:hideMark/>
          </w:tcPr>
          <w:p w:rsidR="00000000" w:rsidRDefault="00444263">
            <w:pPr>
              <w:rPr>
                <w:rFonts w:eastAsia="Times New Roman"/>
              </w:rPr>
            </w:pPr>
            <w:r>
              <w:rPr>
                <w:rFonts w:eastAsia="Times New Roman"/>
              </w:rPr>
              <w:t>Garantías jurisdiccionales en materias sociales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 xml:space="preserve">Acciones de protección </w:t>
            </w:r>
          </w:p>
        </w:tc>
      </w:tr>
      <w:tr w:rsidR="00000000">
        <w:trPr>
          <w:tblCellSpacing w:w="0" w:type="dxa"/>
        </w:trPr>
        <w:tc>
          <w:tcPr>
            <w:tcW w:w="0" w:type="auto"/>
            <w:tcBorders>
              <w:top w:val="nil"/>
              <w:left w:val="outset" w:sz="6" w:space="0" w:color="auto"/>
              <w:bottom w:val="nil"/>
              <w:right w:val="outset" w:sz="6" w:space="0" w:color="auto"/>
            </w:tcBorders>
            <w:vAlign w:val="center"/>
            <w:hideMark/>
          </w:tcPr>
          <w:p w:rsidR="00000000" w:rsidRDefault="00444263">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Acción extraordinaria de protección</w:t>
            </w:r>
          </w:p>
        </w:tc>
      </w:tr>
      <w:tr w:rsidR="00000000">
        <w:trPr>
          <w:tblCellSpacing w:w="0" w:type="dxa"/>
        </w:trPr>
        <w:tc>
          <w:tcPr>
            <w:tcW w:w="0" w:type="auto"/>
            <w:tcBorders>
              <w:top w:val="nil"/>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Hábeas corpus</w:t>
            </w:r>
          </w:p>
        </w:tc>
      </w:tr>
      <w:tr w:rsidR="00000000">
        <w:trPr>
          <w:tblCellSpacing w:w="0" w:type="dxa"/>
        </w:trPr>
        <w:tc>
          <w:tcPr>
            <w:tcW w:w="0" w:type="auto"/>
            <w:tcBorders>
              <w:top w:val="outset" w:sz="6" w:space="0" w:color="auto"/>
              <w:left w:val="outset" w:sz="6" w:space="0" w:color="auto"/>
              <w:bottom w:val="nil"/>
              <w:right w:val="outset" w:sz="6" w:space="0" w:color="auto"/>
            </w:tcBorders>
            <w:vAlign w:val="center"/>
            <w:hideMark/>
          </w:tcPr>
          <w:p w:rsidR="00000000" w:rsidRDefault="00444263">
            <w:pPr>
              <w:rPr>
                <w:rFonts w:eastAsia="Times New Roman"/>
              </w:rPr>
            </w:pPr>
            <w:r>
              <w:rPr>
                <w:rFonts w:eastAsia="Times New Roman"/>
              </w:rPr>
              <w:t>Inquilinato, única y exclusivamente en vivienda.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Desahucios</w:t>
            </w:r>
          </w:p>
        </w:tc>
      </w:tr>
      <w:tr w:rsidR="00000000">
        <w:trPr>
          <w:tblCellSpacing w:w="0" w:type="dxa"/>
        </w:trPr>
        <w:tc>
          <w:tcPr>
            <w:tcW w:w="0" w:type="auto"/>
            <w:tcBorders>
              <w:top w:val="nil"/>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44263">
            <w:pPr>
              <w:rPr>
                <w:rFonts w:eastAsia="Times New Roman"/>
              </w:rPr>
            </w:pPr>
            <w:r>
              <w:rPr>
                <w:rFonts w:eastAsia="Times New Roman"/>
              </w:rPr>
              <w:t>Incumplimiento de contratos</w:t>
            </w:r>
          </w:p>
        </w:tc>
      </w:tr>
    </w:tbl>
    <w:p w:rsidR="00000000" w:rsidRDefault="00444263">
      <w:pPr>
        <w:divId w:val="1684746438"/>
        <w:rPr>
          <w:rFonts w:eastAsia="Times New Roman"/>
          <w:sz w:val="30"/>
          <w:szCs w:val="30"/>
          <w:lang w:val="es-ES"/>
        </w:rPr>
      </w:pPr>
      <w:r>
        <w:rPr>
          <w:rFonts w:eastAsia="Times New Roman"/>
          <w:sz w:val="30"/>
          <w:szCs w:val="30"/>
          <w:lang w:val="es-ES"/>
        </w:rPr>
        <w:t>Art. 6.-</w:t>
      </w:r>
      <w:r>
        <w:rPr>
          <w:rFonts w:eastAsia="Times New Roman"/>
          <w:b/>
          <w:bCs/>
          <w:sz w:val="30"/>
          <w:szCs w:val="30"/>
          <w:lang w:val="es-ES"/>
        </w:rPr>
        <w:t xml:space="preserve"> Consulta en caso de dudas.-</w:t>
      </w:r>
      <w:r>
        <w:rPr>
          <w:rFonts w:eastAsia="Times New Roman"/>
          <w:sz w:val="30"/>
          <w:szCs w:val="30"/>
          <w:lang w:val="es-ES"/>
        </w:rPr>
        <w:t xml:space="preserve"> En casos de dudas sobre los grupos de atención para la aplicación del presente instructivo, o si se tratase de casos complejos o emblemáticos, la o el defensor público consultará de forma in</w:t>
      </w:r>
      <w:r>
        <w:rPr>
          <w:rFonts w:eastAsia="Times New Roman"/>
          <w:sz w:val="30"/>
          <w:szCs w:val="30"/>
          <w:lang w:val="es-ES"/>
        </w:rPr>
        <w:t>mediata con su superior jerárquico, sea éste Coordinador del Subproceso, Subdirector del Proceso o Defensor Público Provincial.</w:t>
      </w:r>
      <w:r>
        <w:rPr>
          <w:rFonts w:eastAsia="Times New Roman"/>
          <w:sz w:val="30"/>
          <w:szCs w:val="30"/>
          <w:lang w:val="es-ES"/>
        </w:rPr>
        <w:br/>
      </w:r>
      <w:r>
        <w:rPr>
          <w:rFonts w:eastAsia="Times New Roman"/>
          <w:sz w:val="30"/>
          <w:szCs w:val="30"/>
          <w:lang w:val="es-ES"/>
        </w:rPr>
        <w:br/>
        <w:t>Si persiste la duda o complejidad, siempre y cuando el caso no presenta urgencia en su tratamiento, el defensor o defensora a t</w:t>
      </w:r>
      <w:r>
        <w:rPr>
          <w:rFonts w:eastAsia="Times New Roman"/>
          <w:sz w:val="30"/>
          <w:szCs w:val="30"/>
          <w:lang w:val="es-ES"/>
        </w:rPr>
        <w:t>ravés de su inmediato jerárquico superior, lo remitirá al Comité de Patrocinio y Acreditación de la Defensoría Pública.</w:t>
      </w:r>
      <w:r>
        <w:rPr>
          <w:rFonts w:eastAsia="Times New Roman"/>
          <w:sz w:val="30"/>
          <w:szCs w:val="30"/>
          <w:lang w:val="es-ES"/>
        </w:rPr>
        <w:br/>
      </w:r>
      <w:r>
        <w:rPr>
          <w:rFonts w:eastAsia="Times New Roman"/>
          <w:sz w:val="30"/>
          <w:szCs w:val="30"/>
          <w:lang w:val="es-ES"/>
        </w:rPr>
        <w:br/>
        <w:t xml:space="preserve">En el caso de que una causa se considere emblemática por generar un precedente judicial en materia de derechos, la Defensoría Pública, </w:t>
      </w:r>
      <w:r>
        <w:rPr>
          <w:rFonts w:eastAsia="Times New Roman"/>
          <w:sz w:val="30"/>
          <w:szCs w:val="30"/>
          <w:lang w:val="es-ES"/>
        </w:rPr>
        <w:t>a criterio del Comité de Patrocinio y Acreditación, prestará servicios de patrocinio social en cualquier otra materia que no se haya establecido en el presente instructivo, o cuyo solicitante no pertenezca a un grupo de atención prioritaria,</w:t>
      </w:r>
    </w:p>
    <w:p w:rsidR="00000000" w:rsidRDefault="00444263">
      <w:pPr>
        <w:divId w:val="765148584"/>
        <w:rPr>
          <w:rFonts w:eastAsia="Times New Roman"/>
          <w:sz w:val="30"/>
          <w:szCs w:val="30"/>
          <w:lang w:val="es-ES"/>
        </w:rPr>
      </w:pPr>
      <w:r>
        <w:rPr>
          <w:rFonts w:eastAsia="Times New Roman"/>
          <w:sz w:val="30"/>
          <w:szCs w:val="30"/>
          <w:lang w:val="es-ES"/>
        </w:rPr>
        <w:t>Art. 7.-</w:t>
      </w:r>
      <w:r>
        <w:rPr>
          <w:rFonts w:eastAsia="Times New Roman"/>
          <w:b/>
          <w:bCs/>
          <w:sz w:val="30"/>
          <w:szCs w:val="30"/>
          <w:lang w:val="es-ES"/>
        </w:rPr>
        <w:t xml:space="preserve"> Atenc</w:t>
      </w:r>
      <w:r>
        <w:rPr>
          <w:rFonts w:eastAsia="Times New Roman"/>
          <w:b/>
          <w:bCs/>
          <w:sz w:val="30"/>
          <w:szCs w:val="30"/>
          <w:lang w:val="es-ES"/>
        </w:rPr>
        <w:t>ión del usuario.-</w:t>
      </w:r>
      <w:r>
        <w:rPr>
          <w:rFonts w:eastAsia="Times New Roman"/>
          <w:sz w:val="30"/>
          <w:szCs w:val="30"/>
          <w:lang w:val="es-ES"/>
        </w:rPr>
        <w:t xml:space="preserve"> En casos de emergencia y cuando se trate de precautelar los intereses de personas o grupos de personas de atención prioritaria, se atenderá inmediatamente al usuario y se procederá a las consultas determinadas en el artículo precedente.</w:t>
      </w:r>
    </w:p>
    <w:p w:rsidR="00000000" w:rsidRDefault="00444263">
      <w:pPr>
        <w:divId w:val="31880133"/>
        <w:rPr>
          <w:rFonts w:eastAsia="Times New Roman"/>
          <w:sz w:val="30"/>
          <w:szCs w:val="30"/>
          <w:lang w:val="es-ES"/>
        </w:rPr>
      </w:pPr>
      <w:r>
        <w:rPr>
          <w:rFonts w:eastAsia="Times New Roman"/>
          <w:sz w:val="30"/>
          <w:szCs w:val="30"/>
          <w:lang w:val="es-ES"/>
        </w:rPr>
        <w:t>A</w:t>
      </w:r>
      <w:r>
        <w:rPr>
          <w:rFonts w:eastAsia="Times New Roman"/>
          <w:sz w:val="30"/>
          <w:szCs w:val="30"/>
          <w:lang w:val="es-ES"/>
        </w:rPr>
        <w:t>rt. 8.-</w:t>
      </w:r>
      <w:r>
        <w:rPr>
          <w:rFonts w:eastAsia="Times New Roman"/>
          <w:b/>
          <w:bCs/>
          <w:sz w:val="30"/>
          <w:szCs w:val="30"/>
          <w:lang w:val="es-ES"/>
        </w:rPr>
        <w:t xml:space="preserve"> Responsabilidad y excusa del defensor.-</w:t>
      </w:r>
      <w:r>
        <w:rPr>
          <w:rFonts w:eastAsia="Times New Roman"/>
          <w:sz w:val="30"/>
          <w:szCs w:val="30"/>
          <w:lang w:val="es-ES"/>
        </w:rPr>
        <w:t xml:space="preserve"> Las y los defensores públicos que atiendan los casos serán responsables de la aplicación de los criterios para selección establecidos en este Instructivo,</w:t>
      </w:r>
      <w:r>
        <w:rPr>
          <w:rFonts w:eastAsia="Times New Roman"/>
          <w:sz w:val="30"/>
          <w:szCs w:val="30"/>
          <w:lang w:val="es-ES"/>
        </w:rPr>
        <w:br/>
      </w:r>
      <w:r>
        <w:rPr>
          <w:rFonts w:eastAsia="Times New Roman"/>
          <w:sz w:val="30"/>
          <w:szCs w:val="30"/>
          <w:lang w:val="es-ES"/>
        </w:rPr>
        <w:br/>
        <w:t xml:space="preserve">En ningún caso la o el defensor público patrocinará </w:t>
      </w:r>
      <w:r>
        <w:rPr>
          <w:rFonts w:eastAsia="Times New Roman"/>
          <w:sz w:val="30"/>
          <w:szCs w:val="30"/>
          <w:lang w:val="es-ES"/>
        </w:rPr>
        <w:t xml:space="preserve">causas en las </w:t>
      </w:r>
      <w:r>
        <w:rPr>
          <w:rFonts w:eastAsia="Times New Roman"/>
          <w:sz w:val="30"/>
          <w:szCs w:val="30"/>
          <w:lang w:val="es-ES"/>
        </w:rPr>
        <w:lastRenderedPageBreak/>
        <w:t>cuales se halle dentro del cuarto grado de consanguinidad o segundo de afinidad con una o varias partes procesales. En este supuesto, la o el defensor deberá excusarse y la causa se derivará a otro defensor público.</w:t>
      </w:r>
    </w:p>
    <w:p w:rsidR="00000000" w:rsidRDefault="00444263">
      <w:pPr>
        <w:jc w:val="center"/>
        <w:rPr>
          <w:rFonts w:eastAsia="Times New Roman"/>
          <w:sz w:val="36"/>
          <w:szCs w:val="36"/>
          <w:lang w:val="es-ES"/>
        </w:rPr>
      </w:pPr>
      <w:r>
        <w:rPr>
          <w:rFonts w:eastAsia="Times New Roman"/>
          <w:b/>
          <w:bCs/>
          <w:sz w:val="36"/>
          <w:szCs w:val="36"/>
          <w:lang w:val="es-ES"/>
        </w:rPr>
        <w:br/>
        <w:t>DISPOSICIONES TRANSITORIA</w:t>
      </w:r>
      <w:r>
        <w:rPr>
          <w:rFonts w:eastAsia="Times New Roman"/>
          <w:b/>
          <w:bCs/>
          <w:sz w:val="36"/>
          <w:szCs w:val="36"/>
          <w:lang w:val="es-ES"/>
        </w:rPr>
        <w:t>S</w:t>
      </w:r>
    </w:p>
    <w:p w:rsidR="00000000" w:rsidRDefault="00444263">
      <w:pPr>
        <w:divId w:val="164126471"/>
        <w:rPr>
          <w:rFonts w:eastAsia="Times New Roman"/>
          <w:sz w:val="30"/>
          <w:szCs w:val="30"/>
          <w:lang w:val="es-ES"/>
        </w:rPr>
      </w:pPr>
      <w:r>
        <w:rPr>
          <w:rFonts w:eastAsia="Times New Roman"/>
          <w:b/>
          <w:bCs/>
          <w:sz w:val="30"/>
          <w:szCs w:val="30"/>
          <w:lang w:val="es-ES"/>
        </w:rPr>
        <w:t>Primera.-</w:t>
      </w:r>
      <w:r>
        <w:rPr>
          <w:rFonts w:eastAsia="Times New Roman"/>
          <w:sz w:val="30"/>
          <w:szCs w:val="30"/>
          <w:lang w:val="es-ES"/>
        </w:rPr>
        <w:t xml:space="preserve"> El Servicio de Patrocinio Social para otras materias se implementará gradualmente por etapas, conforme el fortalecimiento institucional de la Defensoría Pública.</w:t>
      </w:r>
      <w:r>
        <w:rPr>
          <w:rFonts w:eastAsia="Times New Roman"/>
          <w:sz w:val="30"/>
          <w:szCs w:val="30"/>
          <w:lang w:val="es-ES"/>
        </w:rPr>
        <w:br/>
      </w:r>
      <w:r>
        <w:rPr>
          <w:rFonts w:eastAsia="Times New Roman"/>
          <w:sz w:val="30"/>
          <w:szCs w:val="30"/>
          <w:lang w:val="es-ES"/>
        </w:rPr>
        <w:br/>
        <w:t>Para complementar la prestación de servicios gratuitos de patrocinio y resolución</w:t>
      </w:r>
      <w:r>
        <w:rPr>
          <w:rFonts w:eastAsia="Times New Roman"/>
          <w:sz w:val="30"/>
          <w:szCs w:val="30"/>
          <w:lang w:val="es-ES"/>
        </w:rPr>
        <w:t xml:space="preserve"> temprana de conflictos en todas las materias, la Defensoría Pública implementará paulatinamente un sistema nacional, incorporando la participación de otras organizaciones sociales y niveles de gobierno. Se priorizará también la utilización de soluciones a</w:t>
      </w:r>
      <w:r>
        <w:rPr>
          <w:rFonts w:eastAsia="Times New Roman"/>
          <w:sz w:val="30"/>
          <w:szCs w:val="30"/>
          <w:lang w:val="es-ES"/>
        </w:rPr>
        <w:t>lternativas de conflictos.</w:t>
      </w:r>
    </w:p>
    <w:p w:rsidR="00000000" w:rsidRDefault="00444263">
      <w:pPr>
        <w:divId w:val="1028994323"/>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La Defensoría Pública dictará, dentro de los ciento ochenta días posteriores a la entrada en vigencia del presente instructivo, un anexo para determinar los criterios de atención socioeconómicos para los usuarios de est</w:t>
      </w:r>
      <w:r>
        <w:rPr>
          <w:rFonts w:eastAsia="Times New Roman"/>
          <w:sz w:val="30"/>
          <w:szCs w:val="30"/>
          <w:lang w:val="es-ES"/>
        </w:rPr>
        <w:t>a institución.</w:t>
      </w:r>
    </w:p>
    <w:p w:rsidR="00000000" w:rsidRDefault="00444263">
      <w:pPr>
        <w:divId w:val="593829531"/>
        <w:rPr>
          <w:rFonts w:eastAsia="Times New Roman"/>
          <w:sz w:val="30"/>
          <w:szCs w:val="30"/>
          <w:lang w:val="es-ES"/>
        </w:rPr>
      </w:pPr>
      <w:r>
        <w:rPr>
          <w:rFonts w:eastAsia="Times New Roman"/>
          <w:b/>
          <w:bCs/>
          <w:sz w:val="30"/>
          <w:szCs w:val="30"/>
          <w:lang w:val="es-ES"/>
        </w:rPr>
        <w:t>Art. final.-</w:t>
      </w:r>
      <w:r>
        <w:rPr>
          <w:rFonts w:eastAsia="Times New Roman"/>
          <w:sz w:val="30"/>
          <w:szCs w:val="30"/>
          <w:lang w:val="es-ES"/>
        </w:rPr>
        <w:t xml:space="preserve"> Esta Resolución entrará en vigencia a partir de la presente fecha, será publicada en el Registro Oficial y prevalecerá sobre cualquier otra norma de igual o inferior jerarquía que se le oponga.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CÚMPLASE Y PUBLÍQUESE.-</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Dada y f</w:t>
      </w:r>
      <w:r>
        <w:rPr>
          <w:rFonts w:eastAsia="Times New Roman"/>
          <w:sz w:val="30"/>
          <w:szCs w:val="30"/>
          <w:lang w:val="es-ES"/>
        </w:rPr>
        <w:t>irmada en la Defensoría Pública en Quito, D.M., el 03 de octubre del 2012.</w:t>
      </w:r>
    </w:p>
    <w:p w:rsidR="00000000" w:rsidRDefault="00444263">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INSTRUCTIVO PARA LA PRESTACIÓN DE LOS SERVICIOS DEFENSORIALES DEL PROCESO DE PATROCINIO SOCIAL</w:t>
      </w:r>
    </w:p>
    <w:p w:rsidR="00444263" w:rsidRDefault="00444263">
      <w:pPr>
        <w:divId w:val="805001709"/>
        <w:rPr>
          <w:rFonts w:eastAsia="Times New Roman"/>
          <w:sz w:val="30"/>
          <w:szCs w:val="30"/>
          <w:lang w:val="es-ES"/>
        </w:rPr>
      </w:pPr>
      <w:r>
        <w:rPr>
          <w:rFonts w:eastAsia="Times New Roman"/>
          <w:sz w:val="30"/>
          <w:szCs w:val="30"/>
          <w:lang w:val="es-ES"/>
        </w:rPr>
        <w:br/>
      </w:r>
      <w:r>
        <w:rPr>
          <w:rFonts w:eastAsia="Times New Roman"/>
          <w:sz w:val="30"/>
          <w:szCs w:val="30"/>
          <w:lang w:val="es-ES"/>
        </w:rPr>
        <w:br/>
        <w:t>1.- Resoluciones DP-DPG-2012-085 (Registro Ofic</w:t>
      </w:r>
      <w:r>
        <w:rPr>
          <w:rFonts w:eastAsia="Times New Roman"/>
          <w:sz w:val="30"/>
          <w:szCs w:val="30"/>
          <w:lang w:val="es-ES"/>
        </w:rPr>
        <w:t>ial 812, 18-X-2012).</w:t>
      </w:r>
    </w:p>
    <w:sectPr w:rsidR="004442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51A1E"/>
    <w:rsid w:val="00444263"/>
    <w:rsid w:val="00A51A1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3C4184-B03C-4E68-8BC7-3B056506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0133">
      <w:marLeft w:val="0"/>
      <w:marRight w:val="0"/>
      <w:marTop w:val="0"/>
      <w:marBottom w:val="0"/>
      <w:divBdr>
        <w:top w:val="none" w:sz="0" w:space="0" w:color="auto"/>
        <w:left w:val="none" w:sz="0" w:space="0" w:color="auto"/>
        <w:bottom w:val="none" w:sz="0" w:space="0" w:color="auto"/>
        <w:right w:val="none" w:sz="0" w:space="0" w:color="auto"/>
      </w:divBdr>
    </w:div>
    <w:div w:id="164126471">
      <w:marLeft w:val="0"/>
      <w:marRight w:val="0"/>
      <w:marTop w:val="0"/>
      <w:marBottom w:val="0"/>
      <w:divBdr>
        <w:top w:val="none" w:sz="0" w:space="0" w:color="auto"/>
        <w:left w:val="none" w:sz="0" w:space="0" w:color="auto"/>
        <w:bottom w:val="none" w:sz="0" w:space="0" w:color="auto"/>
        <w:right w:val="none" w:sz="0" w:space="0" w:color="auto"/>
      </w:divBdr>
    </w:div>
    <w:div w:id="232202029">
      <w:marLeft w:val="0"/>
      <w:marRight w:val="0"/>
      <w:marTop w:val="0"/>
      <w:marBottom w:val="0"/>
      <w:divBdr>
        <w:top w:val="none" w:sz="0" w:space="0" w:color="auto"/>
        <w:left w:val="none" w:sz="0" w:space="0" w:color="auto"/>
        <w:bottom w:val="none" w:sz="0" w:space="0" w:color="auto"/>
        <w:right w:val="none" w:sz="0" w:space="0" w:color="auto"/>
      </w:divBdr>
    </w:div>
    <w:div w:id="480923322">
      <w:marLeft w:val="0"/>
      <w:marRight w:val="0"/>
      <w:marTop w:val="0"/>
      <w:marBottom w:val="0"/>
      <w:divBdr>
        <w:top w:val="none" w:sz="0" w:space="0" w:color="auto"/>
        <w:left w:val="none" w:sz="0" w:space="0" w:color="auto"/>
        <w:bottom w:val="none" w:sz="0" w:space="0" w:color="auto"/>
        <w:right w:val="none" w:sz="0" w:space="0" w:color="auto"/>
      </w:divBdr>
    </w:div>
    <w:div w:id="593829531">
      <w:marLeft w:val="0"/>
      <w:marRight w:val="0"/>
      <w:marTop w:val="0"/>
      <w:marBottom w:val="0"/>
      <w:divBdr>
        <w:top w:val="none" w:sz="0" w:space="0" w:color="auto"/>
        <w:left w:val="none" w:sz="0" w:space="0" w:color="auto"/>
        <w:bottom w:val="none" w:sz="0" w:space="0" w:color="auto"/>
        <w:right w:val="none" w:sz="0" w:space="0" w:color="auto"/>
      </w:divBdr>
    </w:div>
    <w:div w:id="622618850">
      <w:marLeft w:val="0"/>
      <w:marRight w:val="0"/>
      <w:marTop w:val="0"/>
      <w:marBottom w:val="0"/>
      <w:divBdr>
        <w:top w:val="none" w:sz="0" w:space="0" w:color="auto"/>
        <w:left w:val="none" w:sz="0" w:space="0" w:color="auto"/>
        <w:bottom w:val="none" w:sz="0" w:space="0" w:color="auto"/>
        <w:right w:val="none" w:sz="0" w:space="0" w:color="auto"/>
      </w:divBdr>
    </w:div>
    <w:div w:id="765148584">
      <w:marLeft w:val="0"/>
      <w:marRight w:val="0"/>
      <w:marTop w:val="0"/>
      <w:marBottom w:val="0"/>
      <w:divBdr>
        <w:top w:val="none" w:sz="0" w:space="0" w:color="auto"/>
        <w:left w:val="none" w:sz="0" w:space="0" w:color="auto"/>
        <w:bottom w:val="none" w:sz="0" w:space="0" w:color="auto"/>
        <w:right w:val="none" w:sz="0" w:space="0" w:color="auto"/>
      </w:divBdr>
    </w:div>
    <w:div w:id="805001709">
      <w:marLeft w:val="0"/>
      <w:marRight w:val="0"/>
      <w:marTop w:val="0"/>
      <w:marBottom w:val="0"/>
      <w:divBdr>
        <w:top w:val="none" w:sz="0" w:space="0" w:color="auto"/>
        <w:left w:val="none" w:sz="0" w:space="0" w:color="auto"/>
        <w:bottom w:val="none" w:sz="0" w:space="0" w:color="auto"/>
        <w:right w:val="none" w:sz="0" w:space="0" w:color="auto"/>
      </w:divBdr>
    </w:div>
    <w:div w:id="867765966">
      <w:marLeft w:val="0"/>
      <w:marRight w:val="0"/>
      <w:marTop w:val="0"/>
      <w:marBottom w:val="0"/>
      <w:divBdr>
        <w:top w:val="none" w:sz="0" w:space="0" w:color="auto"/>
        <w:left w:val="none" w:sz="0" w:space="0" w:color="auto"/>
        <w:bottom w:val="none" w:sz="0" w:space="0" w:color="auto"/>
        <w:right w:val="none" w:sz="0" w:space="0" w:color="auto"/>
      </w:divBdr>
    </w:div>
    <w:div w:id="1028994323">
      <w:marLeft w:val="0"/>
      <w:marRight w:val="0"/>
      <w:marTop w:val="0"/>
      <w:marBottom w:val="0"/>
      <w:divBdr>
        <w:top w:val="none" w:sz="0" w:space="0" w:color="auto"/>
        <w:left w:val="none" w:sz="0" w:space="0" w:color="auto"/>
        <w:bottom w:val="none" w:sz="0" w:space="0" w:color="auto"/>
        <w:right w:val="none" w:sz="0" w:space="0" w:color="auto"/>
      </w:divBdr>
    </w:div>
    <w:div w:id="1226643121">
      <w:marLeft w:val="0"/>
      <w:marRight w:val="0"/>
      <w:marTop w:val="0"/>
      <w:marBottom w:val="0"/>
      <w:divBdr>
        <w:top w:val="none" w:sz="0" w:space="0" w:color="auto"/>
        <w:left w:val="none" w:sz="0" w:space="0" w:color="auto"/>
        <w:bottom w:val="none" w:sz="0" w:space="0" w:color="auto"/>
        <w:right w:val="none" w:sz="0" w:space="0" w:color="auto"/>
      </w:divBdr>
    </w:div>
    <w:div w:id="1684746438">
      <w:marLeft w:val="0"/>
      <w:marRight w:val="0"/>
      <w:marTop w:val="0"/>
      <w:marBottom w:val="0"/>
      <w:divBdr>
        <w:top w:val="none" w:sz="0" w:space="0" w:color="auto"/>
        <w:left w:val="none" w:sz="0" w:space="0" w:color="auto"/>
        <w:bottom w:val="none" w:sz="0" w:space="0" w:color="auto"/>
        <w:right w:val="none" w:sz="0" w:space="0" w:color="auto"/>
      </w:divBdr>
    </w:div>
    <w:div w:id="197506522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2064</Words>
  <Characters>11352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2017-11-29T20:22:00Z</dcterms:created>
  <dcterms:modified xsi:type="dcterms:W3CDTF">2017-11-29T20:22:00Z</dcterms:modified>
</cp:coreProperties>
</file>