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5761E">
      <w:pPr>
        <w:pStyle w:val="NormalWeb"/>
        <w:rPr>
          <w:lang w:val="es-ES"/>
        </w:rPr>
      </w:pPr>
      <w:bookmarkStart w:id="0" w:name="_GoBack"/>
      <w:bookmarkEnd w:id="0"/>
      <w:r>
        <w:rPr>
          <w:b/>
          <w:bCs/>
          <w:lang w:val="es-ES"/>
        </w:rPr>
        <w:t>Registro Oficial No. 7 , 20 de Febrero 1997</w:t>
      </w:r>
    </w:p>
    <w:p w:rsidR="00000000" w:rsidRDefault="0045761E">
      <w:pPr>
        <w:pStyle w:val="NormalWeb"/>
        <w:rPr>
          <w:lang w:val="es-ES"/>
        </w:rPr>
      </w:pPr>
      <w:r>
        <w:rPr>
          <w:b/>
          <w:bCs/>
          <w:lang w:val="es-ES"/>
        </w:rPr>
        <w:t>Normativa:</w:t>
      </w:r>
      <w:r>
        <w:rPr>
          <w:lang w:val="es-ES"/>
        </w:rPr>
        <w:t xml:space="preserve"> Vigente</w:t>
      </w:r>
    </w:p>
    <w:p w:rsidR="00000000" w:rsidRDefault="0045761E">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r>
      <w:r>
        <w:rPr>
          <w:rFonts w:eastAsia="Times New Roman"/>
          <w:b/>
          <w:bCs/>
          <w:sz w:val="48"/>
          <w:szCs w:val="48"/>
          <w:lang w:val="es-ES"/>
        </w:rPr>
        <w:t>LEY ORGÁNICA DE LA DEFENSORÍA DEL PUEBLO</w:t>
      </w:r>
    </w:p>
    <w:p w:rsidR="00000000" w:rsidRDefault="0045761E">
      <w:pPr>
        <w:jc w:val="center"/>
        <w:rPr>
          <w:rFonts w:eastAsia="Times New Roman"/>
          <w:sz w:val="30"/>
          <w:szCs w:val="30"/>
          <w:lang w:val="es-ES"/>
        </w:rPr>
      </w:pPr>
      <w:r>
        <w:rPr>
          <w:rFonts w:eastAsia="Times New Roman"/>
          <w:sz w:val="30"/>
          <w:szCs w:val="30"/>
          <w:lang w:val="es-ES"/>
        </w:rPr>
        <w:t>(Ley No. 1)</w:t>
      </w:r>
    </w:p>
    <w:p w:rsidR="00000000" w:rsidRDefault="0045761E">
      <w:pPr>
        <w:divId w:val="1161387535"/>
        <w:rPr>
          <w:rFonts w:eastAsia="Times New Roman"/>
          <w:sz w:val="30"/>
          <w:szCs w:val="30"/>
          <w:lang w:val="es-ES"/>
        </w:rPr>
      </w:pPr>
      <w:r>
        <w:rPr>
          <w:rFonts w:eastAsia="Times New Roman"/>
          <w:b/>
          <w:bCs/>
          <w:sz w:val="30"/>
          <w:szCs w:val="30"/>
          <w:u w:val="single"/>
          <w:lang w:val="es-ES"/>
        </w:rPr>
        <w:t>Notas:</w:t>
      </w:r>
      <w:r>
        <w:rPr>
          <w:rFonts w:eastAsia="Times New Roman"/>
          <w:b/>
          <w:bCs/>
          <w:i/>
          <w:iCs/>
          <w:sz w:val="30"/>
          <w:szCs w:val="30"/>
          <w:u w:val="single"/>
          <w:lang w:val="es-ES"/>
        </w:rPr>
        <w:br/>
      </w:r>
      <w:r>
        <w:rPr>
          <w:rFonts w:eastAsia="Times New Roman"/>
          <w:i/>
          <w:iCs/>
          <w:sz w:val="30"/>
          <w:szCs w:val="30"/>
          <w:lang w:val="es-ES"/>
        </w:rPr>
        <w:t>- La presente ley ha sido declarada con jerarquía y calidad de orgánica por el Congreso Nacional mediante Res. R-22-058 (R.O. 280, 8-III-2001), en cumplimiento de lo dispuesto por la Disposición Transitoria Vigésima Segunda de la Constitución Política de 1</w:t>
      </w:r>
      <w:r>
        <w:rPr>
          <w:rFonts w:eastAsia="Times New Roman"/>
          <w:i/>
          <w:iCs/>
          <w:sz w:val="30"/>
          <w:szCs w:val="30"/>
          <w:lang w:val="es-ES"/>
        </w:rPr>
        <w:t>998.</w:t>
      </w:r>
      <w:r>
        <w:rPr>
          <w:rFonts w:eastAsia="Times New Roman"/>
          <w:i/>
          <w:iCs/>
          <w:sz w:val="30"/>
          <w:szCs w:val="30"/>
          <w:lang w:val="es-ES"/>
        </w:rPr>
        <w:br/>
        <w:t>- Por Disposición Derogatoria de la Constitución de la República del Ecuador (R.O. 449, 20-X-2008), se abroga la Constitución Política de la República del Ecuador (R.O. 1, 11-VIII-1998), y toda norma que se oponga al nuevo marco constitucional.</w:t>
      </w:r>
    </w:p>
    <w:p w:rsidR="00000000" w:rsidRDefault="0045761E">
      <w:pPr>
        <w:divId w:val="2006736384"/>
        <w:rPr>
          <w:rFonts w:eastAsia="Times New Roman"/>
          <w:sz w:val="30"/>
          <w:szCs w:val="30"/>
          <w:lang w:val="es-ES"/>
        </w:rPr>
      </w:pPr>
      <w:r>
        <w:rPr>
          <w:rFonts w:eastAsia="Times New Roman"/>
          <w:sz w:val="30"/>
          <w:szCs w:val="30"/>
          <w:lang w:val="es-ES"/>
        </w:rPr>
        <w:br/>
      </w:r>
      <w:r>
        <w:rPr>
          <w:rFonts w:eastAsia="Times New Roman"/>
          <w:sz w:val="30"/>
          <w:szCs w:val="30"/>
          <w:lang w:val="es-ES"/>
        </w:rPr>
        <w:br/>
        <w:t>CONG</w:t>
      </w:r>
      <w:r>
        <w:rPr>
          <w:rFonts w:eastAsia="Times New Roman"/>
          <w:sz w:val="30"/>
          <w:szCs w:val="30"/>
          <w:lang w:val="es-ES"/>
        </w:rPr>
        <w:t>RESO NACIONAL</w:t>
      </w:r>
      <w:r>
        <w:rPr>
          <w:rFonts w:eastAsia="Times New Roman"/>
          <w:sz w:val="30"/>
          <w:szCs w:val="30"/>
          <w:lang w:val="es-ES"/>
        </w:rPr>
        <w:br/>
      </w:r>
      <w:r>
        <w:rPr>
          <w:rFonts w:eastAsia="Times New Roman"/>
          <w:sz w:val="30"/>
          <w:szCs w:val="30"/>
          <w:lang w:val="es-ES"/>
        </w:rPr>
        <w:br/>
        <w:t>EL PLENARIO DE LAS COMISIONES LEGISLATIVAS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Considerando:</w:t>
      </w:r>
      <w:r>
        <w:rPr>
          <w:rFonts w:eastAsia="Times New Roman"/>
          <w:b/>
          <w:bCs/>
          <w:sz w:val="30"/>
          <w:szCs w:val="30"/>
          <w:lang w:val="es-ES"/>
        </w:rPr>
        <w:br/>
      </w:r>
      <w:r>
        <w:rPr>
          <w:rFonts w:eastAsia="Times New Roman"/>
          <w:b/>
          <w:bCs/>
          <w:sz w:val="30"/>
          <w:szCs w:val="30"/>
          <w:lang w:val="es-ES"/>
        </w:rPr>
        <w:br/>
      </w:r>
      <w:r>
        <w:rPr>
          <w:rFonts w:eastAsia="Times New Roman"/>
          <w:sz w:val="30"/>
          <w:szCs w:val="30"/>
          <w:lang w:val="es-ES"/>
        </w:rPr>
        <w:t>Que dentro de las modernas doctrinas de la Ciencia Política y el Derecho Constitucional se ha creado la figura del Defensor del Pueblo como el órgano idóneo para la promoción, la tut</w:t>
      </w:r>
      <w:r>
        <w:rPr>
          <w:rFonts w:eastAsia="Times New Roman"/>
          <w:sz w:val="30"/>
          <w:szCs w:val="30"/>
          <w:lang w:val="es-ES"/>
        </w:rPr>
        <w:t>ela y la defensa de los derechos humanos consagrados universalmente en las constituciones de los estados;</w:t>
      </w:r>
      <w:r>
        <w:rPr>
          <w:rFonts w:eastAsia="Times New Roman"/>
          <w:sz w:val="30"/>
          <w:szCs w:val="30"/>
          <w:lang w:val="es-ES"/>
        </w:rPr>
        <w:br/>
      </w:r>
      <w:r>
        <w:rPr>
          <w:rFonts w:eastAsia="Times New Roman"/>
          <w:sz w:val="30"/>
          <w:szCs w:val="30"/>
          <w:lang w:val="es-ES"/>
        </w:rPr>
        <w:br/>
        <w:t>Que los múltiples casos de violaciones a los derechos básicos individuales y colectivos hacen necesario fortalecer mediante recursos y procedimientos</w:t>
      </w:r>
      <w:r>
        <w:rPr>
          <w:rFonts w:eastAsia="Times New Roman"/>
          <w:sz w:val="30"/>
          <w:szCs w:val="30"/>
          <w:lang w:val="es-ES"/>
        </w:rPr>
        <w:t xml:space="preserve"> expeditos la protección de tales derechos;</w:t>
      </w:r>
      <w:r>
        <w:rPr>
          <w:rFonts w:eastAsia="Times New Roman"/>
          <w:sz w:val="30"/>
          <w:szCs w:val="30"/>
          <w:lang w:val="es-ES"/>
        </w:rPr>
        <w:br/>
      </w:r>
      <w:r>
        <w:rPr>
          <w:rFonts w:eastAsia="Times New Roman"/>
          <w:sz w:val="30"/>
          <w:szCs w:val="30"/>
          <w:lang w:val="es-ES"/>
        </w:rPr>
        <w:br/>
        <w:t xml:space="preserve">Que las últimas reformas constitucionales aprobadas por el Congreso Nacional crearon la institución de la Defensoría del Pueblo, siendo </w:t>
      </w:r>
      <w:r>
        <w:rPr>
          <w:rFonts w:eastAsia="Times New Roman"/>
          <w:sz w:val="30"/>
          <w:szCs w:val="30"/>
          <w:lang w:val="es-ES"/>
        </w:rPr>
        <w:lastRenderedPageBreak/>
        <w:t>necesario que una Ley Orgánica haga factible el funcionamiento, así como es</w:t>
      </w:r>
      <w:r>
        <w:rPr>
          <w:rFonts w:eastAsia="Times New Roman"/>
          <w:sz w:val="30"/>
          <w:szCs w:val="30"/>
          <w:lang w:val="es-ES"/>
        </w:rPr>
        <w:t>tablezca los trámites y procedimientos para garantizar los derechos humanos; y,</w:t>
      </w:r>
      <w:r>
        <w:rPr>
          <w:rFonts w:eastAsia="Times New Roman"/>
          <w:sz w:val="30"/>
          <w:szCs w:val="30"/>
          <w:lang w:val="es-ES"/>
        </w:rPr>
        <w:br/>
      </w:r>
      <w:r>
        <w:rPr>
          <w:rFonts w:eastAsia="Times New Roman"/>
          <w:sz w:val="30"/>
          <w:szCs w:val="30"/>
          <w:lang w:val="es-ES"/>
        </w:rPr>
        <w:br/>
        <w:t>En ejercicio de sus facultades constitucionales y legales, expide la siguiente:</w:t>
      </w:r>
      <w:r>
        <w:rPr>
          <w:rFonts w:eastAsia="Times New Roman"/>
          <w:sz w:val="30"/>
          <w:szCs w:val="30"/>
          <w:lang w:val="es-ES"/>
        </w:rPr>
        <w:br/>
      </w:r>
      <w:r>
        <w:rPr>
          <w:rFonts w:eastAsia="Times New Roman"/>
          <w:sz w:val="30"/>
          <w:szCs w:val="30"/>
          <w:lang w:val="es-ES"/>
        </w:rPr>
        <w:br/>
        <w:t>LEY ORGÁNICA DE LA DEFENSORÍA DEL PUEBLO</w:t>
      </w:r>
    </w:p>
    <w:p w:rsidR="00000000" w:rsidRDefault="0045761E">
      <w:pPr>
        <w:jc w:val="center"/>
        <w:rPr>
          <w:rFonts w:eastAsia="Times New Roman"/>
          <w:sz w:val="36"/>
          <w:szCs w:val="36"/>
          <w:lang w:val="es-ES"/>
        </w:rPr>
      </w:pPr>
      <w:r>
        <w:rPr>
          <w:rFonts w:eastAsia="Times New Roman"/>
          <w:b/>
          <w:bCs/>
          <w:sz w:val="36"/>
          <w:szCs w:val="36"/>
          <w:lang w:val="es-ES"/>
        </w:rPr>
        <w:br/>
        <w:t>Título I</w:t>
      </w:r>
    </w:p>
    <w:p w:rsidR="00000000" w:rsidRDefault="0045761E">
      <w:pPr>
        <w:jc w:val="center"/>
        <w:rPr>
          <w:rFonts w:eastAsia="Times New Roman"/>
          <w:sz w:val="36"/>
          <w:szCs w:val="36"/>
          <w:lang w:val="es-ES"/>
        </w:rPr>
      </w:pPr>
      <w:r>
        <w:rPr>
          <w:rFonts w:eastAsia="Times New Roman"/>
          <w:b/>
          <w:bCs/>
          <w:sz w:val="36"/>
          <w:szCs w:val="36"/>
          <w:lang w:val="es-ES"/>
        </w:rPr>
        <w:br/>
        <w:t>Capítulo Único</w:t>
      </w:r>
      <w:r>
        <w:rPr>
          <w:rFonts w:eastAsia="Times New Roman"/>
          <w:b/>
          <w:bCs/>
          <w:sz w:val="36"/>
          <w:szCs w:val="36"/>
          <w:lang w:val="es-ES"/>
        </w:rPr>
        <w:br/>
        <w:t>DE LA DEFENSORÍA DEL PUEBLO</w:t>
      </w:r>
    </w:p>
    <w:p w:rsidR="00000000" w:rsidRDefault="0045761E">
      <w:pPr>
        <w:divId w:val="1146774031"/>
        <w:rPr>
          <w:rFonts w:eastAsia="Times New Roman"/>
          <w:sz w:val="30"/>
          <w:szCs w:val="30"/>
          <w:lang w:val="es-ES"/>
        </w:rPr>
      </w:pPr>
      <w:r>
        <w:rPr>
          <w:rFonts w:eastAsia="Times New Roman"/>
          <w:b/>
          <w:bCs/>
          <w:sz w:val="30"/>
          <w:szCs w:val="30"/>
          <w:lang w:val="es-ES"/>
        </w:rPr>
        <w:t>Art. 1.-</w:t>
      </w:r>
      <w:r>
        <w:rPr>
          <w:rFonts w:eastAsia="Times New Roman"/>
          <w:sz w:val="30"/>
          <w:szCs w:val="30"/>
          <w:lang w:val="es-ES"/>
        </w:rPr>
        <w:t xml:space="preserve"> La Defensoría del Pueblo, cuyo titular es el Defensor del Pueblo, es un organismo público, con autonomía funcional, económica y administrativa y con jurisdicción nacional. Su sede será la capital de la República.</w:t>
      </w:r>
    </w:p>
    <w:p w:rsidR="00000000" w:rsidRDefault="0045761E">
      <w:pPr>
        <w:divId w:val="220796276"/>
        <w:rPr>
          <w:rFonts w:eastAsia="Times New Roman"/>
          <w:sz w:val="30"/>
          <w:szCs w:val="30"/>
          <w:lang w:val="es-ES"/>
        </w:rPr>
      </w:pPr>
      <w:r>
        <w:rPr>
          <w:rFonts w:eastAsia="Times New Roman"/>
          <w:b/>
          <w:bCs/>
          <w:sz w:val="30"/>
          <w:szCs w:val="30"/>
          <w:lang w:val="es-ES"/>
        </w:rPr>
        <w:t>Art. 2.-</w:t>
      </w:r>
      <w:r>
        <w:rPr>
          <w:rFonts w:eastAsia="Times New Roman"/>
          <w:sz w:val="30"/>
          <w:szCs w:val="30"/>
          <w:lang w:val="es-ES"/>
        </w:rPr>
        <w:t xml:space="preserve"> Corresponde a la Defenso</w:t>
      </w:r>
      <w:r>
        <w:rPr>
          <w:rFonts w:eastAsia="Times New Roman"/>
          <w:sz w:val="30"/>
          <w:szCs w:val="30"/>
          <w:lang w:val="es-ES"/>
        </w:rPr>
        <w:t>ría del Pueblo:</w:t>
      </w:r>
      <w:r>
        <w:rPr>
          <w:rFonts w:eastAsia="Times New Roman"/>
          <w:sz w:val="30"/>
          <w:szCs w:val="30"/>
          <w:lang w:val="es-ES"/>
        </w:rPr>
        <w:br/>
      </w:r>
      <w:r>
        <w:rPr>
          <w:rFonts w:eastAsia="Times New Roman"/>
          <w:sz w:val="30"/>
          <w:szCs w:val="30"/>
          <w:lang w:val="es-ES"/>
        </w:rPr>
        <w:br/>
        <w:t>a) Promover o patrocinar los recursos de Hábeas Corpus, Hábeas Data y de Amparo de las personas que lo requieran;</w:t>
      </w:r>
      <w:r>
        <w:rPr>
          <w:rFonts w:eastAsia="Times New Roman"/>
          <w:sz w:val="30"/>
          <w:szCs w:val="30"/>
          <w:lang w:val="es-ES"/>
        </w:rPr>
        <w:br/>
      </w:r>
      <w:r>
        <w:rPr>
          <w:rFonts w:eastAsia="Times New Roman"/>
          <w:sz w:val="30"/>
          <w:szCs w:val="30"/>
          <w:lang w:val="es-ES"/>
        </w:rPr>
        <w:br/>
        <w:t>b) Defender y excitar, de oficio o a petición de parte, cuando fuere procedente, la observancia de los derechos fundamentale</w:t>
      </w:r>
      <w:r>
        <w:rPr>
          <w:rFonts w:eastAsia="Times New Roman"/>
          <w:sz w:val="30"/>
          <w:szCs w:val="30"/>
          <w:lang w:val="es-ES"/>
        </w:rPr>
        <w:t>s individuales o colectivos que la Constitución Política de la República, las leyes, los convenios y tratados internacionales ratificados por el Ecuador garanticen; y,</w:t>
      </w:r>
      <w:r>
        <w:rPr>
          <w:rFonts w:eastAsia="Times New Roman"/>
          <w:sz w:val="30"/>
          <w:szCs w:val="30"/>
          <w:lang w:val="es-ES"/>
        </w:rPr>
        <w:br/>
      </w:r>
      <w:r>
        <w:rPr>
          <w:rFonts w:eastAsia="Times New Roman"/>
          <w:sz w:val="30"/>
          <w:szCs w:val="30"/>
          <w:lang w:val="es-ES"/>
        </w:rPr>
        <w:br/>
        <w:t>c) Ejercer las demás funciones que le asigne la Ley.</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i/>
          <w:iCs/>
          <w:sz w:val="30"/>
          <w:szCs w:val="30"/>
          <w:lang w:val="es-ES"/>
        </w:rPr>
        <w:br/>
        <w:t>- Por Disposición Derogato</w:t>
      </w:r>
      <w:r>
        <w:rPr>
          <w:rFonts w:eastAsia="Times New Roman"/>
          <w:i/>
          <w:iCs/>
          <w:sz w:val="30"/>
          <w:szCs w:val="30"/>
          <w:lang w:val="es-ES"/>
        </w:rPr>
        <w:t>ria de la Constitución de la República del Ecuador (R.O. 449, 20-X-2008), se abroga la Constitución Política de la República del Ecuador (R.O. 1, 11-VIII-1998), y toda norma que se oponga al nuevo marco constitucional.</w:t>
      </w:r>
      <w:r>
        <w:rPr>
          <w:rFonts w:eastAsia="Times New Roman"/>
          <w:i/>
          <w:iCs/>
          <w:sz w:val="30"/>
          <w:szCs w:val="30"/>
          <w:lang w:val="es-ES"/>
        </w:rPr>
        <w:br/>
        <w:t xml:space="preserve">- La acción de amparo prevista en la </w:t>
      </w:r>
      <w:r>
        <w:rPr>
          <w:rFonts w:eastAsia="Times New Roman"/>
          <w:i/>
          <w:iCs/>
          <w:sz w:val="30"/>
          <w:szCs w:val="30"/>
          <w:lang w:val="es-ES"/>
        </w:rPr>
        <w:t>anterior Constitución Política de la República del Ecuador (R.O. 1, 11-VIII-1998), fue sustituida por la acción de protección en la actualmente vigente Constitución de la República del Ecuador (R.O. 449, 20-X-2008).</w:t>
      </w:r>
    </w:p>
    <w:p w:rsidR="00000000" w:rsidRDefault="0045761E">
      <w:pPr>
        <w:jc w:val="center"/>
        <w:rPr>
          <w:rFonts w:eastAsia="Times New Roman"/>
          <w:sz w:val="36"/>
          <w:szCs w:val="36"/>
          <w:lang w:val="es-ES"/>
        </w:rPr>
      </w:pPr>
      <w:r>
        <w:rPr>
          <w:rFonts w:eastAsia="Times New Roman"/>
          <w:b/>
          <w:bCs/>
          <w:sz w:val="36"/>
          <w:szCs w:val="36"/>
          <w:lang w:val="es-ES"/>
        </w:rPr>
        <w:lastRenderedPageBreak/>
        <w:br/>
        <w:t>Título II</w:t>
      </w:r>
    </w:p>
    <w:p w:rsidR="00000000" w:rsidRDefault="0045761E">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 xml:space="preserve">DEL DEFENSOR DEL </w:t>
      </w:r>
      <w:r>
        <w:rPr>
          <w:rFonts w:eastAsia="Times New Roman"/>
          <w:b/>
          <w:bCs/>
          <w:sz w:val="36"/>
          <w:szCs w:val="36"/>
          <w:lang w:val="es-ES"/>
        </w:rPr>
        <w:t>PUEBLO</w:t>
      </w:r>
    </w:p>
    <w:p w:rsidR="00000000" w:rsidRDefault="0045761E">
      <w:pPr>
        <w:divId w:val="102306312"/>
        <w:rPr>
          <w:rFonts w:eastAsia="Times New Roman"/>
          <w:sz w:val="30"/>
          <w:szCs w:val="30"/>
          <w:lang w:val="es-ES"/>
        </w:rPr>
      </w:pPr>
      <w:r>
        <w:rPr>
          <w:rFonts w:eastAsia="Times New Roman"/>
          <w:b/>
          <w:bCs/>
          <w:sz w:val="30"/>
          <w:szCs w:val="30"/>
          <w:lang w:val="es-ES"/>
        </w:rPr>
        <w:t>Art. 3.-</w:t>
      </w:r>
      <w:r>
        <w:rPr>
          <w:rFonts w:eastAsia="Times New Roman"/>
          <w:sz w:val="30"/>
          <w:szCs w:val="30"/>
          <w:lang w:val="es-ES"/>
        </w:rPr>
        <w:t xml:space="preserve"> El Defensor del Pueblo será elegido por el Congreso Nacional en Pleno con el voto de las dos terceras partes, por lo menos, de sus miembros, para un período de cuatro años y podrá ser reelegido por una sola vez.</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Por disposición del A</w:t>
      </w:r>
      <w:r>
        <w:rPr>
          <w:rFonts w:eastAsia="Times New Roman"/>
          <w:i/>
          <w:iCs/>
          <w:sz w:val="30"/>
          <w:szCs w:val="30"/>
          <w:lang w:val="es-ES"/>
        </w:rPr>
        <w:t>rt. 120 de la Constitución de la República del Ecuador (R.O. 449, 20-X-2008), la Función Legislativa la ejercerá la Asamblea Nacional, por tanto, sus miembros tendrán la denominación de asambleistas.</w:t>
      </w:r>
    </w:p>
    <w:p w:rsidR="00000000" w:rsidRDefault="0045761E">
      <w:pPr>
        <w:divId w:val="1544249869"/>
        <w:rPr>
          <w:rFonts w:eastAsia="Times New Roman"/>
          <w:sz w:val="30"/>
          <w:szCs w:val="30"/>
          <w:lang w:val="es-ES"/>
        </w:rPr>
      </w:pPr>
      <w:r>
        <w:rPr>
          <w:rFonts w:eastAsia="Times New Roman"/>
          <w:b/>
          <w:bCs/>
          <w:sz w:val="30"/>
          <w:szCs w:val="30"/>
          <w:lang w:val="es-ES"/>
        </w:rPr>
        <w:t>Art. 4.-</w:t>
      </w:r>
      <w:r>
        <w:rPr>
          <w:rFonts w:eastAsia="Times New Roman"/>
          <w:sz w:val="30"/>
          <w:szCs w:val="30"/>
          <w:lang w:val="es-ES"/>
        </w:rPr>
        <w:t xml:space="preserve"> Para ser elegido Defensor del Pueblo se deberán</w:t>
      </w:r>
      <w:r>
        <w:rPr>
          <w:rFonts w:eastAsia="Times New Roman"/>
          <w:sz w:val="30"/>
          <w:szCs w:val="30"/>
          <w:lang w:val="es-ES"/>
        </w:rPr>
        <w:t xml:space="preserve"> reunir los mismos requisitos que para ser Magistrado de la Corte Suprema de Justicia, con excepción del referente a la carrera judicial. Se precisa además ser una persona independiente de toda filiación o militancia partidista o de participación en movimi</w:t>
      </w:r>
      <w:r>
        <w:rPr>
          <w:rFonts w:eastAsia="Times New Roman"/>
          <w:sz w:val="30"/>
          <w:szCs w:val="30"/>
          <w:lang w:val="es-ES"/>
        </w:rPr>
        <w:t>entos electorales, durante los tres últimos años anteriores a su elección.</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Por disposición del Art. 120 de la Constitución de la República del Ecuador (R.O. 449, 20-X-2008), la Función Legislativa la ejercerá la Asamblea Nacional, por tanto, sus mie</w:t>
      </w:r>
      <w:r>
        <w:rPr>
          <w:rFonts w:eastAsia="Times New Roman"/>
          <w:i/>
          <w:iCs/>
          <w:sz w:val="30"/>
          <w:szCs w:val="30"/>
          <w:lang w:val="es-ES"/>
        </w:rPr>
        <w:t>mbros tendrán la denominación de asambleistas.</w:t>
      </w:r>
    </w:p>
    <w:p w:rsidR="00000000" w:rsidRDefault="0045761E">
      <w:pPr>
        <w:divId w:val="1045060649"/>
        <w:rPr>
          <w:rFonts w:eastAsia="Times New Roman"/>
          <w:sz w:val="30"/>
          <w:szCs w:val="30"/>
          <w:lang w:val="es-ES"/>
        </w:rPr>
      </w:pPr>
      <w:r>
        <w:rPr>
          <w:rFonts w:eastAsia="Times New Roman"/>
          <w:b/>
          <w:bCs/>
          <w:sz w:val="30"/>
          <w:szCs w:val="30"/>
          <w:lang w:val="es-ES"/>
        </w:rPr>
        <w:t>Art. 5.-</w:t>
      </w:r>
      <w:r>
        <w:rPr>
          <w:rFonts w:eastAsia="Times New Roman"/>
          <w:sz w:val="30"/>
          <w:szCs w:val="30"/>
          <w:lang w:val="es-ES"/>
        </w:rPr>
        <w:t xml:space="preserve"> El Defensor del Pueblo gozará de inmunidad en los mismos términos que los legisladores del Congreso Nacional. Durante el ejercicio de sus funciones no podrá desempeñar otro cargo.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Por disposici</w:t>
      </w:r>
      <w:r>
        <w:rPr>
          <w:rFonts w:eastAsia="Times New Roman"/>
          <w:i/>
          <w:iCs/>
          <w:sz w:val="30"/>
          <w:szCs w:val="30"/>
          <w:lang w:val="es-ES"/>
        </w:rPr>
        <w:t>ón del Art. 120 de la Constitución de la República del Ecuador (R.O. 449, 20-X-2008), la Función Legislativa la ejercerá la Asamblea Nacional, por tanto, sus miembros tendrán la denominación de asambleistas.</w:t>
      </w:r>
    </w:p>
    <w:p w:rsidR="00000000" w:rsidRDefault="0045761E">
      <w:pPr>
        <w:divId w:val="638152039"/>
        <w:rPr>
          <w:rFonts w:eastAsia="Times New Roman"/>
          <w:sz w:val="30"/>
          <w:szCs w:val="30"/>
          <w:lang w:val="es-ES"/>
        </w:rPr>
      </w:pPr>
      <w:r>
        <w:rPr>
          <w:rFonts w:eastAsia="Times New Roman"/>
          <w:b/>
          <w:bCs/>
          <w:sz w:val="30"/>
          <w:szCs w:val="30"/>
          <w:lang w:val="es-ES"/>
        </w:rPr>
        <w:t>Art. 6.-</w:t>
      </w:r>
      <w:r>
        <w:rPr>
          <w:rFonts w:eastAsia="Times New Roman"/>
          <w:sz w:val="30"/>
          <w:szCs w:val="30"/>
          <w:lang w:val="es-ES"/>
        </w:rPr>
        <w:t xml:space="preserve"> </w:t>
      </w:r>
      <w:r>
        <w:rPr>
          <w:rFonts w:eastAsia="Times New Roman"/>
          <w:sz w:val="30"/>
          <w:szCs w:val="30"/>
          <w:lang w:val="es-ES"/>
        </w:rPr>
        <w:t>No podrá ser elegido ni desempeñar el cargo de Defensor del Pueblo: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lastRenderedPageBreak/>
        <w:t>a) Quien haya sido condenado, en sentencia ejecutoriada, a pena privativa de la libertad por delitos dolosos;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El texto resaltado ha sido declarado inconstitucional por el fondo y s</w:t>
      </w:r>
      <w:r>
        <w:rPr>
          <w:rFonts w:eastAsia="Times New Roman"/>
          <w:i/>
          <w:iCs/>
          <w:sz w:val="30"/>
          <w:szCs w:val="30"/>
          <w:lang w:val="es-ES"/>
        </w:rPr>
        <w:t>uspendidos totalmente sus efectos mediante Res. 034-2000-TP (R.O. 48-S, 31-III-2000) del Tribunal Constitucional.</w:t>
      </w:r>
      <w:r>
        <w:rPr>
          <w:rFonts w:eastAsia="Times New Roman"/>
          <w:i/>
          <w:iCs/>
          <w:sz w:val="30"/>
          <w:szCs w:val="30"/>
          <w:lang w:val="es-ES"/>
        </w:rPr>
        <w:br/>
      </w:r>
      <w:r>
        <w:rPr>
          <w:rFonts w:eastAsia="Times New Roman"/>
          <w:sz w:val="30"/>
          <w:szCs w:val="30"/>
          <w:lang w:val="es-ES"/>
        </w:rPr>
        <w:br/>
        <w:t>b) Quien sea pariente hasta el cuarto grado de consanguinidad o segundo de afinidad de los titulares de los entes públicos señalados en el ar</w:t>
      </w:r>
      <w:r>
        <w:rPr>
          <w:rFonts w:eastAsia="Times New Roman"/>
          <w:sz w:val="30"/>
          <w:szCs w:val="30"/>
          <w:lang w:val="es-ES"/>
        </w:rPr>
        <w:t>tículo 72 (118) de la Constitución Política de la República; y, de los miembros de la Fuerza Pública que ejerzan mando.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b/>
          <w:bCs/>
          <w:sz w:val="30"/>
          <w:szCs w:val="30"/>
          <w:u w:val="single"/>
          <w:lang w:val="es-ES"/>
        </w:rPr>
        <w:br/>
      </w:r>
      <w:r>
        <w:rPr>
          <w:rFonts w:eastAsia="Times New Roman"/>
          <w:i/>
          <w:iCs/>
          <w:sz w:val="30"/>
          <w:szCs w:val="30"/>
          <w:lang w:val="es-ES"/>
        </w:rPr>
        <w:t>Por Disposición Derogatoria de la Constitución de la República del Ecuador (R.O. 449, 20-X-2008), se abroga la Constitución Polít</w:t>
      </w:r>
      <w:r>
        <w:rPr>
          <w:rFonts w:eastAsia="Times New Roman"/>
          <w:i/>
          <w:iCs/>
          <w:sz w:val="30"/>
          <w:szCs w:val="30"/>
          <w:lang w:val="es-ES"/>
        </w:rPr>
        <w:t>ica de la República del Ecuador (R.O. 1, 11-VIII-1998), y toda norma que se oponga al nuevo marco constitucional.</w:t>
      </w:r>
    </w:p>
    <w:p w:rsidR="00000000" w:rsidRDefault="0045761E">
      <w:pPr>
        <w:divId w:val="823815923"/>
        <w:rPr>
          <w:rFonts w:eastAsia="Times New Roman"/>
          <w:sz w:val="30"/>
          <w:szCs w:val="30"/>
          <w:lang w:val="es-ES"/>
        </w:rPr>
      </w:pPr>
      <w:r>
        <w:rPr>
          <w:rFonts w:eastAsia="Times New Roman"/>
          <w:b/>
          <w:bCs/>
          <w:sz w:val="30"/>
          <w:szCs w:val="30"/>
          <w:lang w:val="es-ES"/>
        </w:rPr>
        <w:t>Art. 7.-</w:t>
      </w:r>
      <w:r>
        <w:rPr>
          <w:rFonts w:eastAsia="Times New Roman"/>
          <w:sz w:val="30"/>
          <w:szCs w:val="30"/>
          <w:lang w:val="es-ES"/>
        </w:rPr>
        <w:t xml:space="preserve"> El Defensor del Pueblo cesará en sus funciones por las siguientes causas:</w:t>
      </w:r>
      <w:r>
        <w:rPr>
          <w:rFonts w:eastAsia="Times New Roman"/>
          <w:sz w:val="30"/>
          <w:szCs w:val="30"/>
          <w:lang w:val="es-ES"/>
        </w:rPr>
        <w:br/>
      </w:r>
      <w:r>
        <w:rPr>
          <w:rFonts w:eastAsia="Times New Roman"/>
          <w:sz w:val="30"/>
          <w:szCs w:val="30"/>
          <w:lang w:val="es-ES"/>
        </w:rPr>
        <w:br/>
        <w:t>a) Por expiración del plazo de su nombramiento;</w:t>
      </w:r>
      <w:r>
        <w:rPr>
          <w:rFonts w:eastAsia="Times New Roman"/>
          <w:sz w:val="30"/>
          <w:szCs w:val="30"/>
          <w:lang w:val="es-ES"/>
        </w:rPr>
        <w:br/>
      </w:r>
      <w:r>
        <w:rPr>
          <w:rFonts w:eastAsia="Times New Roman"/>
          <w:sz w:val="30"/>
          <w:szCs w:val="30"/>
          <w:lang w:val="es-ES"/>
        </w:rPr>
        <w:br/>
        <w:t>b) Por mu</w:t>
      </w:r>
      <w:r>
        <w:rPr>
          <w:rFonts w:eastAsia="Times New Roman"/>
          <w:sz w:val="30"/>
          <w:szCs w:val="30"/>
          <w:lang w:val="es-ES"/>
        </w:rPr>
        <w:t>erte;</w:t>
      </w:r>
      <w:r>
        <w:rPr>
          <w:rFonts w:eastAsia="Times New Roman"/>
          <w:sz w:val="30"/>
          <w:szCs w:val="30"/>
          <w:lang w:val="es-ES"/>
        </w:rPr>
        <w:br/>
      </w:r>
      <w:r>
        <w:rPr>
          <w:rFonts w:eastAsia="Times New Roman"/>
          <w:sz w:val="30"/>
          <w:szCs w:val="30"/>
          <w:lang w:val="es-ES"/>
        </w:rPr>
        <w:br/>
        <w:t>c) Por renuncia aceptada por el Congreso Nacional;</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 xml:space="preserve">Por disposición del Art. 120 de la Constitución de la República del Ecuador (R.O. 449, 20-X-2008), la Función Legislativa la ejercerá la Asamblea Nacional, por tanto, sus miembros tendrán la </w:t>
      </w:r>
      <w:r>
        <w:rPr>
          <w:rFonts w:eastAsia="Times New Roman"/>
          <w:i/>
          <w:iCs/>
          <w:sz w:val="30"/>
          <w:szCs w:val="30"/>
          <w:lang w:val="es-ES"/>
        </w:rPr>
        <w:t>denominación de asambleistas.</w:t>
      </w:r>
      <w:r>
        <w:rPr>
          <w:rFonts w:eastAsia="Times New Roman"/>
          <w:sz w:val="30"/>
          <w:szCs w:val="30"/>
          <w:lang w:val="es-ES"/>
        </w:rPr>
        <w:br/>
      </w:r>
      <w:r>
        <w:rPr>
          <w:rFonts w:eastAsia="Times New Roman"/>
          <w:sz w:val="30"/>
          <w:szCs w:val="30"/>
          <w:lang w:val="es-ES"/>
        </w:rPr>
        <w:br/>
        <w:t>d) Por incapacidad física o mental, declarada por el Congreso Nacional; y,</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Por disposición del Art. 120 de la Constitución de la República del Ecuador (R.O. 449, 20-X-2008), la Función Legislativa la ejercerá la Asambl</w:t>
      </w:r>
      <w:r>
        <w:rPr>
          <w:rFonts w:eastAsia="Times New Roman"/>
          <w:i/>
          <w:iCs/>
          <w:sz w:val="30"/>
          <w:szCs w:val="30"/>
          <w:lang w:val="es-ES"/>
        </w:rPr>
        <w:t xml:space="preserve">ea Nacional, por tanto, sus miembros tendrán la denominación </w:t>
      </w:r>
      <w:r>
        <w:rPr>
          <w:rFonts w:eastAsia="Times New Roman"/>
          <w:i/>
          <w:iCs/>
          <w:sz w:val="30"/>
          <w:szCs w:val="30"/>
          <w:lang w:val="es-ES"/>
        </w:rPr>
        <w:lastRenderedPageBreak/>
        <w:t>de asambleistas.</w:t>
      </w:r>
      <w:r>
        <w:rPr>
          <w:rFonts w:eastAsia="Times New Roman"/>
          <w:sz w:val="30"/>
          <w:szCs w:val="30"/>
          <w:lang w:val="es-ES"/>
        </w:rPr>
        <w:br/>
      </w:r>
      <w:r>
        <w:rPr>
          <w:rFonts w:eastAsia="Times New Roman"/>
          <w:sz w:val="30"/>
          <w:szCs w:val="30"/>
          <w:lang w:val="es-ES"/>
        </w:rPr>
        <w:br/>
        <w:t>e) Por destitución en juicio político.</w:t>
      </w:r>
    </w:p>
    <w:p w:rsidR="00000000" w:rsidRDefault="0045761E">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DEBERES Y ATRIBUCIONES</w:t>
      </w:r>
    </w:p>
    <w:p w:rsidR="00000000" w:rsidRDefault="0045761E">
      <w:pPr>
        <w:divId w:val="168957679"/>
        <w:rPr>
          <w:rFonts w:eastAsia="Times New Roman"/>
          <w:sz w:val="30"/>
          <w:szCs w:val="30"/>
          <w:lang w:val="es-ES"/>
        </w:rPr>
      </w:pPr>
      <w:r>
        <w:rPr>
          <w:rFonts w:eastAsia="Times New Roman"/>
          <w:b/>
          <w:bCs/>
          <w:sz w:val="30"/>
          <w:szCs w:val="30"/>
          <w:lang w:val="es-ES"/>
        </w:rPr>
        <w:t>Art. 8.</w:t>
      </w:r>
      <w:r>
        <w:rPr>
          <w:rFonts w:eastAsia="Times New Roman"/>
          <w:b/>
          <w:bCs/>
          <w:sz w:val="30"/>
          <w:szCs w:val="30"/>
          <w:lang w:val="es-ES"/>
        </w:rPr>
        <w:t>-</w:t>
      </w:r>
      <w:r>
        <w:rPr>
          <w:rFonts w:eastAsia="Times New Roman"/>
          <w:sz w:val="30"/>
          <w:szCs w:val="30"/>
          <w:lang w:val="es-ES"/>
        </w:rPr>
        <w:t xml:space="preserve"> Son deberes y atribuciones del Defensor del Pueblo, a más del ejercicio de las funciones dete</w:t>
      </w:r>
      <w:r>
        <w:rPr>
          <w:rFonts w:eastAsia="Times New Roman"/>
          <w:sz w:val="30"/>
          <w:szCs w:val="30"/>
          <w:lang w:val="es-ES"/>
        </w:rPr>
        <w:t>rminadas en los literales a) y b) del artículo 2 de esta Ley, las siguientes:</w:t>
      </w:r>
      <w:r>
        <w:rPr>
          <w:rFonts w:eastAsia="Times New Roman"/>
          <w:sz w:val="30"/>
          <w:szCs w:val="30"/>
          <w:lang w:val="es-ES"/>
        </w:rPr>
        <w:br/>
      </w:r>
      <w:r>
        <w:rPr>
          <w:rFonts w:eastAsia="Times New Roman"/>
          <w:sz w:val="30"/>
          <w:szCs w:val="30"/>
          <w:lang w:val="es-ES"/>
        </w:rPr>
        <w:br/>
        <w:t>a) Ejercer la representación legal y la administración de la Defensoría del Pueblo;</w:t>
      </w:r>
      <w:r>
        <w:rPr>
          <w:rFonts w:eastAsia="Times New Roman"/>
          <w:sz w:val="30"/>
          <w:szCs w:val="30"/>
          <w:lang w:val="es-ES"/>
        </w:rPr>
        <w:br/>
      </w:r>
      <w:r>
        <w:rPr>
          <w:rFonts w:eastAsia="Times New Roman"/>
          <w:sz w:val="30"/>
          <w:szCs w:val="30"/>
          <w:lang w:val="es-ES"/>
        </w:rPr>
        <w:br/>
        <w:t>b) Organizar la Defensoría del Pueblo en todo el territorio nacional;</w:t>
      </w:r>
      <w:r>
        <w:rPr>
          <w:rFonts w:eastAsia="Times New Roman"/>
          <w:sz w:val="30"/>
          <w:szCs w:val="30"/>
          <w:lang w:val="es-ES"/>
        </w:rPr>
        <w:br/>
      </w:r>
      <w:r>
        <w:rPr>
          <w:rFonts w:eastAsia="Times New Roman"/>
          <w:sz w:val="30"/>
          <w:szCs w:val="30"/>
          <w:lang w:val="es-ES"/>
        </w:rPr>
        <w:br/>
        <w:t>c) Elaborar y aprobar</w:t>
      </w:r>
      <w:r>
        <w:rPr>
          <w:rFonts w:eastAsia="Times New Roman"/>
          <w:sz w:val="30"/>
          <w:szCs w:val="30"/>
          <w:lang w:val="es-ES"/>
        </w:rPr>
        <w:t xml:space="preserve"> los reglamentos necesarios para el buen funcionamiento de la Institución;</w:t>
      </w:r>
      <w:r>
        <w:rPr>
          <w:rFonts w:eastAsia="Times New Roman"/>
          <w:sz w:val="30"/>
          <w:szCs w:val="30"/>
          <w:lang w:val="es-ES"/>
        </w:rPr>
        <w:br/>
      </w:r>
      <w:r>
        <w:rPr>
          <w:rFonts w:eastAsia="Times New Roman"/>
          <w:sz w:val="30"/>
          <w:szCs w:val="30"/>
          <w:lang w:val="es-ES"/>
        </w:rPr>
        <w:br/>
        <w:t>d) Elaborar el proyecto del presupuesto anual de la Defensoría del Pueblo, y presentarlo, para su trámite ante el Gobierno Nacional, hasta el 30 de septiembre de cada año;</w:t>
      </w:r>
      <w:r>
        <w:rPr>
          <w:rFonts w:eastAsia="Times New Roman"/>
          <w:sz w:val="30"/>
          <w:szCs w:val="30"/>
          <w:lang w:val="es-ES"/>
        </w:rPr>
        <w:br/>
      </w:r>
      <w:r>
        <w:rPr>
          <w:rFonts w:eastAsia="Times New Roman"/>
          <w:sz w:val="30"/>
          <w:szCs w:val="30"/>
          <w:lang w:val="es-ES"/>
        </w:rPr>
        <w:br/>
        <w:t>e) (Ref</w:t>
      </w:r>
      <w:r>
        <w:rPr>
          <w:rFonts w:eastAsia="Times New Roman"/>
          <w:sz w:val="30"/>
          <w:szCs w:val="30"/>
          <w:lang w:val="es-ES"/>
        </w:rPr>
        <w:t>ormado por la Disposición Reformatoria Primera de la Ley s/n, R.O. 52-2S, 22-X-2009).- Presentar, ante la Corte Constitucional, la demanda de inconstitucionalidad de acuerdo con lo previsto en el literal e) del artículo 177 (277) de la Constitución Polític</w:t>
      </w:r>
      <w:r>
        <w:rPr>
          <w:rFonts w:eastAsia="Times New Roman"/>
          <w:sz w:val="30"/>
          <w:szCs w:val="30"/>
          <w:lang w:val="es-ES"/>
        </w:rPr>
        <w:t>a de la República e informar en el caso del literal f) (numeral 5) del mismo artículo;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t xml:space="preserve">- </w:t>
      </w:r>
      <w:r>
        <w:rPr>
          <w:rFonts w:eastAsia="Times New Roman"/>
          <w:i/>
          <w:iCs/>
          <w:sz w:val="30"/>
          <w:szCs w:val="30"/>
          <w:lang w:val="es-ES"/>
        </w:rPr>
        <w:t>Por Disposición Derogatoria de la Constitución de la República del Ecuador (R.O. 449, 20-X-2008), se abroga la Constitución Política de la República del Ecuado</w:t>
      </w:r>
      <w:r>
        <w:rPr>
          <w:rFonts w:eastAsia="Times New Roman"/>
          <w:i/>
          <w:iCs/>
          <w:sz w:val="30"/>
          <w:szCs w:val="30"/>
          <w:lang w:val="es-ES"/>
        </w:rPr>
        <w:t>r (R.O. 1, 11-VIII-1998), y toda norma que se oponga al nuevo marco constitucional.</w:t>
      </w:r>
      <w:r>
        <w:rPr>
          <w:rFonts w:eastAsia="Times New Roman"/>
          <w:sz w:val="30"/>
          <w:szCs w:val="30"/>
          <w:lang w:val="es-ES"/>
        </w:rPr>
        <w:br/>
        <w:t xml:space="preserve">- </w:t>
      </w:r>
      <w:r>
        <w:rPr>
          <w:rFonts w:eastAsia="Times New Roman"/>
          <w:i/>
          <w:iCs/>
          <w:sz w:val="30"/>
          <w:szCs w:val="30"/>
          <w:lang w:val="es-ES"/>
        </w:rPr>
        <w:t>La remisión al contenido del literal e) del Art. 177 de la anterior Constitución no se encuentra prevista en ninguno de los numerales del Art. 277 de la actual Constituci</w:t>
      </w:r>
      <w:r>
        <w:rPr>
          <w:rFonts w:eastAsia="Times New Roman"/>
          <w:i/>
          <w:iCs/>
          <w:sz w:val="30"/>
          <w:szCs w:val="30"/>
          <w:lang w:val="es-ES"/>
        </w:rPr>
        <w:t>ón.</w:t>
      </w:r>
      <w:r>
        <w:rPr>
          <w:rFonts w:eastAsia="Times New Roman"/>
          <w:i/>
          <w:iCs/>
          <w:sz w:val="30"/>
          <w:szCs w:val="30"/>
          <w:lang w:val="es-ES"/>
        </w:rPr>
        <w:br/>
      </w:r>
      <w:r>
        <w:rPr>
          <w:rFonts w:eastAsia="Times New Roman"/>
          <w:sz w:val="30"/>
          <w:szCs w:val="30"/>
          <w:lang w:val="es-ES"/>
        </w:rPr>
        <w:br/>
        <w:t xml:space="preserve">f) Intervenir como mediador en conflictos sometidos a su </w:t>
      </w:r>
      <w:r>
        <w:rPr>
          <w:rFonts w:eastAsia="Times New Roman"/>
          <w:sz w:val="30"/>
          <w:szCs w:val="30"/>
          <w:lang w:val="es-ES"/>
        </w:rPr>
        <w:lastRenderedPageBreak/>
        <w:t>consideración por personas jurídicas y organizaciones populares con la administración pública, siempre y cuando el Defensor del Pueblo lo considere procedente y necesario;</w:t>
      </w:r>
      <w:r>
        <w:rPr>
          <w:rFonts w:eastAsia="Times New Roman"/>
          <w:sz w:val="30"/>
          <w:szCs w:val="30"/>
          <w:lang w:val="es-ES"/>
        </w:rPr>
        <w:br/>
      </w:r>
      <w:r>
        <w:rPr>
          <w:rFonts w:eastAsia="Times New Roman"/>
          <w:sz w:val="30"/>
          <w:szCs w:val="30"/>
          <w:lang w:val="es-ES"/>
        </w:rPr>
        <w:br/>
        <w:t>g) Intervenir como pa</w:t>
      </w:r>
      <w:r>
        <w:rPr>
          <w:rFonts w:eastAsia="Times New Roman"/>
          <w:sz w:val="30"/>
          <w:szCs w:val="30"/>
          <w:lang w:val="es-ES"/>
        </w:rPr>
        <w:t>rte en asuntos relacionados a la protección del medio ambiente y del patrimonio cultural resguardando el interés de la colectividad;</w:t>
      </w:r>
      <w:r>
        <w:rPr>
          <w:rFonts w:eastAsia="Times New Roman"/>
          <w:sz w:val="30"/>
          <w:szCs w:val="30"/>
          <w:lang w:val="es-ES"/>
        </w:rPr>
        <w:br/>
      </w:r>
      <w:r>
        <w:rPr>
          <w:rFonts w:eastAsia="Times New Roman"/>
          <w:sz w:val="30"/>
          <w:szCs w:val="30"/>
          <w:lang w:val="es-ES"/>
        </w:rPr>
        <w:br/>
        <w:t>h) Promover la capacitación, difusión y asesoramiento en el campo de los derechos humanos, ambientales y de patrimonio cul</w:t>
      </w:r>
      <w:r>
        <w:rPr>
          <w:rFonts w:eastAsia="Times New Roman"/>
          <w:sz w:val="30"/>
          <w:szCs w:val="30"/>
          <w:lang w:val="es-ES"/>
        </w:rPr>
        <w:t>tural, utilizando los espacios de comunicación y difusión que asigna la Ley al Estado. Hacer públicas las recomendaciones, observaciones que hubiera dispuesto y orientar a los ciudadanos sobre el ejercicio de sus derechos;</w:t>
      </w:r>
      <w:r>
        <w:rPr>
          <w:rFonts w:eastAsia="Times New Roman"/>
          <w:sz w:val="30"/>
          <w:szCs w:val="30"/>
          <w:lang w:val="es-ES"/>
        </w:rPr>
        <w:br/>
      </w:r>
      <w:r>
        <w:rPr>
          <w:rFonts w:eastAsia="Times New Roman"/>
          <w:sz w:val="30"/>
          <w:szCs w:val="30"/>
          <w:lang w:val="es-ES"/>
        </w:rPr>
        <w:br/>
        <w:t>i) Realizar visitas periódicas a</w:t>
      </w:r>
      <w:r>
        <w:rPr>
          <w:rFonts w:eastAsia="Times New Roman"/>
          <w:sz w:val="30"/>
          <w:szCs w:val="30"/>
          <w:lang w:val="es-ES"/>
        </w:rPr>
        <w:t xml:space="preserve"> los centros de rehabilitación social, unidades de investigación, recintos policiales y militares para comprobar el respeto a los derechos humanos;</w:t>
      </w:r>
      <w:r>
        <w:rPr>
          <w:rFonts w:eastAsia="Times New Roman"/>
          <w:sz w:val="30"/>
          <w:szCs w:val="30"/>
          <w:lang w:val="es-ES"/>
        </w:rPr>
        <w:br/>
      </w:r>
      <w:r>
        <w:rPr>
          <w:rFonts w:eastAsia="Times New Roman"/>
          <w:sz w:val="30"/>
          <w:szCs w:val="30"/>
          <w:lang w:val="es-ES"/>
        </w:rPr>
        <w:br/>
        <w:t>j) Presentar proyectos de ley, en representación de la iniciativa popular;</w:t>
      </w:r>
      <w:r>
        <w:rPr>
          <w:rFonts w:eastAsia="Times New Roman"/>
          <w:sz w:val="30"/>
          <w:szCs w:val="30"/>
          <w:lang w:val="es-ES"/>
        </w:rPr>
        <w:br/>
      </w:r>
      <w:r>
        <w:rPr>
          <w:rFonts w:eastAsia="Times New Roman"/>
          <w:sz w:val="30"/>
          <w:szCs w:val="30"/>
          <w:lang w:val="es-ES"/>
        </w:rPr>
        <w:br/>
        <w:t>k) Pronunciarse públicamente so</w:t>
      </w:r>
      <w:r>
        <w:rPr>
          <w:rFonts w:eastAsia="Times New Roman"/>
          <w:sz w:val="30"/>
          <w:szCs w:val="30"/>
          <w:lang w:val="es-ES"/>
        </w:rPr>
        <w:t>bre los casos sometidos a su consideración, con criterios que constituirían doctrina para la defensa de los derechos humanos;</w:t>
      </w:r>
      <w:r>
        <w:rPr>
          <w:rFonts w:eastAsia="Times New Roman"/>
          <w:sz w:val="30"/>
          <w:szCs w:val="30"/>
          <w:lang w:val="es-ES"/>
        </w:rPr>
        <w:br/>
      </w:r>
      <w:r>
        <w:rPr>
          <w:rFonts w:eastAsia="Times New Roman"/>
          <w:sz w:val="30"/>
          <w:szCs w:val="30"/>
          <w:lang w:val="es-ES"/>
        </w:rPr>
        <w:br/>
        <w:t>l) Emitir censura pública en contra de los responsables materiales o intelectuales de actos o comportamientos contrarios a los de</w:t>
      </w:r>
      <w:r>
        <w:rPr>
          <w:rFonts w:eastAsia="Times New Roman"/>
          <w:sz w:val="30"/>
          <w:szCs w:val="30"/>
          <w:lang w:val="es-ES"/>
        </w:rPr>
        <w:t>rechos humanos;</w:t>
      </w:r>
      <w:r>
        <w:rPr>
          <w:rFonts w:eastAsia="Times New Roman"/>
          <w:sz w:val="30"/>
          <w:szCs w:val="30"/>
          <w:lang w:val="es-ES"/>
        </w:rPr>
        <w:br/>
      </w:r>
      <w:r>
        <w:rPr>
          <w:rFonts w:eastAsia="Times New Roman"/>
          <w:sz w:val="30"/>
          <w:szCs w:val="30"/>
          <w:lang w:val="es-ES"/>
        </w:rPr>
        <w:br/>
        <w:t>m) Informar sobre la firma y ratificación de los pactos, convenios y declaraciones internacionales en materia de derechos humanos y velar por el efectivo cumplimiento de los mismos;</w:t>
      </w:r>
      <w:r>
        <w:rPr>
          <w:rFonts w:eastAsia="Times New Roman"/>
          <w:sz w:val="30"/>
          <w:szCs w:val="30"/>
          <w:lang w:val="es-ES"/>
        </w:rPr>
        <w:br/>
      </w:r>
      <w:r>
        <w:rPr>
          <w:rFonts w:eastAsia="Times New Roman"/>
          <w:sz w:val="30"/>
          <w:szCs w:val="30"/>
          <w:lang w:val="es-ES"/>
        </w:rPr>
        <w:br/>
        <w:t>n) Representar al país en los foros internacionales sobr</w:t>
      </w:r>
      <w:r>
        <w:rPr>
          <w:rFonts w:eastAsia="Times New Roman"/>
          <w:sz w:val="30"/>
          <w:szCs w:val="30"/>
          <w:lang w:val="es-ES"/>
        </w:rPr>
        <w:t>e las materias de su competencia;</w:t>
      </w:r>
      <w:r>
        <w:rPr>
          <w:rFonts w:eastAsia="Times New Roman"/>
          <w:sz w:val="30"/>
          <w:szCs w:val="30"/>
          <w:lang w:val="es-ES"/>
        </w:rPr>
        <w:br/>
      </w:r>
      <w:r>
        <w:rPr>
          <w:rFonts w:eastAsia="Times New Roman"/>
          <w:sz w:val="30"/>
          <w:szCs w:val="30"/>
          <w:lang w:val="es-ES"/>
        </w:rPr>
        <w:br/>
        <w:t xml:space="preserve">o) Proteger y defender, de oficio o a petición de parte, contra las violaciones de derechos humanos que sufran los ecuatorianos residentes en el exterior, mediante la utilización de las vías </w:t>
      </w:r>
      <w:r>
        <w:rPr>
          <w:rFonts w:eastAsia="Times New Roman"/>
          <w:sz w:val="30"/>
          <w:szCs w:val="30"/>
          <w:lang w:val="es-ES"/>
        </w:rPr>
        <w:lastRenderedPageBreak/>
        <w:t>diplomática o judicial interna</w:t>
      </w:r>
      <w:r>
        <w:rPr>
          <w:rFonts w:eastAsia="Times New Roman"/>
          <w:sz w:val="30"/>
          <w:szCs w:val="30"/>
          <w:lang w:val="es-ES"/>
        </w:rPr>
        <w:t>cional;</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En nuestro ordenamiento jurídico las garantías fundamentales previstas para la tutela efectiva en materia de derechos humanos son: Acción de Amparo, Hábeas Corpus, Hábeas Data, Defensoría del Pueblo y el Recurso de Acceso a la Información Pú</w:t>
      </w:r>
      <w:r>
        <w:rPr>
          <w:rFonts w:eastAsia="Times New Roman"/>
          <w:i/>
          <w:iCs/>
          <w:sz w:val="30"/>
          <w:szCs w:val="30"/>
          <w:lang w:val="es-ES"/>
        </w:rPr>
        <w:t>blica.</w:t>
      </w:r>
      <w:r>
        <w:rPr>
          <w:rFonts w:eastAsia="Times New Roman"/>
          <w:sz w:val="30"/>
          <w:szCs w:val="30"/>
          <w:lang w:val="es-ES"/>
        </w:rPr>
        <w:br/>
      </w:r>
      <w:r>
        <w:rPr>
          <w:rFonts w:eastAsia="Times New Roman"/>
          <w:sz w:val="30"/>
          <w:szCs w:val="30"/>
          <w:lang w:val="es-ES"/>
        </w:rPr>
        <w:br/>
        <w:t>p) Informar anualmente al Congreso Nacional sobre la situación de los derechos humanos en el Ecuador y de las labores de la Defensoría del Pueblo. Los informes, también podrán ser presentados, en cualquier momento cuando la gravedad del caso lo exi</w:t>
      </w:r>
      <w:r>
        <w:rPr>
          <w:rFonts w:eastAsia="Times New Roman"/>
          <w:sz w:val="30"/>
          <w:szCs w:val="30"/>
          <w:lang w:val="es-ES"/>
        </w:rPr>
        <w:t>ja o el Congreso Nacional lo requiera; y,</w:t>
      </w:r>
      <w:r>
        <w:rPr>
          <w:rFonts w:eastAsia="Times New Roman"/>
          <w:sz w:val="30"/>
          <w:szCs w:val="30"/>
          <w:lang w:val="es-ES"/>
        </w:rPr>
        <w:br/>
      </w:r>
      <w:r>
        <w:rPr>
          <w:rFonts w:eastAsia="Times New Roman"/>
          <w:sz w:val="30"/>
          <w:szCs w:val="30"/>
          <w:lang w:val="es-ES"/>
        </w:rPr>
        <w:br/>
        <w:t>q) Las demás que establezcan la Constitución Política de la República y la Ley.</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t xml:space="preserve">- </w:t>
      </w:r>
      <w:r>
        <w:rPr>
          <w:rFonts w:eastAsia="Times New Roman"/>
          <w:i/>
          <w:iCs/>
          <w:sz w:val="30"/>
          <w:szCs w:val="30"/>
          <w:lang w:val="es-ES"/>
        </w:rPr>
        <w:t>Por Disposición Derogatoria de la Constitución de la República del Ecuador (R.O. 449, 20-X-2008), se abroga la Constitución</w:t>
      </w:r>
      <w:r>
        <w:rPr>
          <w:rFonts w:eastAsia="Times New Roman"/>
          <w:i/>
          <w:iCs/>
          <w:sz w:val="30"/>
          <w:szCs w:val="30"/>
          <w:lang w:val="es-ES"/>
        </w:rPr>
        <w:t xml:space="preserve"> Política de la República del Ecuador (R.O. 1, 11-VIII-1998), y toda norma que se oponga al nuevo marco constitucional.</w:t>
      </w:r>
      <w:r>
        <w:rPr>
          <w:rFonts w:eastAsia="Times New Roman"/>
          <w:sz w:val="30"/>
          <w:szCs w:val="30"/>
          <w:lang w:val="es-ES"/>
        </w:rPr>
        <w:br/>
        <w:t xml:space="preserve">- </w:t>
      </w:r>
      <w:r>
        <w:rPr>
          <w:rFonts w:eastAsia="Times New Roman"/>
          <w:i/>
          <w:iCs/>
          <w:sz w:val="30"/>
          <w:szCs w:val="30"/>
          <w:lang w:val="es-ES"/>
        </w:rPr>
        <w:t xml:space="preserve">Por disposición del Art. 120 de la Constitución de la República del Ecuador (R.O. 449, 20-X-2008), la Función Legislativa la ejercerá </w:t>
      </w:r>
      <w:r>
        <w:rPr>
          <w:rFonts w:eastAsia="Times New Roman"/>
          <w:i/>
          <w:iCs/>
          <w:sz w:val="30"/>
          <w:szCs w:val="30"/>
          <w:lang w:val="es-ES"/>
        </w:rPr>
        <w:t>la Asamblea Nacional, por tanto, sus miembros tendrán la denominación de asambleistas.</w:t>
      </w:r>
    </w:p>
    <w:p w:rsidR="00000000" w:rsidRDefault="0045761E">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 LOS ADJUNTOS, DE LOS COMISIONADOS PROVINCIALES DEL DEFENSOR DEL PUEBLO Y LOS DEFENSORES PÚBLICOS</w:t>
      </w:r>
    </w:p>
    <w:p w:rsidR="00000000" w:rsidRDefault="0045761E">
      <w:pPr>
        <w:divId w:val="1816141682"/>
        <w:rPr>
          <w:rFonts w:eastAsia="Times New Roman"/>
          <w:sz w:val="30"/>
          <w:szCs w:val="30"/>
          <w:lang w:val="es-ES"/>
        </w:rPr>
      </w:pPr>
      <w:r>
        <w:rPr>
          <w:rFonts w:eastAsia="Times New Roman"/>
          <w:b/>
          <w:bCs/>
          <w:sz w:val="30"/>
          <w:szCs w:val="30"/>
          <w:lang w:val="es-ES"/>
        </w:rPr>
        <w:t>Art. 9.-</w:t>
      </w:r>
      <w:r>
        <w:rPr>
          <w:rFonts w:eastAsia="Times New Roman"/>
          <w:sz w:val="30"/>
          <w:szCs w:val="30"/>
          <w:lang w:val="es-ES"/>
        </w:rPr>
        <w:t xml:space="preserve"> El Defensor del Pueblo nombrará un adjunto, pr</w:t>
      </w:r>
      <w:r>
        <w:rPr>
          <w:rFonts w:eastAsia="Times New Roman"/>
          <w:sz w:val="30"/>
          <w:szCs w:val="30"/>
          <w:lang w:val="es-ES"/>
        </w:rPr>
        <w:t>imero y segundo, en los cuales delegará funciones, deberes y atribuciones, y que además le reemplazarán en su orden, en el ejercicio de las mismas, en los supuestos de ausencia temporal, y de vacancia del cargo hasta que el Congreso Nacional nombre al titu</w:t>
      </w:r>
      <w:r>
        <w:rPr>
          <w:rFonts w:eastAsia="Times New Roman"/>
          <w:sz w:val="30"/>
          <w:szCs w:val="30"/>
          <w:lang w:val="es-ES"/>
        </w:rPr>
        <w:t>lar.</w:t>
      </w:r>
      <w:r>
        <w:rPr>
          <w:rFonts w:eastAsia="Times New Roman"/>
          <w:sz w:val="30"/>
          <w:szCs w:val="30"/>
          <w:lang w:val="es-ES"/>
        </w:rPr>
        <w:br/>
      </w:r>
      <w:r>
        <w:rPr>
          <w:rFonts w:eastAsia="Times New Roman"/>
          <w:sz w:val="30"/>
          <w:szCs w:val="30"/>
          <w:lang w:val="es-ES"/>
        </w:rPr>
        <w:br/>
        <w:t>Los adjuntos deberán cumplir con los mismos requisitos exigidos para el Defensor del Pueblo.</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Por disposición del Art. 120 de la Constitución de la República del Ecuador (R.O. 449, 20-X-2008), la Función Legislativa la ejercerá la Asamblea Naci</w:t>
      </w:r>
      <w:r>
        <w:rPr>
          <w:rFonts w:eastAsia="Times New Roman"/>
          <w:i/>
          <w:iCs/>
          <w:sz w:val="30"/>
          <w:szCs w:val="30"/>
          <w:lang w:val="es-ES"/>
        </w:rPr>
        <w:t>onal, por tanto, sus miembros tendrán la denominación de asambleistas.</w:t>
      </w:r>
    </w:p>
    <w:p w:rsidR="00000000" w:rsidRDefault="0045761E">
      <w:pPr>
        <w:divId w:val="1693649411"/>
        <w:rPr>
          <w:rFonts w:eastAsia="Times New Roman"/>
          <w:sz w:val="30"/>
          <w:szCs w:val="30"/>
          <w:lang w:val="es-ES"/>
        </w:rPr>
      </w:pPr>
      <w:r>
        <w:rPr>
          <w:rFonts w:eastAsia="Times New Roman"/>
          <w:b/>
          <w:bCs/>
          <w:sz w:val="30"/>
          <w:szCs w:val="30"/>
          <w:lang w:val="es-ES"/>
        </w:rPr>
        <w:t>Art. 10.-</w:t>
      </w:r>
      <w:r>
        <w:rPr>
          <w:rFonts w:eastAsia="Times New Roman"/>
          <w:sz w:val="30"/>
          <w:szCs w:val="30"/>
          <w:lang w:val="es-ES"/>
        </w:rPr>
        <w:t xml:space="preserve"> En cada provincia existirá una representación de la Defensoría del Pueblo, a cargo de un comisionado que, en la respectiva circunscripción territorial, y por delegación del De</w:t>
      </w:r>
      <w:r>
        <w:rPr>
          <w:rFonts w:eastAsia="Times New Roman"/>
          <w:sz w:val="30"/>
          <w:szCs w:val="30"/>
          <w:lang w:val="es-ES"/>
        </w:rPr>
        <w:t>fensor del Pueblo, tendrá las funciones, deberes y atribuciones que el titular le encomiende.</w:t>
      </w:r>
      <w:r>
        <w:rPr>
          <w:rFonts w:eastAsia="Times New Roman"/>
          <w:sz w:val="30"/>
          <w:szCs w:val="30"/>
          <w:lang w:val="es-ES"/>
        </w:rPr>
        <w:br/>
      </w:r>
      <w:r>
        <w:rPr>
          <w:rFonts w:eastAsia="Times New Roman"/>
          <w:sz w:val="30"/>
          <w:szCs w:val="30"/>
          <w:lang w:val="es-ES"/>
        </w:rPr>
        <w:br/>
        <w:t>Los comisionados deben reunir los mismos requisitos que para ser ministros de las cortes superiores de Justicia, con excepción el referente a la carrera judicial</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b/>
          <w:bCs/>
          <w:sz w:val="30"/>
          <w:szCs w:val="30"/>
          <w:u w:val="single"/>
          <w:lang w:val="es-ES"/>
        </w:rPr>
        <w:br/>
      </w:r>
      <w:r>
        <w:rPr>
          <w:rFonts w:eastAsia="Times New Roman"/>
          <w:i/>
          <w:iCs/>
          <w:sz w:val="30"/>
          <w:szCs w:val="30"/>
          <w:lang w:val="es-ES"/>
        </w:rPr>
        <w:t>Las Cortes Superiores fueron sustituidas por las Cortes Provinciales, según el Art. 178, num. 2 de la Constitución de la República del Ecuador (R.O. 449, 20-X-2008).</w:t>
      </w:r>
    </w:p>
    <w:p w:rsidR="00000000" w:rsidRDefault="0045761E">
      <w:pPr>
        <w:divId w:val="467355627"/>
        <w:rPr>
          <w:rFonts w:eastAsia="Times New Roman"/>
          <w:sz w:val="30"/>
          <w:szCs w:val="30"/>
          <w:lang w:val="es-ES"/>
        </w:rPr>
      </w:pPr>
      <w:r>
        <w:rPr>
          <w:rFonts w:eastAsia="Times New Roman"/>
          <w:b/>
          <w:bCs/>
          <w:sz w:val="30"/>
          <w:szCs w:val="30"/>
          <w:lang w:val="es-ES"/>
        </w:rPr>
        <w:t xml:space="preserve">Art. 11.- </w:t>
      </w:r>
      <w:r>
        <w:rPr>
          <w:rFonts w:eastAsia="Times New Roman"/>
          <w:sz w:val="30"/>
          <w:szCs w:val="30"/>
          <w:lang w:val="es-ES"/>
        </w:rPr>
        <w:t>(Derogado por la Disposición Reformatoria Décima, num. 1, de la Ley s/n</w:t>
      </w:r>
      <w:r>
        <w:rPr>
          <w:rFonts w:eastAsia="Times New Roman"/>
          <w:sz w:val="30"/>
          <w:szCs w:val="30"/>
          <w:lang w:val="es-ES"/>
        </w:rPr>
        <w:t>, R.O. 544-S, 9-III-2009).</w:t>
      </w:r>
    </w:p>
    <w:p w:rsidR="00000000" w:rsidRDefault="0045761E">
      <w:pPr>
        <w:jc w:val="center"/>
        <w:rPr>
          <w:rFonts w:eastAsia="Times New Roman"/>
          <w:sz w:val="36"/>
          <w:szCs w:val="36"/>
          <w:lang w:val="es-ES"/>
        </w:rPr>
      </w:pPr>
      <w:r>
        <w:rPr>
          <w:rFonts w:eastAsia="Times New Roman"/>
          <w:b/>
          <w:bCs/>
          <w:sz w:val="36"/>
          <w:szCs w:val="36"/>
          <w:lang w:val="es-ES"/>
        </w:rPr>
        <w:br/>
        <w:t>Título III</w:t>
      </w:r>
      <w:r>
        <w:rPr>
          <w:rFonts w:eastAsia="Times New Roman"/>
          <w:b/>
          <w:bCs/>
          <w:sz w:val="36"/>
          <w:szCs w:val="36"/>
          <w:lang w:val="es-ES"/>
        </w:rPr>
        <w:br/>
        <w:t>DEL PROCEDIMIENTO</w:t>
      </w:r>
    </w:p>
    <w:p w:rsidR="00000000" w:rsidRDefault="0045761E">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PRINCIPIOS GENERALES</w:t>
      </w:r>
    </w:p>
    <w:p w:rsidR="00000000" w:rsidRDefault="0045761E">
      <w:pPr>
        <w:divId w:val="591931938"/>
        <w:rPr>
          <w:rFonts w:eastAsia="Times New Roman"/>
          <w:sz w:val="30"/>
          <w:szCs w:val="30"/>
          <w:lang w:val="es-ES"/>
        </w:rPr>
      </w:pPr>
      <w:r>
        <w:rPr>
          <w:rFonts w:eastAsia="Times New Roman"/>
          <w:b/>
          <w:bCs/>
          <w:sz w:val="30"/>
          <w:szCs w:val="30"/>
          <w:lang w:val="es-ES"/>
        </w:rPr>
        <w:t xml:space="preserve">Art. 12.- </w:t>
      </w:r>
      <w:r>
        <w:rPr>
          <w:rFonts w:eastAsia="Times New Roman"/>
          <w:sz w:val="30"/>
          <w:szCs w:val="30"/>
          <w:lang w:val="es-ES"/>
        </w:rPr>
        <w:t>El Defensor del Pueblo al realizar sus investigaciones organizará el procedimiento basándose en los principios de gratuidad, informalidad e inmediatez.</w:t>
      </w:r>
    </w:p>
    <w:p w:rsidR="00000000" w:rsidRDefault="0045761E">
      <w:pPr>
        <w:divId w:val="1804497376"/>
        <w:rPr>
          <w:rFonts w:eastAsia="Times New Roman"/>
          <w:sz w:val="30"/>
          <w:szCs w:val="30"/>
          <w:lang w:val="es-ES"/>
        </w:rPr>
      </w:pPr>
      <w:r>
        <w:rPr>
          <w:rFonts w:eastAsia="Times New Roman"/>
          <w:b/>
          <w:bCs/>
          <w:sz w:val="30"/>
          <w:szCs w:val="30"/>
          <w:lang w:val="es-ES"/>
        </w:rPr>
        <w:t>Art.</w:t>
      </w:r>
      <w:r>
        <w:rPr>
          <w:rFonts w:eastAsia="Times New Roman"/>
          <w:b/>
          <w:bCs/>
          <w:sz w:val="30"/>
          <w:szCs w:val="30"/>
          <w:lang w:val="es-ES"/>
        </w:rPr>
        <w:t xml:space="preserve"> 13.- </w:t>
      </w:r>
      <w:r>
        <w:rPr>
          <w:rFonts w:eastAsia="Times New Roman"/>
          <w:sz w:val="30"/>
          <w:szCs w:val="30"/>
          <w:lang w:val="es-ES"/>
        </w:rPr>
        <w:t>El Defensor del Pueblo podrá iniciar y proseguir de oficio, o a petición de parte, las investigaciones necesarias para el esclarecimiento de los hechos a los que se refieren los literales a) y b), del artículo 2 de esta Ley, ya provengan del sector p</w:t>
      </w:r>
      <w:r>
        <w:rPr>
          <w:rFonts w:eastAsia="Times New Roman"/>
          <w:sz w:val="30"/>
          <w:szCs w:val="30"/>
          <w:lang w:val="es-ES"/>
        </w:rPr>
        <w:t>úblico o de los particulares.</w:t>
      </w:r>
      <w:r>
        <w:rPr>
          <w:rFonts w:eastAsia="Times New Roman"/>
          <w:sz w:val="30"/>
          <w:szCs w:val="30"/>
          <w:lang w:val="es-ES"/>
        </w:rPr>
        <w:br/>
      </w:r>
      <w:r>
        <w:rPr>
          <w:rFonts w:eastAsia="Times New Roman"/>
          <w:sz w:val="30"/>
          <w:szCs w:val="30"/>
          <w:lang w:val="es-ES"/>
        </w:rPr>
        <w:br/>
        <w:t xml:space="preserve">Sus facultades de investigación se extienden a las actividades de </w:t>
      </w:r>
      <w:r>
        <w:rPr>
          <w:rFonts w:eastAsia="Times New Roman"/>
          <w:sz w:val="30"/>
          <w:szCs w:val="30"/>
          <w:lang w:val="es-ES"/>
        </w:rPr>
        <w:lastRenderedPageBreak/>
        <w:t>cualquier autoridad, funcionario, empleado público o personas naturales o jurídicas relacionadas con los casos que se investiguen.</w:t>
      </w:r>
    </w:p>
    <w:p w:rsidR="00000000" w:rsidRDefault="0045761E">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DEL TRÁMITE</w:t>
      </w:r>
    </w:p>
    <w:p w:rsidR="00000000" w:rsidRDefault="0045761E">
      <w:pPr>
        <w:divId w:val="1077170381"/>
        <w:rPr>
          <w:rFonts w:eastAsia="Times New Roman"/>
          <w:sz w:val="30"/>
          <w:szCs w:val="30"/>
          <w:lang w:val="es-ES"/>
        </w:rPr>
      </w:pPr>
      <w:r>
        <w:rPr>
          <w:rFonts w:eastAsia="Times New Roman"/>
          <w:b/>
          <w:bCs/>
          <w:sz w:val="30"/>
          <w:szCs w:val="30"/>
          <w:lang w:val="es-ES"/>
        </w:rPr>
        <w:t>Art. 14.</w:t>
      </w:r>
      <w:r>
        <w:rPr>
          <w:rFonts w:eastAsia="Times New Roman"/>
          <w:b/>
          <w:bCs/>
          <w:sz w:val="30"/>
          <w:szCs w:val="30"/>
          <w:lang w:val="es-ES"/>
        </w:rPr>
        <w:t>-</w:t>
      </w:r>
      <w:r>
        <w:rPr>
          <w:rFonts w:eastAsia="Times New Roman"/>
          <w:b/>
          <w:bCs/>
          <w:sz w:val="30"/>
          <w:szCs w:val="30"/>
          <w:lang w:val="es-ES"/>
        </w:rPr>
        <w:t xml:space="preserve"> </w:t>
      </w:r>
      <w:r>
        <w:rPr>
          <w:rFonts w:eastAsia="Times New Roman"/>
          <w:sz w:val="30"/>
          <w:szCs w:val="30"/>
          <w:lang w:val="es-ES"/>
        </w:rPr>
        <w:t>Cualquier persona, en forma individual o colectiva, que invoque un interés legítimo, sin restricción alguna podrá dirigirse al Defensor del Pueblo para presentar una queja, incluyéndose a los incapaces relativos, y por los incapaces absolutos pod</w:t>
      </w:r>
      <w:r>
        <w:rPr>
          <w:rFonts w:eastAsia="Times New Roman"/>
          <w:sz w:val="30"/>
          <w:szCs w:val="30"/>
          <w:lang w:val="es-ES"/>
        </w:rPr>
        <w:t>rán hacerlos sus representantes.</w:t>
      </w:r>
    </w:p>
    <w:p w:rsidR="00000000" w:rsidRDefault="0045761E">
      <w:pPr>
        <w:divId w:val="1723094577"/>
        <w:rPr>
          <w:rFonts w:eastAsia="Times New Roman"/>
          <w:sz w:val="30"/>
          <w:szCs w:val="30"/>
          <w:lang w:val="es-ES"/>
        </w:rPr>
      </w:pPr>
      <w:r>
        <w:rPr>
          <w:rFonts w:eastAsia="Times New Roman"/>
          <w:b/>
          <w:bCs/>
          <w:sz w:val="30"/>
          <w:szCs w:val="30"/>
          <w:lang w:val="es-ES"/>
        </w:rPr>
        <w:t xml:space="preserve">Art. 15.- </w:t>
      </w:r>
      <w:r>
        <w:rPr>
          <w:rFonts w:eastAsia="Times New Roman"/>
          <w:sz w:val="30"/>
          <w:szCs w:val="30"/>
          <w:lang w:val="es-ES"/>
        </w:rPr>
        <w:t>Las quejas podrán ser formuladas por escrito o verbalmente, contendrán la identificación del peticionario y la relación circunstanciada de los hechos.</w:t>
      </w:r>
      <w:r>
        <w:rPr>
          <w:rFonts w:eastAsia="Times New Roman"/>
          <w:sz w:val="30"/>
          <w:szCs w:val="30"/>
          <w:lang w:val="es-ES"/>
        </w:rPr>
        <w:br/>
      </w:r>
      <w:r>
        <w:rPr>
          <w:rFonts w:eastAsia="Times New Roman"/>
          <w:sz w:val="30"/>
          <w:szCs w:val="30"/>
          <w:lang w:val="es-ES"/>
        </w:rPr>
        <w:br/>
      </w:r>
      <w:r>
        <w:rPr>
          <w:rFonts w:eastAsia="Times New Roman"/>
          <w:sz w:val="30"/>
          <w:szCs w:val="30"/>
          <w:lang w:val="es-ES"/>
        </w:rPr>
        <w:t>Las quejas verbales serán reducidas a escrito y firmadas por quien las formule, de no saber firmar, bastará la impresión de la huella digital, el registro de la cédula de identidad o pasaporte. A falta de la cédula de identidad, valdrá la de un testigo que</w:t>
      </w:r>
      <w:r>
        <w:rPr>
          <w:rFonts w:eastAsia="Times New Roman"/>
          <w:sz w:val="30"/>
          <w:szCs w:val="30"/>
          <w:lang w:val="es-ES"/>
        </w:rPr>
        <w:t xml:space="preserve"> declare conocer al actor.</w:t>
      </w:r>
    </w:p>
    <w:p w:rsidR="00000000" w:rsidRDefault="0045761E">
      <w:pPr>
        <w:divId w:val="1108740940"/>
        <w:rPr>
          <w:rFonts w:eastAsia="Times New Roman"/>
          <w:sz w:val="30"/>
          <w:szCs w:val="30"/>
          <w:lang w:val="es-ES"/>
        </w:rPr>
      </w:pPr>
      <w:r>
        <w:rPr>
          <w:rFonts w:eastAsia="Times New Roman"/>
          <w:b/>
          <w:bCs/>
          <w:sz w:val="30"/>
          <w:szCs w:val="30"/>
          <w:lang w:val="es-ES"/>
        </w:rPr>
        <w:t xml:space="preserve">Art. 16.- </w:t>
      </w:r>
      <w:r>
        <w:rPr>
          <w:rFonts w:eastAsia="Times New Roman"/>
          <w:sz w:val="30"/>
          <w:szCs w:val="30"/>
          <w:lang w:val="es-ES"/>
        </w:rPr>
        <w:t>En los casos de quejas sobre hechos que afecten a la vida, la salud, la integridad física, moral o psicológica de las personas, el Defensor del Pueblo, de encontrarlas fundadas promoverá, sin demora alguna, los recursos</w:t>
      </w:r>
      <w:r>
        <w:rPr>
          <w:rFonts w:eastAsia="Times New Roman"/>
          <w:sz w:val="30"/>
          <w:szCs w:val="30"/>
          <w:lang w:val="es-ES"/>
        </w:rPr>
        <w:t xml:space="preserve"> y acciones que impidan las situaciones de daños y peligros graves, sin que las autoridades competentes requeridas puedan negarse a su conocimiento y resolución.</w:t>
      </w:r>
    </w:p>
    <w:p w:rsidR="00000000" w:rsidRDefault="0045761E">
      <w:pPr>
        <w:divId w:val="1783497420"/>
        <w:rPr>
          <w:rFonts w:eastAsia="Times New Roman"/>
          <w:sz w:val="30"/>
          <w:szCs w:val="30"/>
          <w:lang w:val="es-ES"/>
        </w:rPr>
      </w:pPr>
      <w:r>
        <w:rPr>
          <w:rFonts w:eastAsia="Times New Roman"/>
          <w:b/>
          <w:bCs/>
          <w:sz w:val="30"/>
          <w:szCs w:val="30"/>
          <w:lang w:val="es-ES"/>
        </w:rPr>
        <w:t xml:space="preserve">Art. 17.- </w:t>
      </w:r>
      <w:r>
        <w:rPr>
          <w:rFonts w:eastAsia="Times New Roman"/>
          <w:sz w:val="30"/>
          <w:szCs w:val="30"/>
          <w:lang w:val="es-ES"/>
        </w:rPr>
        <w:t>Recibida la queja, se procederá a su trámite o rechazo que se hará por escrito motiv</w:t>
      </w:r>
      <w:r>
        <w:rPr>
          <w:rFonts w:eastAsia="Times New Roman"/>
          <w:sz w:val="30"/>
          <w:szCs w:val="30"/>
          <w:lang w:val="es-ES"/>
        </w:rPr>
        <w:t>ado, pudiéndose informar al interesado sobre las acciones o recursos que puede ejercitar para hacer valer sus derechos.</w:t>
      </w:r>
      <w:r>
        <w:rPr>
          <w:rFonts w:eastAsia="Times New Roman"/>
          <w:sz w:val="30"/>
          <w:szCs w:val="30"/>
          <w:lang w:val="es-ES"/>
        </w:rPr>
        <w:br/>
      </w:r>
      <w:r>
        <w:rPr>
          <w:rFonts w:eastAsia="Times New Roman"/>
          <w:sz w:val="30"/>
          <w:szCs w:val="30"/>
          <w:lang w:val="es-ES"/>
        </w:rPr>
        <w:br/>
        <w:t>Deben rechazarse las quejas anónimas las que revelan mala fe, carencia de pretensión o fundamentos, y aquellas cuyo trámite irroguen pe</w:t>
      </w:r>
      <w:r>
        <w:rPr>
          <w:rFonts w:eastAsia="Times New Roman"/>
          <w:sz w:val="30"/>
          <w:szCs w:val="30"/>
          <w:lang w:val="es-ES"/>
        </w:rPr>
        <w:t>rjuicio a derechos de terceros.</w:t>
      </w:r>
      <w:r>
        <w:rPr>
          <w:rFonts w:eastAsia="Times New Roman"/>
          <w:sz w:val="30"/>
          <w:szCs w:val="30"/>
          <w:lang w:val="es-ES"/>
        </w:rPr>
        <w:br/>
      </w:r>
      <w:r>
        <w:rPr>
          <w:rFonts w:eastAsia="Times New Roman"/>
          <w:sz w:val="30"/>
          <w:szCs w:val="30"/>
          <w:lang w:val="es-ES"/>
        </w:rPr>
        <w:br/>
        <w:t>En todo caso, la negativa de una queja no impide la investigación sobre los temas que plantea.</w:t>
      </w:r>
    </w:p>
    <w:p w:rsidR="00000000" w:rsidRDefault="0045761E">
      <w:pPr>
        <w:divId w:val="1178351899"/>
        <w:rPr>
          <w:rFonts w:eastAsia="Times New Roman"/>
          <w:sz w:val="30"/>
          <w:szCs w:val="30"/>
          <w:lang w:val="es-ES"/>
        </w:rPr>
      </w:pPr>
      <w:r>
        <w:rPr>
          <w:rFonts w:eastAsia="Times New Roman"/>
          <w:b/>
          <w:bCs/>
          <w:sz w:val="30"/>
          <w:szCs w:val="30"/>
          <w:lang w:val="es-ES"/>
        </w:rPr>
        <w:t xml:space="preserve">Art. 18.- </w:t>
      </w:r>
      <w:r>
        <w:rPr>
          <w:rFonts w:eastAsia="Times New Roman"/>
          <w:sz w:val="30"/>
          <w:szCs w:val="30"/>
          <w:lang w:val="es-ES"/>
        </w:rPr>
        <w:t>Cuando la cuestión o asunto objeto de la queja estuviera sometido a resolución judicial o administrativa, la Defensorí</w:t>
      </w:r>
      <w:r>
        <w:rPr>
          <w:rFonts w:eastAsia="Times New Roman"/>
          <w:sz w:val="30"/>
          <w:szCs w:val="30"/>
          <w:lang w:val="es-ES"/>
        </w:rPr>
        <w:t>a del Pueblo se limitará a vigilar el respeto al debido proceso, pudiendo para este efecto interponer las acciones y recursos contemplados en la Constitución Política de la República y la Ley.</w:t>
      </w:r>
      <w:r>
        <w:rPr>
          <w:rFonts w:eastAsia="Times New Roman"/>
          <w:sz w:val="30"/>
          <w:szCs w:val="30"/>
          <w:lang w:val="es-ES"/>
        </w:rPr>
        <w:br/>
      </w:r>
      <w:r>
        <w:rPr>
          <w:rFonts w:eastAsia="Times New Roman"/>
          <w:sz w:val="30"/>
          <w:szCs w:val="30"/>
          <w:lang w:val="es-ES"/>
        </w:rPr>
        <w:lastRenderedPageBreak/>
        <w:br/>
      </w:r>
      <w:r>
        <w:rPr>
          <w:rFonts w:eastAsia="Times New Roman"/>
          <w:b/>
          <w:bCs/>
          <w:sz w:val="30"/>
          <w:szCs w:val="30"/>
          <w:u w:val="single"/>
          <w:lang w:val="es-ES"/>
        </w:rPr>
        <w:t>Nota:</w:t>
      </w:r>
      <w:r>
        <w:rPr>
          <w:rFonts w:eastAsia="Times New Roman"/>
          <w:b/>
          <w:bCs/>
          <w:sz w:val="30"/>
          <w:szCs w:val="30"/>
          <w:u w:val="single"/>
          <w:lang w:val="es-ES"/>
        </w:rPr>
        <w:br/>
      </w:r>
      <w:r>
        <w:rPr>
          <w:rFonts w:eastAsia="Times New Roman"/>
          <w:i/>
          <w:iCs/>
          <w:sz w:val="30"/>
          <w:szCs w:val="30"/>
          <w:lang w:val="es-ES"/>
        </w:rPr>
        <w:t>Por Disposición Derogatoria de la Constitución de la Rep</w:t>
      </w:r>
      <w:r>
        <w:rPr>
          <w:rFonts w:eastAsia="Times New Roman"/>
          <w:i/>
          <w:iCs/>
          <w:sz w:val="30"/>
          <w:szCs w:val="30"/>
          <w:lang w:val="es-ES"/>
        </w:rPr>
        <w:t>ública del Ecuador (R.O. 449, 20-X-2008), se abroga la Constitución Política de la República del Ecuador (R.O. 1, 11-VIII-1998), y toda norma que se oponga al nuevo marco constitucional.</w:t>
      </w:r>
    </w:p>
    <w:p w:rsidR="00000000" w:rsidRDefault="0045761E">
      <w:pPr>
        <w:divId w:val="1631979386"/>
        <w:rPr>
          <w:rFonts w:eastAsia="Times New Roman"/>
          <w:sz w:val="30"/>
          <w:szCs w:val="30"/>
          <w:lang w:val="es-ES"/>
        </w:rPr>
      </w:pPr>
      <w:r>
        <w:rPr>
          <w:rFonts w:eastAsia="Times New Roman"/>
          <w:b/>
          <w:bCs/>
          <w:sz w:val="30"/>
          <w:szCs w:val="30"/>
          <w:lang w:val="es-ES"/>
        </w:rPr>
        <w:t xml:space="preserve">Art. 19.- </w:t>
      </w:r>
      <w:r>
        <w:rPr>
          <w:rFonts w:eastAsia="Times New Roman"/>
          <w:sz w:val="30"/>
          <w:szCs w:val="30"/>
          <w:lang w:val="es-ES"/>
        </w:rPr>
        <w:t>Admitida la queja se procederá a su inmediata investigación</w:t>
      </w:r>
      <w:r>
        <w:rPr>
          <w:rFonts w:eastAsia="Times New Roman"/>
          <w:sz w:val="30"/>
          <w:szCs w:val="30"/>
          <w:lang w:val="es-ES"/>
        </w:rPr>
        <w:t xml:space="preserve"> sumaria e informal, admitiéndose cualquier medio de prueba conforme a derecho.</w:t>
      </w:r>
      <w:r>
        <w:rPr>
          <w:rFonts w:eastAsia="Times New Roman"/>
          <w:sz w:val="30"/>
          <w:szCs w:val="30"/>
          <w:lang w:val="es-ES"/>
        </w:rPr>
        <w:br/>
      </w:r>
      <w:r>
        <w:rPr>
          <w:rFonts w:eastAsia="Times New Roman"/>
          <w:sz w:val="30"/>
          <w:szCs w:val="30"/>
          <w:lang w:val="es-ES"/>
        </w:rPr>
        <w:br/>
        <w:t>Se notificará a los presuntos responsables de las acciones u omisiones materia de la queja, para que contesten en un plazo de ocho días, prorrogables por ocho días más, a peti</w:t>
      </w:r>
      <w:r>
        <w:rPr>
          <w:rFonts w:eastAsia="Times New Roman"/>
          <w:sz w:val="30"/>
          <w:szCs w:val="30"/>
          <w:lang w:val="es-ES"/>
        </w:rPr>
        <w:t>ción fundamentada de parte y sin perjuicio de lo contemplado en el artículo 16 de esta Ley, la falta de contestación será tomada como aceptación de la queja, debiéndose en todo caso investigar sobre sus fundamentos.</w:t>
      </w:r>
    </w:p>
    <w:p w:rsidR="00000000" w:rsidRDefault="0045761E">
      <w:pPr>
        <w:divId w:val="1777017974"/>
        <w:rPr>
          <w:rFonts w:eastAsia="Times New Roman"/>
          <w:sz w:val="30"/>
          <w:szCs w:val="30"/>
          <w:lang w:val="es-ES"/>
        </w:rPr>
      </w:pPr>
      <w:r>
        <w:rPr>
          <w:rFonts w:eastAsia="Times New Roman"/>
          <w:b/>
          <w:bCs/>
          <w:sz w:val="30"/>
          <w:szCs w:val="30"/>
          <w:lang w:val="es-ES"/>
        </w:rPr>
        <w:t xml:space="preserve">Art. 20.- </w:t>
      </w:r>
      <w:r>
        <w:rPr>
          <w:rFonts w:eastAsia="Times New Roman"/>
          <w:sz w:val="30"/>
          <w:szCs w:val="30"/>
          <w:lang w:val="es-ES"/>
        </w:rPr>
        <w:t>Comprobados los fundamentos de</w:t>
      </w:r>
      <w:r>
        <w:rPr>
          <w:rFonts w:eastAsia="Times New Roman"/>
          <w:sz w:val="30"/>
          <w:szCs w:val="30"/>
          <w:lang w:val="es-ES"/>
        </w:rPr>
        <w:t xml:space="preserve"> la queja se procederá conforme lo dispuesto en la última parte del artículo 16.</w:t>
      </w:r>
    </w:p>
    <w:p w:rsidR="00000000" w:rsidRDefault="0045761E">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 LA OBLIGACIÓN DE COLABORACIÓN</w:t>
      </w:r>
    </w:p>
    <w:p w:rsidR="00000000" w:rsidRDefault="0045761E">
      <w:pPr>
        <w:divId w:val="1396203436"/>
        <w:rPr>
          <w:rFonts w:eastAsia="Times New Roman"/>
          <w:sz w:val="30"/>
          <w:szCs w:val="30"/>
          <w:lang w:val="es-ES"/>
        </w:rPr>
      </w:pPr>
      <w:r>
        <w:rPr>
          <w:rFonts w:eastAsia="Times New Roman"/>
          <w:b/>
          <w:bCs/>
          <w:sz w:val="30"/>
          <w:szCs w:val="30"/>
          <w:lang w:val="es-ES"/>
        </w:rPr>
        <w:t xml:space="preserve">Art. 21.- </w:t>
      </w:r>
      <w:r>
        <w:rPr>
          <w:rFonts w:eastAsia="Times New Roman"/>
          <w:sz w:val="30"/>
          <w:szCs w:val="30"/>
          <w:lang w:val="es-ES"/>
        </w:rPr>
        <w:t>Toda autoridad pública, así como los particulares relacionados con las investigaciones que tramite el Defensor del Pue</w:t>
      </w:r>
      <w:r>
        <w:rPr>
          <w:rFonts w:eastAsia="Times New Roman"/>
          <w:sz w:val="30"/>
          <w:szCs w:val="30"/>
          <w:lang w:val="es-ES"/>
        </w:rPr>
        <w:t>blo, deben suministrar la información que les sea requerida, sin que proceda la invocación de reserva alguna.</w:t>
      </w:r>
      <w:r>
        <w:rPr>
          <w:rFonts w:eastAsia="Times New Roman"/>
          <w:sz w:val="30"/>
          <w:szCs w:val="30"/>
          <w:lang w:val="es-ES"/>
        </w:rPr>
        <w:br/>
      </w:r>
      <w:r>
        <w:rPr>
          <w:rFonts w:eastAsia="Times New Roman"/>
          <w:sz w:val="30"/>
          <w:szCs w:val="30"/>
          <w:lang w:val="es-ES"/>
        </w:rPr>
        <w:br/>
        <w:t>Si para el esclarecimiento de un hecho, el Defensor del Pueblo considera necesario requerir información que por la Ley debe mantenerse en reserva</w:t>
      </w:r>
      <w:r>
        <w:rPr>
          <w:rFonts w:eastAsia="Times New Roman"/>
          <w:sz w:val="30"/>
          <w:szCs w:val="30"/>
          <w:lang w:val="es-ES"/>
        </w:rPr>
        <w:t xml:space="preserve">, tal información le será proporcionada por quien la posea, quedando el Defensor del Pueblo obligado a mantener la misma reserva. No podrá por consiguiente difundirla o hacerla pública sirviéndole solamente como elemento para ilustrar su criterio respecto </w:t>
      </w:r>
      <w:r>
        <w:rPr>
          <w:rFonts w:eastAsia="Times New Roman"/>
          <w:sz w:val="30"/>
          <w:szCs w:val="30"/>
          <w:lang w:val="es-ES"/>
        </w:rPr>
        <w:t>de los hechos que investigan.</w:t>
      </w:r>
      <w:r>
        <w:rPr>
          <w:rFonts w:eastAsia="Times New Roman"/>
          <w:sz w:val="30"/>
          <w:szCs w:val="30"/>
          <w:lang w:val="es-ES"/>
        </w:rPr>
        <w:br/>
      </w:r>
      <w:r>
        <w:rPr>
          <w:rFonts w:eastAsia="Times New Roman"/>
          <w:sz w:val="30"/>
          <w:szCs w:val="30"/>
          <w:lang w:val="es-ES"/>
        </w:rPr>
        <w:br/>
        <w:t>La información que el Defensor del Pueblo requiera le será suministrada por el funcionario respectivo en un plazo máximo de ocho días y sólo podrá extenderse si se justifica ante el Defensor fehacientemente la necesidad de un</w:t>
      </w:r>
      <w:r>
        <w:rPr>
          <w:rFonts w:eastAsia="Times New Roman"/>
          <w:sz w:val="30"/>
          <w:szCs w:val="30"/>
          <w:lang w:val="es-ES"/>
        </w:rPr>
        <w:t xml:space="preserve"> plazo mayor.</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Se entenderá como desacato por parte de las personas y funcionarios obligados, a colaborar con el Defensor, según este artículo, cuando no lo hicieren en forma oportuna u obstaculizaren las investigaciones o el acceso a la información.</w:t>
      </w:r>
    </w:p>
    <w:p w:rsidR="00000000" w:rsidRDefault="0045761E">
      <w:pPr>
        <w:divId w:val="1549611950"/>
        <w:rPr>
          <w:rFonts w:eastAsia="Times New Roman"/>
          <w:sz w:val="30"/>
          <w:szCs w:val="30"/>
          <w:lang w:val="es-ES"/>
        </w:rPr>
      </w:pPr>
      <w:r>
        <w:rPr>
          <w:rFonts w:eastAsia="Times New Roman"/>
          <w:b/>
          <w:bCs/>
          <w:sz w:val="30"/>
          <w:szCs w:val="30"/>
          <w:lang w:val="es-ES"/>
        </w:rPr>
        <w:t xml:space="preserve">Art. </w:t>
      </w:r>
      <w:r>
        <w:rPr>
          <w:rFonts w:eastAsia="Times New Roman"/>
          <w:b/>
          <w:bCs/>
          <w:sz w:val="30"/>
          <w:szCs w:val="30"/>
          <w:lang w:val="es-ES"/>
        </w:rPr>
        <w:t xml:space="preserve">22.- </w:t>
      </w:r>
      <w:r>
        <w:rPr>
          <w:rFonts w:eastAsia="Times New Roman"/>
          <w:sz w:val="30"/>
          <w:szCs w:val="30"/>
          <w:lang w:val="es-ES"/>
        </w:rPr>
        <w:t>Las autoridades públicas están obligadas, en el ejercicio de sus funciones o actividades a auxiliar de manera activa e inmediata, con ayuda técnica, logística, funcional o de personal a la Defensoría del Pueblo, también lo harán los particulares relac</w:t>
      </w:r>
      <w:r>
        <w:rPr>
          <w:rFonts w:eastAsia="Times New Roman"/>
          <w:sz w:val="30"/>
          <w:szCs w:val="30"/>
          <w:lang w:val="es-ES"/>
        </w:rPr>
        <w:t>ionados con los asuntos que se investiguen.</w:t>
      </w:r>
      <w:r>
        <w:rPr>
          <w:rFonts w:eastAsia="Times New Roman"/>
          <w:sz w:val="30"/>
          <w:szCs w:val="30"/>
          <w:lang w:val="es-ES"/>
        </w:rPr>
        <w:br/>
      </w:r>
      <w:r>
        <w:rPr>
          <w:rFonts w:eastAsia="Times New Roman"/>
          <w:sz w:val="30"/>
          <w:szCs w:val="30"/>
          <w:lang w:val="es-ES"/>
        </w:rPr>
        <w:br/>
        <w:t>En las visitas a entidades o personas, el Defensor tendrá pleno acceso a la información, recibirá asistencia técnica para la compresión de asuntos especializados, podrá solicitar las explicaciones que sean del c</w:t>
      </w:r>
      <w:r>
        <w:rPr>
          <w:rFonts w:eastAsia="Times New Roman"/>
          <w:sz w:val="30"/>
          <w:szCs w:val="30"/>
          <w:lang w:val="es-ES"/>
        </w:rPr>
        <w:t>aso y citar a cualquier persona para que rinda testimonio sobre los hechos objeto de la indagación.</w:t>
      </w:r>
    </w:p>
    <w:p w:rsidR="00000000" w:rsidRDefault="0045761E">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 LAS SANCIONES</w:t>
      </w:r>
    </w:p>
    <w:p w:rsidR="00000000" w:rsidRDefault="0045761E">
      <w:pPr>
        <w:divId w:val="673263840"/>
        <w:rPr>
          <w:rFonts w:eastAsia="Times New Roman"/>
          <w:sz w:val="30"/>
          <w:szCs w:val="30"/>
          <w:lang w:val="es-ES"/>
        </w:rPr>
      </w:pPr>
      <w:r>
        <w:rPr>
          <w:rFonts w:eastAsia="Times New Roman"/>
          <w:b/>
          <w:bCs/>
          <w:sz w:val="30"/>
          <w:szCs w:val="30"/>
          <w:lang w:val="es-ES"/>
        </w:rPr>
        <w:t xml:space="preserve">Art. 23.- </w:t>
      </w:r>
      <w:r>
        <w:rPr>
          <w:rFonts w:eastAsia="Times New Roman"/>
          <w:sz w:val="30"/>
          <w:szCs w:val="30"/>
          <w:lang w:val="es-ES"/>
        </w:rPr>
        <w:t>La negativa a dar información y la falta de colaboración por parte de los funcionarios y empleados del sector públic</w:t>
      </w:r>
      <w:r>
        <w:rPr>
          <w:rFonts w:eastAsia="Times New Roman"/>
          <w:sz w:val="30"/>
          <w:szCs w:val="30"/>
          <w:lang w:val="es-ES"/>
        </w:rPr>
        <w:t>o serán sancionados, a petición del Defensor del Pueblo, previo sumario administrativo, por la máxima autoridad, con multa de uno a diez salarios mínimos vitales y hasta la destitución del cargo, según la gravedad del caso.</w:t>
      </w:r>
      <w:r>
        <w:rPr>
          <w:rFonts w:eastAsia="Times New Roman"/>
          <w:sz w:val="30"/>
          <w:szCs w:val="30"/>
          <w:lang w:val="es-ES"/>
        </w:rPr>
        <w:br/>
      </w:r>
      <w:r>
        <w:rPr>
          <w:rFonts w:eastAsia="Times New Roman"/>
          <w:sz w:val="30"/>
          <w:szCs w:val="30"/>
          <w:lang w:val="es-ES"/>
        </w:rPr>
        <w:br/>
        <w:t>La resolución de la máxima auto</w:t>
      </w:r>
      <w:r>
        <w:rPr>
          <w:rFonts w:eastAsia="Times New Roman"/>
          <w:sz w:val="30"/>
          <w:szCs w:val="30"/>
          <w:lang w:val="es-ES"/>
        </w:rPr>
        <w:t>ridad podrá ser impugnada por el Defensor del Pueblo, o el afectado, ante los tribunales distritales de lo Contencioso Administrativo.</w:t>
      </w:r>
      <w:r>
        <w:rPr>
          <w:rFonts w:eastAsia="Times New Roman"/>
          <w:sz w:val="30"/>
          <w:szCs w:val="30"/>
          <w:lang w:val="es-ES"/>
        </w:rPr>
        <w:br/>
      </w:r>
      <w:r>
        <w:rPr>
          <w:rFonts w:eastAsia="Times New Roman"/>
          <w:sz w:val="30"/>
          <w:szCs w:val="30"/>
          <w:lang w:val="es-ES"/>
        </w:rPr>
        <w:br/>
        <w:t>La imposición de estas sanciones no excluyen la acción penal por delitos contra las libertades constitucionales y la civ</w:t>
      </w:r>
      <w:r>
        <w:rPr>
          <w:rFonts w:eastAsia="Times New Roman"/>
          <w:sz w:val="30"/>
          <w:szCs w:val="30"/>
          <w:lang w:val="es-ES"/>
        </w:rPr>
        <w:t>il por daños y perjuicios, así como la continuación de dichas causas de habérselas iniciado.</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El Código Orgánico de la Función Judicial (R.O. 544-S, 9-III-2009) modificó la estructura orgánica de la Función Judicial, transfiriendo las competencias de</w:t>
      </w:r>
      <w:r>
        <w:rPr>
          <w:rFonts w:eastAsia="Times New Roman"/>
          <w:i/>
          <w:iCs/>
          <w:sz w:val="30"/>
          <w:szCs w:val="30"/>
          <w:lang w:val="es-ES"/>
        </w:rPr>
        <w:t xml:space="preserve"> los tribunales distritales de lo contencioso administrativo a las salas de lo contencioso administrativo de las </w:t>
      </w:r>
      <w:r>
        <w:rPr>
          <w:rFonts w:eastAsia="Times New Roman"/>
          <w:i/>
          <w:iCs/>
          <w:sz w:val="30"/>
          <w:szCs w:val="30"/>
          <w:lang w:val="es-ES"/>
        </w:rPr>
        <w:lastRenderedPageBreak/>
        <w:t>Cortes Provinciales, sin embargo, éstos seguirán en funciones hasta que el Consejo de la Judicatura integre las salas.</w:t>
      </w:r>
    </w:p>
    <w:p w:rsidR="00000000" w:rsidRDefault="0045761E">
      <w:pPr>
        <w:divId w:val="416903929"/>
        <w:rPr>
          <w:rFonts w:eastAsia="Times New Roman"/>
          <w:sz w:val="30"/>
          <w:szCs w:val="30"/>
          <w:lang w:val="es-ES"/>
        </w:rPr>
      </w:pPr>
      <w:r>
        <w:rPr>
          <w:rFonts w:eastAsia="Times New Roman"/>
          <w:b/>
          <w:bCs/>
          <w:sz w:val="30"/>
          <w:szCs w:val="30"/>
          <w:lang w:val="es-ES"/>
        </w:rPr>
        <w:t xml:space="preserve">Art. 24.- </w:t>
      </w:r>
      <w:r>
        <w:rPr>
          <w:rFonts w:eastAsia="Times New Roman"/>
          <w:sz w:val="30"/>
          <w:szCs w:val="30"/>
          <w:lang w:val="es-ES"/>
        </w:rPr>
        <w:t xml:space="preserve">La negativa a </w:t>
      </w:r>
      <w:r>
        <w:rPr>
          <w:rFonts w:eastAsia="Times New Roman"/>
          <w:sz w:val="30"/>
          <w:szCs w:val="30"/>
          <w:lang w:val="es-ES"/>
        </w:rPr>
        <w:t>dar información y la falta de colaboración de los particulares implicados en las quejas que se investigan, dará lugar a las consiguientes responsabilidades civiles y penales, mediante las correspondientes acciones que podrá interponer el Defensor del Puebl</w:t>
      </w:r>
      <w:r>
        <w:rPr>
          <w:rFonts w:eastAsia="Times New Roman"/>
          <w:sz w:val="30"/>
          <w:szCs w:val="30"/>
          <w:lang w:val="es-ES"/>
        </w:rPr>
        <w:t>o.</w:t>
      </w:r>
    </w:p>
    <w:p w:rsidR="00000000" w:rsidRDefault="0045761E">
      <w:pPr>
        <w:divId w:val="1373920757"/>
        <w:rPr>
          <w:rFonts w:eastAsia="Times New Roman"/>
          <w:sz w:val="30"/>
          <w:szCs w:val="30"/>
          <w:lang w:val="es-ES"/>
        </w:rPr>
      </w:pPr>
      <w:r>
        <w:rPr>
          <w:rFonts w:eastAsia="Times New Roman"/>
          <w:b/>
          <w:bCs/>
          <w:sz w:val="30"/>
          <w:szCs w:val="30"/>
          <w:lang w:val="es-ES"/>
        </w:rPr>
        <w:t>Art. … (1).-</w:t>
      </w:r>
      <w:r>
        <w:rPr>
          <w:rFonts w:eastAsia="Times New Roman"/>
          <w:sz w:val="30"/>
          <w:szCs w:val="30"/>
          <w:lang w:val="es-ES"/>
        </w:rPr>
        <w:t xml:space="preserve"> (Agregado por la Disposición Reformatoria 1 de la Ley s/n, R.O. 796-S, 25-IX-2012).- El Defensor del Pueblo tiene la atribución de ordenar medidas de protección para evitar o cesar la vulneración de derechos Constitucionales de personas y g</w:t>
      </w:r>
      <w:r>
        <w:rPr>
          <w:rFonts w:eastAsia="Times New Roman"/>
          <w:sz w:val="30"/>
          <w:szCs w:val="30"/>
          <w:lang w:val="es-ES"/>
        </w:rPr>
        <w:t>rupos de atención prioritaria y sancionar su incumplimiento con multas de entre uno (1) a quince (15) salarios básicos unificados del trabajador privado en general y/o clausura de hasta treinta (30) días del local en los casos que esta última sanción no re</w:t>
      </w:r>
      <w:r>
        <w:rPr>
          <w:rFonts w:eastAsia="Times New Roman"/>
          <w:sz w:val="30"/>
          <w:szCs w:val="30"/>
          <w:lang w:val="es-ES"/>
        </w:rPr>
        <w:t>presente suspensión insustituible de servicios básicos para otras personas o grupos de interés prioritario.</w:t>
      </w:r>
      <w:r>
        <w:rPr>
          <w:rFonts w:eastAsia="Times New Roman"/>
          <w:sz w:val="30"/>
          <w:szCs w:val="30"/>
          <w:lang w:val="es-ES"/>
        </w:rPr>
        <w:br/>
      </w:r>
      <w:r>
        <w:rPr>
          <w:rFonts w:eastAsia="Times New Roman"/>
          <w:sz w:val="30"/>
          <w:szCs w:val="30"/>
          <w:lang w:val="es-ES"/>
        </w:rPr>
        <w:br/>
        <w:t>La aplicación de estas sanciones se aplicaran tanto en el sector público como en el privado y no requerirán más que la resolución motivada del Defe</w:t>
      </w:r>
      <w:r>
        <w:rPr>
          <w:rFonts w:eastAsia="Times New Roman"/>
          <w:sz w:val="30"/>
          <w:szCs w:val="30"/>
          <w:lang w:val="es-ES"/>
        </w:rPr>
        <w:t>nsor en donde se haga mención expresa del incumplimiento de las medidas de protección dictadas. Para su ejecución se podrá requerir del auxilio de la fuerza pública y de acción coactiva.</w:t>
      </w:r>
    </w:p>
    <w:p w:rsidR="00000000" w:rsidRDefault="0045761E">
      <w:pPr>
        <w:divId w:val="580484938"/>
        <w:rPr>
          <w:rFonts w:eastAsia="Times New Roman"/>
          <w:sz w:val="30"/>
          <w:szCs w:val="30"/>
          <w:lang w:val="es-ES"/>
        </w:rPr>
      </w:pPr>
      <w:r>
        <w:rPr>
          <w:rFonts w:eastAsia="Times New Roman"/>
          <w:b/>
          <w:bCs/>
          <w:sz w:val="30"/>
          <w:szCs w:val="30"/>
          <w:lang w:val="es-ES"/>
        </w:rPr>
        <w:t>Art. … (2).-</w:t>
      </w:r>
      <w:r>
        <w:rPr>
          <w:rFonts w:eastAsia="Times New Roman"/>
          <w:sz w:val="30"/>
          <w:szCs w:val="30"/>
          <w:lang w:val="es-ES"/>
        </w:rPr>
        <w:t xml:space="preserve"> (Agregado por la Disposición Reformatoria 1 de la Ley s/</w:t>
      </w:r>
      <w:r>
        <w:rPr>
          <w:rFonts w:eastAsia="Times New Roman"/>
          <w:sz w:val="30"/>
          <w:szCs w:val="30"/>
          <w:lang w:val="es-ES"/>
        </w:rPr>
        <w:t>n, R.O. 796-S, 25-IX-2012).- Las medidas de protección a que hace referencia el artículo anterior serán las siguientes:</w:t>
      </w:r>
      <w:r>
        <w:rPr>
          <w:rFonts w:eastAsia="Times New Roman"/>
          <w:sz w:val="30"/>
          <w:szCs w:val="30"/>
          <w:lang w:val="es-ES"/>
        </w:rPr>
        <w:br/>
      </w:r>
      <w:r>
        <w:rPr>
          <w:rFonts w:eastAsia="Times New Roman"/>
          <w:sz w:val="30"/>
          <w:szCs w:val="30"/>
          <w:lang w:val="es-ES"/>
        </w:rPr>
        <w:br/>
        <w:t>1. Las acciones de carácter educativo, terapéutico, sicológico o material de apoyo al núcleo familiar, para preservar, fortalecer o res</w:t>
      </w:r>
      <w:r>
        <w:rPr>
          <w:rFonts w:eastAsia="Times New Roman"/>
          <w:sz w:val="30"/>
          <w:szCs w:val="30"/>
          <w:lang w:val="es-ES"/>
        </w:rPr>
        <w:t>tablecer sus vínculos en beneficio del interés de la persona afectada.</w:t>
      </w:r>
      <w:r>
        <w:rPr>
          <w:rFonts w:eastAsia="Times New Roman"/>
          <w:sz w:val="30"/>
          <w:szCs w:val="30"/>
          <w:lang w:val="es-ES"/>
        </w:rPr>
        <w:br/>
      </w:r>
      <w:r>
        <w:rPr>
          <w:rFonts w:eastAsia="Times New Roman"/>
          <w:sz w:val="30"/>
          <w:szCs w:val="30"/>
          <w:lang w:val="es-ES"/>
        </w:rPr>
        <w:br/>
        <w:t>2. La orden de cuidado de la persona afectada;</w:t>
      </w:r>
      <w:r>
        <w:rPr>
          <w:rFonts w:eastAsia="Times New Roman"/>
          <w:sz w:val="30"/>
          <w:szCs w:val="30"/>
          <w:lang w:val="es-ES"/>
        </w:rPr>
        <w:br/>
      </w:r>
      <w:r>
        <w:rPr>
          <w:rFonts w:eastAsia="Times New Roman"/>
          <w:sz w:val="30"/>
          <w:szCs w:val="30"/>
          <w:lang w:val="es-ES"/>
        </w:rPr>
        <w:br/>
        <w:t>3. La reinserción familiar o retorno de la persona afectada a su familia biológica;</w:t>
      </w:r>
      <w:r>
        <w:rPr>
          <w:rFonts w:eastAsia="Times New Roman"/>
          <w:sz w:val="30"/>
          <w:szCs w:val="30"/>
          <w:lang w:val="es-ES"/>
        </w:rPr>
        <w:br/>
      </w:r>
      <w:r>
        <w:rPr>
          <w:rFonts w:eastAsia="Times New Roman"/>
          <w:sz w:val="30"/>
          <w:szCs w:val="30"/>
          <w:lang w:val="es-ES"/>
        </w:rPr>
        <w:br/>
        <w:t>4. La orden de inserción de la persona comprometida</w:t>
      </w:r>
      <w:r>
        <w:rPr>
          <w:rFonts w:eastAsia="Times New Roman"/>
          <w:sz w:val="30"/>
          <w:szCs w:val="30"/>
          <w:lang w:val="es-ES"/>
        </w:rPr>
        <w:t xml:space="preserve"> en la amenaza o violación del derecho, en alguno de los programas de protección que contemple el Sistema y que, a juicio de la autoridad competente, sea el </w:t>
      </w:r>
      <w:r>
        <w:rPr>
          <w:rFonts w:eastAsia="Times New Roman"/>
          <w:sz w:val="30"/>
          <w:szCs w:val="30"/>
          <w:lang w:val="es-ES"/>
        </w:rPr>
        <w:lastRenderedPageBreak/>
        <w:t>más adecuado según el tipo de acto violatorio;</w:t>
      </w:r>
      <w:r>
        <w:rPr>
          <w:rFonts w:eastAsia="Times New Roman"/>
          <w:sz w:val="30"/>
          <w:szCs w:val="30"/>
          <w:lang w:val="es-ES"/>
        </w:rPr>
        <w:br/>
      </w:r>
      <w:r>
        <w:rPr>
          <w:rFonts w:eastAsia="Times New Roman"/>
          <w:sz w:val="30"/>
          <w:szCs w:val="30"/>
          <w:lang w:val="es-ES"/>
        </w:rPr>
        <w:br/>
        <w:t>5. El alejamiento temporal de la persona que ha ame</w:t>
      </w:r>
      <w:r>
        <w:rPr>
          <w:rFonts w:eastAsia="Times New Roman"/>
          <w:sz w:val="30"/>
          <w:szCs w:val="30"/>
          <w:lang w:val="es-ES"/>
        </w:rPr>
        <w:t>nazado o violado un derecho o garantía, del lugar en que convive con la persona con discapacidad;</w:t>
      </w:r>
      <w:r>
        <w:rPr>
          <w:rFonts w:eastAsia="Times New Roman"/>
          <w:sz w:val="30"/>
          <w:szCs w:val="30"/>
          <w:lang w:val="es-ES"/>
        </w:rPr>
        <w:br/>
      </w:r>
      <w:r>
        <w:rPr>
          <w:rFonts w:eastAsia="Times New Roman"/>
          <w:sz w:val="30"/>
          <w:szCs w:val="30"/>
          <w:lang w:val="es-ES"/>
        </w:rPr>
        <w:br/>
        <w:t>6. La custodia de emergencia de la persona con discapacidad, en un hogar de familia o una entidad de atención, hasta por setenta y dos horas, tiempo en el cu</w:t>
      </w:r>
      <w:r>
        <w:rPr>
          <w:rFonts w:eastAsia="Times New Roman"/>
          <w:sz w:val="30"/>
          <w:szCs w:val="30"/>
          <w:lang w:val="es-ES"/>
        </w:rPr>
        <w:t>al el Juez dispondrá la medida de protección que corresponda;</w:t>
      </w:r>
      <w:r>
        <w:rPr>
          <w:rFonts w:eastAsia="Times New Roman"/>
          <w:sz w:val="30"/>
          <w:szCs w:val="30"/>
          <w:lang w:val="es-ES"/>
        </w:rPr>
        <w:br/>
      </w:r>
      <w:r>
        <w:rPr>
          <w:rFonts w:eastAsia="Times New Roman"/>
          <w:sz w:val="30"/>
          <w:szCs w:val="30"/>
          <w:lang w:val="es-ES"/>
        </w:rPr>
        <w:br/>
        <w:t>7. La reinserción laboral inmediata y hasta por tres meses, mientras se tramitan las acciones administrativas o judiciales ante las autoridades competentes, en casos de separación injustificada</w:t>
      </w:r>
      <w:r>
        <w:rPr>
          <w:rFonts w:eastAsia="Times New Roman"/>
          <w:sz w:val="30"/>
          <w:szCs w:val="30"/>
          <w:lang w:val="es-ES"/>
        </w:rPr>
        <w:t xml:space="preserve"> del puesto de trabajo a una persona perteneciente a un grupo de atención prioritaria; y,</w:t>
      </w:r>
      <w:r>
        <w:rPr>
          <w:rFonts w:eastAsia="Times New Roman"/>
          <w:sz w:val="30"/>
          <w:szCs w:val="30"/>
          <w:lang w:val="es-ES"/>
        </w:rPr>
        <w:br/>
      </w:r>
      <w:r>
        <w:rPr>
          <w:rFonts w:eastAsia="Times New Roman"/>
          <w:sz w:val="30"/>
          <w:szCs w:val="30"/>
          <w:lang w:val="es-ES"/>
        </w:rPr>
        <w:br/>
        <w:t>8. La suspensión inmediata y hasta por tres meses de cualquier acto que amenace con vulnerar derechos especiales de las personas con discapacidad, mientras se tramit</w:t>
      </w:r>
      <w:r>
        <w:rPr>
          <w:rFonts w:eastAsia="Times New Roman"/>
          <w:sz w:val="30"/>
          <w:szCs w:val="30"/>
          <w:lang w:val="es-ES"/>
        </w:rPr>
        <w:t>an las acciones administrativas o judiciales ante los organismos correspondientes.</w:t>
      </w:r>
      <w:r>
        <w:rPr>
          <w:rFonts w:eastAsia="Times New Roman"/>
          <w:sz w:val="30"/>
          <w:szCs w:val="30"/>
          <w:lang w:val="es-ES"/>
        </w:rPr>
        <w:br/>
      </w:r>
      <w:r>
        <w:rPr>
          <w:rFonts w:eastAsia="Times New Roman"/>
          <w:sz w:val="30"/>
          <w:szCs w:val="30"/>
          <w:lang w:val="es-ES"/>
        </w:rPr>
        <w:br/>
        <w:t>En todos los casos en que se ordene una medida de protección se deberá, en forma simultánea, plantear las correspondientes acciones administrativas y/o judiciales ante el ó</w:t>
      </w:r>
      <w:r>
        <w:rPr>
          <w:rFonts w:eastAsia="Times New Roman"/>
          <w:sz w:val="30"/>
          <w:szCs w:val="30"/>
          <w:lang w:val="es-ES"/>
        </w:rPr>
        <w:t>rgano competente para sancionar los hechos denunciados. El órgano competente tendrá la competencia de ampliar, reformar o revocar las medidas de protección dictadas por el Defensor del Pueblo.</w:t>
      </w:r>
    </w:p>
    <w:p w:rsidR="00000000" w:rsidRDefault="0045761E">
      <w:pPr>
        <w:jc w:val="center"/>
        <w:rPr>
          <w:rFonts w:eastAsia="Times New Roman"/>
          <w:sz w:val="36"/>
          <w:szCs w:val="36"/>
          <w:lang w:val="es-ES"/>
        </w:rPr>
      </w:pPr>
      <w:r>
        <w:rPr>
          <w:rFonts w:eastAsia="Times New Roman"/>
          <w:b/>
          <w:bCs/>
          <w:sz w:val="36"/>
          <w:szCs w:val="36"/>
          <w:lang w:val="es-ES"/>
        </w:rPr>
        <w:br/>
        <w:t>DISPOSICIONES GENERALES</w:t>
      </w:r>
    </w:p>
    <w:p w:rsidR="00000000" w:rsidRDefault="0045761E">
      <w:pPr>
        <w:divId w:val="1940722949"/>
        <w:rPr>
          <w:rFonts w:eastAsia="Times New Roman"/>
          <w:sz w:val="30"/>
          <w:szCs w:val="30"/>
          <w:lang w:val="es-ES"/>
        </w:rPr>
      </w:pPr>
      <w:r>
        <w:rPr>
          <w:rFonts w:eastAsia="Times New Roman"/>
          <w:b/>
          <w:bCs/>
          <w:sz w:val="30"/>
          <w:szCs w:val="30"/>
          <w:lang w:val="es-ES"/>
        </w:rPr>
        <w:t xml:space="preserve">Art. 25.- </w:t>
      </w:r>
      <w:r>
        <w:rPr>
          <w:rFonts w:eastAsia="Times New Roman"/>
          <w:sz w:val="30"/>
          <w:szCs w:val="30"/>
          <w:lang w:val="es-ES"/>
        </w:rPr>
        <w:t>La intervención del Defensor</w:t>
      </w:r>
      <w:r>
        <w:rPr>
          <w:rFonts w:eastAsia="Times New Roman"/>
          <w:sz w:val="30"/>
          <w:szCs w:val="30"/>
          <w:lang w:val="es-ES"/>
        </w:rPr>
        <w:t xml:space="preserve"> del Pueblo, de sus adjuntos y comisionados se dará sin perjuicio de que los propios ofendidos o perjudicados puedan, por sí mismos, proponer las acciones o interponer los recursos contemplados en la Constitución Política de la República y las leyes.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b/>
          <w:bCs/>
          <w:sz w:val="30"/>
          <w:szCs w:val="30"/>
          <w:u w:val="single"/>
          <w:lang w:val="es-ES"/>
        </w:rPr>
        <w:t>:</w:t>
      </w:r>
      <w:r>
        <w:rPr>
          <w:rFonts w:eastAsia="Times New Roman"/>
          <w:b/>
          <w:bCs/>
          <w:sz w:val="30"/>
          <w:szCs w:val="30"/>
          <w:u w:val="single"/>
          <w:lang w:val="es-ES"/>
        </w:rPr>
        <w:br/>
      </w:r>
      <w:r>
        <w:rPr>
          <w:rFonts w:eastAsia="Times New Roman"/>
          <w:i/>
          <w:iCs/>
          <w:sz w:val="30"/>
          <w:szCs w:val="30"/>
          <w:lang w:val="es-ES"/>
        </w:rPr>
        <w:t>Por Disposición Derogatoria de la Constitución de la República del Ecuador (R.O. 449, 20-X-2008), se abroga la Constitución Política de la República del Ecuador (R.O. 1, 11-VIII-1998), y toda norma que se oponga al nuevo marco constitucional.</w:t>
      </w:r>
    </w:p>
    <w:p w:rsidR="00000000" w:rsidRDefault="0045761E">
      <w:pPr>
        <w:divId w:val="2078431459"/>
        <w:rPr>
          <w:rFonts w:eastAsia="Times New Roman"/>
          <w:sz w:val="30"/>
          <w:szCs w:val="30"/>
          <w:lang w:val="es-ES"/>
        </w:rPr>
      </w:pPr>
      <w:r>
        <w:rPr>
          <w:rFonts w:eastAsia="Times New Roman"/>
          <w:b/>
          <w:bCs/>
          <w:sz w:val="30"/>
          <w:szCs w:val="30"/>
          <w:lang w:val="es-ES"/>
        </w:rPr>
        <w:lastRenderedPageBreak/>
        <w:t xml:space="preserve">Art. 26.- </w:t>
      </w:r>
      <w:r>
        <w:rPr>
          <w:rFonts w:eastAsia="Times New Roman"/>
          <w:sz w:val="30"/>
          <w:szCs w:val="30"/>
          <w:lang w:val="es-ES"/>
        </w:rPr>
        <w:t>P</w:t>
      </w:r>
      <w:r>
        <w:rPr>
          <w:rFonts w:eastAsia="Times New Roman"/>
          <w:sz w:val="30"/>
          <w:szCs w:val="30"/>
          <w:lang w:val="es-ES"/>
        </w:rPr>
        <w:t xml:space="preserve">ara el funcionamiento de la Defensoría del Pueblo se asignarán en el Presupuesto General del Estado los recursos necesarios que le permitan ejercer sus deberes y atribuciones garantizándose su autonomía funcional, económica y administrativa prevista en la </w:t>
      </w:r>
      <w:r>
        <w:rPr>
          <w:rFonts w:eastAsia="Times New Roman"/>
          <w:sz w:val="30"/>
          <w:szCs w:val="30"/>
          <w:lang w:val="es-ES"/>
        </w:rPr>
        <w:t>Constitución Política de la República.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b/>
          <w:bCs/>
          <w:sz w:val="30"/>
          <w:szCs w:val="30"/>
          <w:u w:val="single"/>
          <w:lang w:val="es-ES"/>
        </w:rPr>
        <w:br/>
      </w:r>
      <w:r>
        <w:rPr>
          <w:rFonts w:eastAsia="Times New Roman"/>
          <w:i/>
          <w:iCs/>
          <w:sz w:val="30"/>
          <w:szCs w:val="30"/>
          <w:lang w:val="es-ES"/>
        </w:rPr>
        <w:t>Por Disposición Derogatoria de la Constitución de la República del Ecuador (R.O. 449, 20-X-2008), se abroga la Constitución Política de la República del Ecuador (R.O. 1, 11-VIII-1998), y toda norma que se opong</w:t>
      </w:r>
      <w:r>
        <w:rPr>
          <w:rFonts w:eastAsia="Times New Roman"/>
          <w:i/>
          <w:iCs/>
          <w:sz w:val="30"/>
          <w:szCs w:val="30"/>
          <w:lang w:val="es-ES"/>
        </w:rPr>
        <w:t>a al nuevo marco constitucional.</w:t>
      </w:r>
    </w:p>
    <w:p w:rsidR="00000000" w:rsidRDefault="0045761E">
      <w:pPr>
        <w:divId w:val="405028742"/>
        <w:rPr>
          <w:rFonts w:eastAsia="Times New Roman"/>
          <w:sz w:val="30"/>
          <w:szCs w:val="30"/>
          <w:lang w:val="es-ES"/>
        </w:rPr>
      </w:pPr>
      <w:r>
        <w:rPr>
          <w:rFonts w:eastAsia="Times New Roman"/>
          <w:b/>
          <w:bCs/>
          <w:sz w:val="30"/>
          <w:szCs w:val="30"/>
          <w:lang w:val="es-ES"/>
        </w:rPr>
        <w:t xml:space="preserve">Art. 27.- </w:t>
      </w:r>
      <w:r>
        <w:rPr>
          <w:rFonts w:eastAsia="Times New Roman"/>
          <w:sz w:val="30"/>
          <w:szCs w:val="30"/>
          <w:lang w:val="es-ES"/>
        </w:rPr>
        <w:t>El producto de las multas contempladas en el artículo 23 de esta Ley ingresarán a una cuenta única de la Defensoría del Pueblo.</w:t>
      </w:r>
    </w:p>
    <w:p w:rsidR="00000000" w:rsidRDefault="0045761E">
      <w:pPr>
        <w:divId w:val="392046547"/>
        <w:rPr>
          <w:rFonts w:eastAsia="Times New Roman"/>
          <w:sz w:val="30"/>
          <w:szCs w:val="30"/>
          <w:lang w:val="es-ES"/>
        </w:rPr>
      </w:pPr>
      <w:r>
        <w:rPr>
          <w:rFonts w:eastAsia="Times New Roman"/>
          <w:b/>
          <w:bCs/>
          <w:sz w:val="30"/>
          <w:szCs w:val="30"/>
          <w:lang w:val="es-ES"/>
        </w:rPr>
        <w:t xml:space="preserve">Art. 28.- </w:t>
      </w:r>
      <w:r>
        <w:rPr>
          <w:rFonts w:eastAsia="Times New Roman"/>
          <w:sz w:val="30"/>
          <w:szCs w:val="30"/>
          <w:lang w:val="es-ES"/>
        </w:rPr>
        <w:t>La presente Ley entrará en vigencia a partir de su publicación en el Regist</w:t>
      </w:r>
      <w:r>
        <w:rPr>
          <w:rFonts w:eastAsia="Times New Roman"/>
          <w:sz w:val="30"/>
          <w:szCs w:val="30"/>
          <w:lang w:val="es-ES"/>
        </w:rPr>
        <w:t>ro Oficial.</w:t>
      </w:r>
      <w:r>
        <w:rPr>
          <w:rFonts w:eastAsia="Times New Roman"/>
          <w:sz w:val="30"/>
          <w:szCs w:val="30"/>
          <w:lang w:val="es-ES"/>
        </w:rPr>
        <w:br/>
      </w:r>
      <w:r>
        <w:rPr>
          <w:rFonts w:eastAsia="Times New Roman"/>
          <w:sz w:val="30"/>
          <w:szCs w:val="30"/>
          <w:lang w:val="es-ES"/>
        </w:rPr>
        <w:br/>
        <w:t>Dada en la ciudad de San Francisco de Quito, Distrito Metropolitano, en la Sala de Sesiones del Plenario de las Comisiones Legislativas del Congreso Nacional del Ecuador, a los veintiún días del mes de enero de mil novecientos noventa y siete.</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Por disposición del Art. 120 de la Constitución de la República del Ecuador (R.O. 449, 20-X-2008), la Función Legislativa la ejercerá la Asamblea Nacional, por tanto, sus miembros tendrán la denominación de asambleistas.</w:t>
      </w:r>
    </w:p>
    <w:p w:rsidR="00000000" w:rsidRDefault="0045761E">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w:t>
      </w:r>
      <w:r>
        <w:rPr>
          <w:rFonts w:eastAsia="Times New Roman"/>
          <w:b/>
          <w:bCs/>
          <w:sz w:val="36"/>
          <w:szCs w:val="36"/>
          <w:lang w:val="es-ES"/>
        </w:rPr>
        <w:t>ICIÓN DE LA LEY ORGÁNICA DE LA DEFENSORÍA DEL PUEBLO</w:t>
      </w:r>
    </w:p>
    <w:p w:rsidR="0045761E" w:rsidRDefault="0045761E">
      <w:pPr>
        <w:divId w:val="1279946352"/>
        <w:rPr>
          <w:rFonts w:eastAsia="Times New Roman"/>
          <w:sz w:val="30"/>
          <w:szCs w:val="30"/>
          <w:lang w:val="es-ES"/>
        </w:rPr>
      </w:pPr>
      <w:r>
        <w:rPr>
          <w:rFonts w:eastAsia="Times New Roman"/>
          <w:sz w:val="30"/>
          <w:szCs w:val="30"/>
          <w:lang w:val="es-ES"/>
        </w:rPr>
        <w:br/>
      </w:r>
      <w:r>
        <w:rPr>
          <w:rFonts w:eastAsia="Times New Roman"/>
          <w:sz w:val="30"/>
          <w:szCs w:val="30"/>
          <w:lang w:val="es-ES"/>
        </w:rPr>
        <w:br/>
        <w:t>1.-</w:t>
      </w:r>
      <w:r>
        <w:rPr>
          <w:rFonts w:eastAsia="Times New Roman"/>
          <w:sz w:val="30"/>
          <w:szCs w:val="30"/>
          <w:lang w:val="es-ES"/>
        </w:rPr>
        <w:t xml:space="preserve"> </w:t>
      </w:r>
      <w:r>
        <w:rPr>
          <w:rFonts w:eastAsia="Times New Roman"/>
          <w:sz w:val="30"/>
          <w:szCs w:val="30"/>
          <w:lang w:val="es-ES"/>
        </w:rPr>
        <w:t>Ley 1 (Registro Oficial 7, 20-II-1997)</w:t>
      </w:r>
      <w:r>
        <w:rPr>
          <w:rFonts w:eastAsia="Times New Roman"/>
          <w:sz w:val="30"/>
          <w:szCs w:val="30"/>
          <w:lang w:val="es-ES"/>
        </w:rPr>
        <w:br/>
      </w:r>
      <w:r>
        <w:rPr>
          <w:rFonts w:eastAsia="Times New Roman"/>
          <w:sz w:val="30"/>
          <w:szCs w:val="30"/>
          <w:lang w:val="es-ES"/>
        </w:rPr>
        <w:br/>
        <w:t>2.-</w:t>
      </w:r>
      <w:r>
        <w:rPr>
          <w:rFonts w:eastAsia="Times New Roman"/>
          <w:sz w:val="30"/>
          <w:szCs w:val="30"/>
          <w:lang w:val="es-ES"/>
        </w:rPr>
        <w:t xml:space="preserve"> </w:t>
      </w:r>
      <w:r>
        <w:rPr>
          <w:rFonts w:eastAsia="Times New Roman"/>
          <w:sz w:val="30"/>
          <w:szCs w:val="30"/>
          <w:lang w:val="es-ES"/>
        </w:rPr>
        <w:t>Fe de Erratas (Registro Oficial 12, 27-II-1997)</w:t>
      </w:r>
      <w:r>
        <w:rPr>
          <w:rFonts w:eastAsia="Times New Roman"/>
          <w:sz w:val="30"/>
          <w:szCs w:val="30"/>
          <w:lang w:val="es-ES"/>
        </w:rPr>
        <w:br/>
      </w:r>
      <w:r>
        <w:rPr>
          <w:rFonts w:eastAsia="Times New Roman"/>
          <w:sz w:val="30"/>
          <w:szCs w:val="30"/>
          <w:lang w:val="es-ES"/>
        </w:rPr>
        <w:br/>
        <w:t>3.-</w:t>
      </w:r>
      <w:r>
        <w:rPr>
          <w:rFonts w:eastAsia="Times New Roman"/>
          <w:sz w:val="30"/>
          <w:szCs w:val="30"/>
          <w:lang w:val="es-ES"/>
        </w:rPr>
        <w:t xml:space="preserve"> </w:t>
      </w:r>
      <w:r>
        <w:rPr>
          <w:rFonts w:eastAsia="Times New Roman"/>
          <w:sz w:val="30"/>
          <w:szCs w:val="30"/>
          <w:lang w:val="es-ES"/>
        </w:rPr>
        <w:t>Resolución 034-2000-TP (Suplemento del Registro Oficial 48, 31-III-2000)</w:t>
      </w:r>
      <w:r>
        <w:rPr>
          <w:rFonts w:eastAsia="Times New Roman"/>
          <w:sz w:val="30"/>
          <w:szCs w:val="30"/>
          <w:lang w:val="es-ES"/>
        </w:rPr>
        <w:br/>
      </w:r>
      <w:r>
        <w:rPr>
          <w:rFonts w:eastAsia="Times New Roman"/>
          <w:sz w:val="30"/>
          <w:szCs w:val="30"/>
          <w:lang w:val="es-ES"/>
        </w:rPr>
        <w:lastRenderedPageBreak/>
        <w:br/>
        <w:t>4.-</w:t>
      </w:r>
      <w:r>
        <w:rPr>
          <w:rFonts w:eastAsia="Times New Roman"/>
          <w:sz w:val="30"/>
          <w:szCs w:val="30"/>
          <w:lang w:val="es-ES"/>
        </w:rPr>
        <w:t xml:space="preserve"> </w:t>
      </w:r>
      <w:r>
        <w:rPr>
          <w:rFonts w:eastAsia="Times New Roman"/>
          <w:sz w:val="30"/>
          <w:szCs w:val="30"/>
          <w:lang w:val="es-ES"/>
        </w:rPr>
        <w:t>Ley s/n (Suplemento de</w:t>
      </w:r>
      <w:r>
        <w:rPr>
          <w:rFonts w:eastAsia="Times New Roman"/>
          <w:sz w:val="30"/>
          <w:szCs w:val="30"/>
          <w:lang w:val="es-ES"/>
        </w:rPr>
        <w:t>l Registro Oficial 544, 9-III-2009)</w:t>
      </w:r>
      <w:r>
        <w:rPr>
          <w:rFonts w:eastAsia="Times New Roman"/>
          <w:sz w:val="30"/>
          <w:szCs w:val="30"/>
          <w:lang w:val="es-ES"/>
        </w:rPr>
        <w:br/>
      </w:r>
      <w:r>
        <w:rPr>
          <w:rFonts w:eastAsia="Times New Roman"/>
          <w:sz w:val="30"/>
          <w:szCs w:val="30"/>
          <w:lang w:val="es-ES"/>
        </w:rPr>
        <w:br/>
        <w:t>5.-</w:t>
      </w:r>
      <w:r>
        <w:rPr>
          <w:rFonts w:eastAsia="Times New Roman"/>
          <w:sz w:val="30"/>
          <w:szCs w:val="30"/>
          <w:lang w:val="es-ES"/>
        </w:rPr>
        <w:t xml:space="preserve"> </w:t>
      </w:r>
      <w:r>
        <w:rPr>
          <w:rFonts w:eastAsia="Times New Roman"/>
          <w:sz w:val="30"/>
          <w:szCs w:val="30"/>
          <w:lang w:val="es-ES"/>
        </w:rPr>
        <w:t>Ley s/n (Segundo Suplemento del Registro Oficial 52, 22-X-2009)</w:t>
      </w:r>
      <w:r>
        <w:rPr>
          <w:rFonts w:eastAsia="Times New Roman"/>
          <w:sz w:val="30"/>
          <w:szCs w:val="30"/>
          <w:lang w:val="es-ES"/>
        </w:rPr>
        <w:br/>
      </w:r>
      <w:r>
        <w:rPr>
          <w:rFonts w:eastAsia="Times New Roman"/>
          <w:sz w:val="30"/>
          <w:szCs w:val="30"/>
          <w:lang w:val="es-ES"/>
        </w:rPr>
        <w:br/>
        <w:t>6.-</w:t>
      </w:r>
      <w:r>
        <w:rPr>
          <w:rFonts w:eastAsia="Times New Roman"/>
          <w:sz w:val="30"/>
          <w:szCs w:val="30"/>
          <w:lang w:val="es-ES"/>
        </w:rPr>
        <w:t xml:space="preserve"> </w:t>
      </w:r>
      <w:r>
        <w:rPr>
          <w:rFonts w:eastAsia="Times New Roman"/>
          <w:sz w:val="30"/>
          <w:szCs w:val="30"/>
          <w:lang w:val="es-ES"/>
        </w:rPr>
        <w:t>Ley s/n (Suplemento del Registro Oficial 796, 25-IX-2012).</w:t>
      </w:r>
    </w:p>
    <w:sectPr w:rsidR="0045761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E2127"/>
    <w:rsid w:val="0045761E"/>
    <w:rsid w:val="00AE212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98FC5C2-A7B6-47E3-AD83-06DDE5A90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06312">
      <w:marLeft w:val="0"/>
      <w:marRight w:val="0"/>
      <w:marTop w:val="0"/>
      <w:marBottom w:val="0"/>
      <w:divBdr>
        <w:top w:val="none" w:sz="0" w:space="0" w:color="auto"/>
        <w:left w:val="none" w:sz="0" w:space="0" w:color="auto"/>
        <w:bottom w:val="none" w:sz="0" w:space="0" w:color="auto"/>
        <w:right w:val="none" w:sz="0" w:space="0" w:color="auto"/>
      </w:divBdr>
    </w:div>
    <w:div w:id="168957679">
      <w:marLeft w:val="0"/>
      <w:marRight w:val="0"/>
      <w:marTop w:val="0"/>
      <w:marBottom w:val="0"/>
      <w:divBdr>
        <w:top w:val="none" w:sz="0" w:space="0" w:color="auto"/>
        <w:left w:val="none" w:sz="0" w:space="0" w:color="auto"/>
        <w:bottom w:val="none" w:sz="0" w:space="0" w:color="auto"/>
        <w:right w:val="none" w:sz="0" w:space="0" w:color="auto"/>
      </w:divBdr>
    </w:div>
    <w:div w:id="220796276">
      <w:marLeft w:val="0"/>
      <w:marRight w:val="0"/>
      <w:marTop w:val="0"/>
      <w:marBottom w:val="0"/>
      <w:divBdr>
        <w:top w:val="none" w:sz="0" w:space="0" w:color="auto"/>
        <w:left w:val="none" w:sz="0" w:space="0" w:color="auto"/>
        <w:bottom w:val="none" w:sz="0" w:space="0" w:color="auto"/>
        <w:right w:val="none" w:sz="0" w:space="0" w:color="auto"/>
      </w:divBdr>
    </w:div>
    <w:div w:id="392046547">
      <w:marLeft w:val="0"/>
      <w:marRight w:val="0"/>
      <w:marTop w:val="0"/>
      <w:marBottom w:val="0"/>
      <w:divBdr>
        <w:top w:val="none" w:sz="0" w:space="0" w:color="auto"/>
        <w:left w:val="none" w:sz="0" w:space="0" w:color="auto"/>
        <w:bottom w:val="none" w:sz="0" w:space="0" w:color="auto"/>
        <w:right w:val="none" w:sz="0" w:space="0" w:color="auto"/>
      </w:divBdr>
    </w:div>
    <w:div w:id="405028742">
      <w:marLeft w:val="0"/>
      <w:marRight w:val="0"/>
      <w:marTop w:val="0"/>
      <w:marBottom w:val="0"/>
      <w:divBdr>
        <w:top w:val="none" w:sz="0" w:space="0" w:color="auto"/>
        <w:left w:val="none" w:sz="0" w:space="0" w:color="auto"/>
        <w:bottom w:val="none" w:sz="0" w:space="0" w:color="auto"/>
        <w:right w:val="none" w:sz="0" w:space="0" w:color="auto"/>
      </w:divBdr>
    </w:div>
    <w:div w:id="416903929">
      <w:marLeft w:val="0"/>
      <w:marRight w:val="0"/>
      <w:marTop w:val="0"/>
      <w:marBottom w:val="0"/>
      <w:divBdr>
        <w:top w:val="none" w:sz="0" w:space="0" w:color="auto"/>
        <w:left w:val="none" w:sz="0" w:space="0" w:color="auto"/>
        <w:bottom w:val="none" w:sz="0" w:space="0" w:color="auto"/>
        <w:right w:val="none" w:sz="0" w:space="0" w:color="auto"/>
      </w:divBdr>
    </w:div>
    <w:div w:id="467355627">
      <w:marLeft w:val="0"/>
      <w:marRight w:val="0"/>
      <w:marTop w:val="0"/>
      <w:marBottom w:val="0"/>
      <w:divBdr>
        <w:top w:val="none" w:sz="0" w:space="0" w:color="auto"/>
        <w:left w:val="none" w:sz="0" w:space="0" w:color="auto"/>
        <w:bottom w:val="none" w:sz="0" w:space="0" w:color="auto"/>
        <w:right w:val="none" w:sz="0" w:space="0" w:color="auto"/>
      </w:divBdr>
    </w:div>
    <w:div w:id="580484938">
      <w:marLeft w:val="0"/>
      <w:marRight w:val="0"/>
      <w:marTop w:val="0"/>
      <w:marBottom w:val="0"/>
      <w:divBdr>
        <w:top w:val="none" w:sz="0" w:space="0" w:color="auto"/>
        <w:left w:val="none" w:sz="0" w:space="0" w:color="auto"/>
        <w:bottom w:val="none" w:sz="0" w:space="0" w:color="auto"/>
        <w:right w:val="none" w:sz="0" w:space="0" w:color="auto"/>
      </w:divBdr>
    </w:div>
    <w:div w:id="591931938">
      <w:marLeft w:val="0"/>
      <w:marRight w:val="0"/>
      <w:marTop w:val="0"/>
      <w:marBottom w:val="0"/>
      <w:divBdr>
        <w:top w:val="none" w:sz="0" w:space="0" w:color="auto"/>
        <w:left w:val="none" w:sz="0" w:space="0" w:color="auto"/>
        <w:bottom w:val="none" w:sz="0" w:space="0" w:color="auto"/>
        <w:right w:val="none" w:sz="0" w:space="0" w:color="auto"/>
      </w:divBdr>
    </w:div>
    <w:div w:id="638152039">
      <w:marLeft w:val="0"/>
      <w:marRight w:val="0"/>
      <w:marTop w:val="0"/>
      <w:marBottom w:val="0"/>
      <w:divBdr>
        <w:top w:val="none" w:sz="0" w:space="0" w:color="auto"/>
        <w:left w:val="none" w:sz="0" w:space="0" w:color="auto"/>
        <w:bottom w:val="none" w:sz="0" w:space="0" w:color="auto"/>
        <w:right w:val="none" w:sz="0" w:space="0" w:color="auto"/>
      </w:divBdr>
    </w:div>
    <w:div w:id="673263840">
      <w:marLeft w:val="0"/>
      <w:marRight w:val="0"/>
      <w:marTop w:val="0"/>
      <w:marBottom w:val="0"/>
      <w:divBdr>
        <w:top w:val="none" w:sz="0" w:space="0" w:color="auto"/>
        <w:left w:val="none" w:sz="0" w:space="0" w:color="auto"/>
        <w:bottom w:val="none" w:sz="0" w:space="0" w:color="auto"/>
        <w:right w:val="none" w:sz="0" w:space="0" w:color="auto"/>
      </w:divBdr>
    </w:div>
    <w:div w:id="823815923">
      <w:marLeft w:val="0"/>
      <w:marRight w:val="0"/>
      <w:marTop w:val="0"/>
      <w:marBottom w:val="0"/>
      <w:divBdr>
        <w:top w:val="none" w:sz="0" w:space="0" w:color="auto"/>
        <w:left w:val="none" w:sz="0" w:space="0" w:color="auto"/>
        <w:bottom w:val="none" w:sz="0" w:space="0" w:color="auto"/>
        <w:right w:val="none" w:sz="0" w:space="0" w:color="auto"/>
      </w:divBdr>
    </w:div>
    <w:div w:id="1045060649">
      <w:marLeft w:val="0"/>
      <w:marRight w:val="0"/>
      <w:marTop w:val="0"/>
      <w:marBottom w:val="0"/>
      <w:divBdr>
        <w:top w:val="none" w:sz="0" w:space="0" w:color="auto"/>
        <w:left w:val="none" w:sz="0" w:space="0" w:color="auto"/>
        <w:bottom w:val="none" w:sz="0" w:space="0" w:color="auto"/>
        <w:right w:val="none" w:sz="0" w:space="0" w:color="auto"/>
      </w:divBdr>
    </w:div>
    <w:div w:id="1077170381">
      <w:marLeft w:val="0"/>
      <w:marRight w:val="0"/>
      <w:marTop w:val="0"/>
      <w:marBottom w:val="0"/>
      <w:divBdr>
        <w:top w:val="none" w:sz="0" w:space="0" w:color="auto"/>
        <w:left w:val="none" w:sz="0" w:space="0" w:color="auto"/>
        <w:bottom w:val="none" w:sz="0" w:space="0" w:color="auto"/>
        <w:right w:val="none" w:sz="0" w:space="0" w:color="auto"/>
      </w:divBdr>
    </w:div>
    <w:div w:id="1108740940">
      <w:marLeft w:val="0"/>
      <w:marRight w:val="0"/>
      <w:marTop w:val="0"/>
      <w:marBottom w:val="0"/>
      <w:divBdr>
        <w:top w:val="none" w:sz="0" w:space="0" w:color="auto"/>
        <w:left w:val="none" w:sz="0" w:space="0" w:color="auto"/>
        <w:bottom w:val="none" w:sz="0" w:space="0" w:color="auto"/>
        <w:right w:val="none" w:sz="0" w:space="0" w:color="auto"/>
      </w:divBdr>
    </w:div>
    <w:div w:id="1146774031">
      <w:marLeft w:val="0"/>
      <w:marRight w:val="0"/>
      <w:marTop w:val="0"/>
      <w:marBottom w:val="0"/>
      <w:divBdr>
        <w:top w:val="none" w:sz="0" w:space="0" w:color="auto"/>
        <w:left w:val="none" w:sz="0" w:space="0" w:color="auto"/>
        <w:bottom w:val="none" w:sz="0" w:space="0" w:color="auto"/>
        <w:right w:val="none" w:sz="0" w:space="0" w:color="auto"/>
      </w:divBdr>
    </w:div>
    <w:div w:id="1161387535">
      <w:marLeft w:val="0"/>
      <w:marRight w:val="0"/>
      <w:marTop w:val="0"/>
      <w:marBottom w:val="0"/>
      <w:divBdr>
        <w:top w:val="none" w:sz="0" w:space="0" w:color="auto"/>
        <w:left w:val="none" w:sz="0" w:space="0" w:color="auto"/>
        <w:bottom w:val="none" w:sz="0" w:space="0" w:color="auto"/>
        <w:right w:val="none" w:sz="0" w:space="0" w:color="auto"/>
      </w:divBdr>
    </w:div>
    <w:div w:id="1178351899">
      <w:marLeft w:val="0"/>
      <w:marRight w:val="0"/>
      <w:marTop w:val="0"/>
      <w:marBottom w:val="0"/>
      <w:divBdr>
        <w:top w:val="none" w:sz="0" w:space="0" w:color="auto"/>
        <w:left w:val="none" w:sz="0" w:space="0" w:color="auto"/>
        <w:bottom w:val="none" w:sz="0" w:space="0" w:color="auto"/>
        <w:right w:val="none" w:sz="0" w:space="0" w:color="auto"/>
      </w:divBdr>
    </w:div>
    <w:div w:id="1279946352">
      <w:marLeft w:val="0"/>
      <w:marRight w:val="0"/>
      <w:marTop w:val="0"/>
      <w:marBottom w:val="0"/>
      <w:divBdr>
        <w:top w:val="none" w:sz="0" w:space="0" w:color="auto"/>
        <w:left w:val="none" w:sz="0" w:space="0" w:color="auto"/>
        <w:bottom w:val="none" w:sz="0" w:space="0" w:color="auto"/>
        <w:right w:val="none" w:sz="0" w:space="0" w:color="auto"/>
      </w:divBdr>
    </w:div>
    <w:div w:id="1373920757">
      <w:marLeft w:val="0"/>
      <w:marRight w:val="0"/>
      <w:marTop w:val="0"/>
      <w:marBottom w:val="0"/>
      <w:divBdr>
        <w:top w:val="none" w:sz="0" w:space="0" w:color="auto"/>
        <w:left w:val="none" w:sz="0" w:space="0" w:color="auto"/>
        <w:bottom w:val="none" w:sz="0" w:space="0" w:color="auto"/>
        <w:right w:val="none" w:sz="0" w:space="0" w:color="auto"/>
      </w:divBdr>
    </w:div>
    <w:div w:id="1396203436">
      <w:marLeft w:val="0"/>
      <w:marRight w:val="0"/>
      <w:marTop w:val="0"/>
      <w:marBottom w:val="0"/>
      <w:divBdr>
        <w:top w:val="none" w:sz="0" w:space="0" w:color="auto"/>
        <w:left w:val="none" w:sz="0" w:space="0" w:color="auto"/>
        <w:bottom w:val="none" w:sz="0" w:space="0" w:color="auto"/>
        <w:right w:val="none" w:sz="0" w:space="0" w:color="auto"/>
      </w:divBdr>
    </w:div>
    <w:div w:id="1544249869">
      <w:marLeft w:val="0"/>
      <w:marRight w:val="0"/>
      <w:marTop w:val="0"/>
      <w:marBottom w:val="0"/>
      <w:divBdr>
        <w:top w:val="none" w:sz="0" w:space="0" w:color="auto"/>
        <w:left w:val="none" w:sz="0" w:space="0" w:color="auto"/>
        <w:bottom w:val="none" w:sz="0" w:space="0" w:color="auto"/>
        <w:right w:val="none" w:sz="0" w:space="0" w:color="auto"/>
      </w:divBdr>
    </w:div>
    <w:div w:id="1549611950">
      <w:marLeft w:val="0"/>
      <w:marRight w:val="0"/>
      <w:marTop w:val="0"/>
      <w:marBottom w:val="0"/>
      <w:divBdr>
        <w:top w:val="none" w:sz="0" w:space="0" w:color="auto"/>
        <w:left w:val="none" w:sz="0" w:space="0" w:color="auto"/>
        <w:bottom w:val="none" w:sz="0" w:space="0" w:color="auto"/>
        <w:right w:val="none" w:sz="0" w:space="0" w:color="auto"/>
      </w:divBdr>
    </w:div>
    <w:div w:id="1631979386">
      <w:marLeft w:val="0"/>
      <w:marRight w:val="0"/>
      <w:marTop w:val="0"/>
      <w:marBottom w:val="0"/>
      <w:divBdr>
        <w:top w:val="none" w:sz="0" w:space="0" w:color="auto"/>
        <w:left w:val="none" w:sz="0" w:space="0" w:color="auto"/>
        <w:bottom w:val="none" w:sz="0" w:space="0" w:color="auto"/>
        <w:right w:val="none" w:sz="0" w:space="0" w:color="auto"/>
      </w:divBdr>
    </w:div>
    <w:div w:id="1693649411">
      <w:marLeft w:val="0"/>
      <w:marRight w:val="0"/>
      <w:marTop w:val="0"/>
      <w:marBottom w:val="0"/>
      <w:divBdr>
        <w:top w:val="none" w:sz="0" w:space="0" w:color="auto"/>
        <w:left w:val="none" w:sz="0" w:space="0" w:color="auto"/>
        <w:bottom w:val="none" w:sz="0" w:space="0" w:color="auto"/>
        <w:right w:val="none" w:sz="0" w:space="0" w:color="auto"/>
      </w:divBdr>
    </w:div>
    <w:div w:id="1723094577">
      <w:marLeft w:val="0"/>
      <w:marRight w:val="0"/>
      <w:marTop w:val="0"/>
      <w:marBottom w:val="0"/>
      <w:divBdr>
        <w:top w:val="none" w:sz="0" w:space="0" w:color="auto"/>
        <w:left w:val="none" w:sz="0" w:space="0" w:color="auto"/>
        <w:bottom w:val="none" w:sz="0" w:space="0" w:color="auto"/>
        <w:right w:val="none" w:sz="0" w:space="0" w:color="auto"/>
      </w:divBdr>
    </w:div>
    <w:div w:id="1777017974">
      <w:marLeft w:val="0"/>
      <w:marRight w:val="0"/>
      <w:marTop w:val="0"/>
      <w:marBottom w:val="0"/>
      <w:divBdr>
        <w:top w:val="none" w:sz="0" w:space="0" w:color="auto"/>
        <w:left w:val="none" w:sz="0" w:space="0" w:color="auto"/>
        <w:bottom w:val="none" w:sz="0" w:space="0" w:color="auto"/>
        <w:right w:val="none" w:sz="0" w:space="0" w:color="auto"/>
      </w:divBdr>
    </w:div>
    <w:div w:id="1783497420">
      <w:marLeft w:val="0"/>
      <w:marRight w:val="0"/>
      <w:marTop w:val="0"/>
      <w:marBottom w:val="0"/>
      <w:divBdr>
        <w:top w:val="none" w:sz="0" w:space="0" w:color="auto"/>
        <w:left w:val="none" w:sz="0" w:space="0" w:color="auto"/>
        <w:bottom w:val="none" w:sz="0" w:space="0" w:color="auto"/>
        <w:right w:val="none" w:sz="0" w:space="0" w:color="auto"/>
      </w:divBdr>
    </w:div>
    <w:div w:id="1804497376">
      <w:marLeft w:val="0"/>
      <w:marRight w:val="0"/>
      <w:marTop w:val="0"/>
      <w:marBottom w:val="0"/>
      <w:divBdr>
        <w:top w:val="none" w:sz="0" w:space="0" w:color="auto"/>
        <w:left w:val="none" w:sz="0" w:space="0" w:color="auto"/>
        <w:bottom w:val="none" w:sz="0" w:space="0" w:color="auto"/>
        <w:right w:val="none" w:sz="0" w:space="0" w:color="auto"/>
      </w:divBdr>
    </w:div>
    <w:div w:id="1816141682">
      <w:marLeft w:val="0"/>
      <w:marRight w:val="0"/>
      <w:marTop w:val="0"/>
      <w:marBottom w:val="0"/>
      <w:divBdr>
        <w:top w:val="none" w:sz="0" w:space="0" w:color="auto"/>
        <w:left w:val="none" w:sz="0" w:space="0" w:color="auto"/>
        <w:bottom w:val="none" w:sz="0" w:space="0" w:color="auto"/>
        <w:right w:val="none" w:sz="0" w:space="0" w:color="auto"/>
      </w:divBdr>
    </w:div>
    <w:div w:id="1940722949">
      <w:marLeft w:val="0"/>
      <w:marRight w:val="0"/>
      <w:marTop w:val="0"/>
      <w:marBottom w:val="0"/>
      <w:divBdr>
        <w:top w:val="none" w:sz="0" w:space="0" w:color="auto"/>
        <w:left w:val="none" w:sz="0" w:space="0" w:color="auto"/>
        <w:bottom w:val="none" w:sz="0" w:space="0" w:color="auto"/>
        <w:right w:val="none" w:sz="0" w:space="0" w:color="auto"/>
      </w:divBdr>
    </w:div>
    <w:div w:id="2006736384">
      <w:marLeft w:val="0"/>
      <w:marRight w:val="0"/>
      <w:marTop w:val="0"/>
      <w:marBottom w:val="0"/>
      <w:divBdr>
        <w:top w:val="none" w:sz="0" w:space="0" w:color="auto"/>
        <w:left w:val="none" w:sz="0" w:space="0" w:color="auto"/>
        <w:bottom w:val="none" w:sz="0" w:space="0" w:color="auto"/>
        <w:right w:val="none" w:sz="0" w:space="0" w:color="auto"/>
      </w:divBdr>
    </w:div>
    <w:div w:id="207843145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3692</Words>
  <Characters>20307</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User_Gigabyte</dc:creator>
  <cp:keywords/>
  <dc:description/>
  <cp:lastModifiedBy>User_Gigabyte</cp:lastModifiedBy>
  <cp:revision>2</cp:revision>
  <dcterms:created xsi:type="dcterms:W3CDTF">2017-11-29T20:21:00Z</dcterms:created>
  <dcterms:modified xsi:type="dcterms:W3CDTF">2017-11-29T20:21:00Z</dcterms:modified>
</cp:coreProperties>
</file>