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60987">
      <w:pPr>
        <w:pStyle w:val="NormalWeb"/>
        <w:rPr>
          <w:lang w:val="es-ES"/>
        </w:rPr>
      </w:pPr>
      <w:r>
        <w:rPr>
          <w:b/>
          <w:bCs/>
          <w:lang w:val="es-ES"/>
        </w:rPr>
        <w:t>Registro Oficial No. 103 , 19 de Octubre 2017</w:t>
      </w:r>
    </w:p>
    <w:p w:rsidR="00000000" w:rsidRDefault="00E60987">
      <w:pPr>
        <w:pStyle w:val="NormalWeb"/>
        <w:rPr>
          <w:lang w:val="es-ES"/>
        </w:rPr>
      </w:pPr>
      <w:r>
        <w:rPr>
          <w:b/>
          <w:bCs/>
          <w:lang w:val="es-ES"/>
        </w:rPr>
        <w:t>Normativa:</w:t>
      </w:r>
      <w:r>
        <w:rPr>
          <w:lang w:val="es-ES"/>
        </w:rPr>
        <w:t xml:space="preserve"> Vigente</w:t>
      </w:r>
    </w:p>
    <w:p w:rsidR="00000000" w:rsidRDefault="00E60987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</w:r>
      <w:bookmarkStart w:id="0" w:name="_GoBack"/>
      <w:bookmarkEnd w:id="0"/>
      <w:r>
        <w:rPr>
          <w:rFonts w:eastAsia="Times New Roman"/>
          <w:b/>
          <w:bCs/>
          <w:sz w:val="48"/>
          <w:szCs w:val="48"/>
          <w:lang w:val="es-ES"/>
        </w:rPr>
        <w:t>ORDENANZA SUSTITUTIVA QUE REGULA LA AFERICIÓN DE PESAS Y MEDIDAS EN LOS MERCADOS, PLAZAS, TIENDAS Y COMERCIOS EN DONDE SE EXPENDAN PRODUCTOS AL POR MAYOR O MENOR DENTRO DEL CANTÓN LIMÓN INDANZA</w:t>
      </w:r>
    </w:p>
    <w:p w:rsidR="00000000" w:rsidRDefault="00E60987">
      <w:pPr>
        <w:jc w:val="center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(Ordenanza s/n)</w:t>
      </w:r>
    </w:p>
    <w:p w:rsidR="00000000" w:rsidRDefault="00E60987">
      <w:pPr>
        <w:divId w:val="1018964415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EL GOBIERNO AUTÓNOMO DESCENTRALIZADO MUNICIP</w:t>
      </w:r>
      <w:r>
        <w:rPr>
          <w:rFonts w:eastAsia="Times New Roman"/>
          <w:sz w:val="30"/>
          <w:szCs w:val="30"/>
          <w:lang w:val="es-ES"/>
        </w:rPr>
        <w:t>AL DEL CANTÓN LIMÓN INDANZA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Considerando: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Que, el artículo 54 del Código Orgánico de Organización Territorial, Autonomía y Descentralización, determina las funciones de los Gobiernos Autónomos Descentralizados Municipales y en su literal 1), determina : </w:t>
      </w:r>
      <w:r>
        <w:rPr>
          <w:rFonts w:eastAsia="Times New Roman"/>
          <w:sz w:val="30"/>
          <w:szCs w:val="30"/>
          <w:lang w:val="es-ES"/>
        </w:rPr>
        <w:t>“Prestar servicios que satisfagan necesidades colectivas respecto de los que no existan una explícita reserva legal a favor de otros niveles de gobierno , así como la elaboración, manejo y expendio de víveres”.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el Art. 57 literal c) del Código Orgáni</w:t>
      </w:r>
      <w:r>
        <w:rPr>
          <w:rFonts w:eastAsia="Times New Roman"/>
          <w:sz w:val="30"/>
          <w:szCs w:val="30"/>
          <w:lang w:val="es-ES"/>
        </w:rPr>
        <w:t>co de Organización, Territorial, Autonomía y Descentralización dentro de sus atribuciones faculta al Gobierno Autónomo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Descentralizado Municipal “Crear, modificar, exonerar o suprimir </w:t>
      </w:r>
      <w:r>
        <w:rPr>
          <w:rFonts w:eastAsia="Times New Roman"/>
          <w:sz w:val="30"/>
          <w:szCs w:val="30"/>
          <w:lang w:val="es-ES"/>
        </w:rPr>
        <w:lastRenderedPageBreak/>
        <w:t>mediante ordenanzas, tasas, tarifas y contribuciones especiales por los</w:t>
      </w:r>
      <w:r>
        <w:rPr>
          <w:rFonts w:eastAsia="Times New Roman"/>
          <w:sz w:val="30"/>
          <w:szCs w:val="30"/>
          <w:lang w:val="es-ES"/>
        </w:rPr>
        <w:t xml:space="preserve"> servicios que presta y obras que ejecute”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el artículo 489 del Código Orgánico de Organización Territorial, Autonomía y Descentralización indica: Son fuentes de la obligación tributaria municipal o metropolitana, el contenido en el literal c): Las or</w:t>
      </w:r>
      <w:r>
        <w:rPr>
          <w:rFonts w:eastAsia="Times New Roman"/>
          <w:sz w:val="30"/>
          <w:szCs w:val="30"/>
          <w:lang w:val="es-ES"/>
        </w:rPr>
        <w:t>denanzas que dicten las municipalidades o distritos metropolitanos en uso de la facultad conferida por la Ley.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el artículo 568, inciso primero del COOTAD, instituye sobre los servicios sujetos a tasas: Las tasas serán reguladas mediante ordenanzas cu</w:t>
      </w:r>
      <w:r>
        <w:rPr>
          <w:rFonts w:eastAsia="Times New Roman"/>
          <w:sz w:val="30"/>
          <w:szCs w:val="30"/>
          <w:lang w:val="es-ES"/>
        </w:rPr>
        <w:t>ya iniciativa es privativa del alcalde municipal o metropolitano, tramitada y aprobada por el respectivo concejo para la prestación del servicio contenido en éste artículo en su literal b) Rastro.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el artículo 4, numeral 5 de la Ley Orgánica de Defens</w:t>
      </w:r>
      <w:r>
        <w:rPr>
          <w:rFonts w:eastAsia="Times New Roman"/>
          <w:sz w:val="30"/>
          <w:szCs w:val="30"/>
          <w:lang w:val="es-ES"/>
        </w:rPr>
        <w:t>a al Consumidor manifiesta: Son derechos fundamentales del consumidor, a más de los establecidos en la Constitución Política de la República, tratados o convenios internacionales, legislación interna, principios generales del derecho y costumbre mercantil,</w:t>
      </w:r>
      <w:r>
        <w:rPr>
          <w:rFonts w:eastAsia="Times New Roman"/>
          <w:sz w:val="30"/>
          <w:szCs w:val="30"/>
          <w:lang w:val="es-ES"/>
        </w:rPr>
        <w:t xml:space="preserve"> los siguientes: numeral 5. Derecho a un trato transparente, equitativo y no discriminatorio o abusivo por parte de los proveedores de bienes o servicios, especialmente en lo referido a las condiciones óptimas de calidad, cantidad, precio, peso y medida;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t>Que, es deber de la Municipalidad velar por el bienestar de sus habitantes, dictando ordenanzas tendientes a evitar que el consumidor sea perjudicado en su economía.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En uso de sus facultades y atribuciones que le confiere el Código Orgánico de Organizació</w:t>
      </w:r>
      <w:r>
        <w:rPr>
          <w:rFonts w:eastAsia="Times New Roman"/>
          <w:sz w:val="30"/>
          <w:szCs w:val="30"/>
          <w:lang w:val="es-ES"/>
        </w:rPr>
        <w:t>n Territorial, Autonomía y Descentralización (COOTAD), el Concejo del Gobierno Autónomo Descentralizado Municipal de Limón Indanza.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Expide: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LA ORDENANZA SUSTITUTIVA QUE REGULA LA AFERICIÓN DE PESAS Y MEDIDAS EN LOS MERCADOS, PLAZAS, TIENDAS Y COMERCIOS E</w:t>
      </w:r>
      <w:r>
        <w:rPr>
          <w:rFonts w:eastAsia="Times New Roman"/>
          <w:sz w:val="30"/>
          <w:szCs w:val="30"/>
          <w:lang w:val="es-ES"/>
        </w:rPr>
        <w:t xml:space="preserve">N DONDE SE EXPENDAN </w:t>
      </w:r>
      <w:r>
        <w:rPr>
          <w:rFonts w:eastAsia="Times New Roman"/>
          <w:sz w:val="30"/>
          <w:szCs w:val="30"/>
          <w:lang w:val="es-ES"/>
        </w:rPr>
        <w:lastRenderedPageBreak/>
        <w:t>PRODUCTOS AL POR MAYOR O MENOR DENTRO DEL CANTÓN LIMÓN INDANZA</w:t>
      </w:r>
    </w:p>
    <w:p w:rsidR="00000000" w:rsidRDefault="00E60987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</w:t>
      </w:r>
      <w:r>
        <w:rPr>
          <w:rFonts w:eastAsia="Times New Roman"/>
          <w:b/>
          <w:bCs/>
          <w:sz w:val="36"/>
          <w:szCs w:val="36"/>
          <w:lang w:val="es-ES"/>
        </w:rPr>
        <w:br/>
        <w:t>DE LAS PESAS Y MEDIDAS</w:t>
      </w:r>
    </w:p>
    <w:p w:rsidR="00000000" w:rsidRDefault="00E60987">
      <w:pPr>
        <w:divId w:val="594292575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1.-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Del registro.- </w:t>
      </w:r>
      <w:r>
        <w:rPr>
          <w:rFonts w:eastAsia="Times New Roman"/>
          <w:sz w:val="30"/>
          <w:szCs w:val="30"/>
          <w:lang w:val="es-ES"/>
        </w:rPr>
        <w:t xml:space="preserve">Todos los expendedores de artículos sean éstos industriales, comerciales, artesanales o agropecuarios que para su </w:t>
      </w:r>
      <w:r>
        <w:rPr>
          <w:rFonts w:eastAsia="Times New Roman"/>
          <w:sz w:val="30"/>
          <w:szCs w:val="30"/>
          <w:lang w:val="es-ES"/>
        </w:rPr>
        <w:t>comercialización necesitan cualquier tipo de pesas y medidas, se sujetarán a las condiciones de la unidad del Sistema Internacional (S. I.) de Pesas y Medidas, aprobadas por el INEN (Instituto Ecuatoriano de Normalización), las mismas que serán registradas</w:t>
      </w:r>
      <w:r>
        <w:rPr>
          <w:rFonts w:eastAsia="Times New Roman"/>
          <w:sz w:val="30"/>
          <w:szCs w:val="30"/>
          <w:lang w:val="es-ES"/>
        </w:rPr>
        <w:t xml:space="preserve"> hasta el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31 de enero </w:t>
      </w:r>
      <w:r>
        <w:rPr>
          <w:rFonts w:eastAsia="Times New Roman"/>
          <w:sz w:val="30"/>
          <w:szCs w:val="30"/>
          <w:lang w:val="es-ES"/>
        </w:rPr>
        <w:t xml:space="preserve">de cada año en la oficina de la Comisaría Municipal, previo el pago del </w:t>
      </w:r>
      <w:r>
        <w:rPr>
          <w:rFonts w:eastAsia="Times New Roman"/>
          <w:b/>
          <w:bCs/>
          <w:sz w:val="30"/>
          <w:szCs w:val="30"/>
          <w:lang w:val="es-ES"/>
        </w:rPr>
        <w:t>1 %</w:t>
      </w:r>
      <w:r>
        <w:rPr>
          <w:rFonts w:eastAsia="Times New Roman"/>
          <w:sz w:val="30"/>
          <w:szCs w:val="30"/>
          <w:lang w:val="es-ES"/>
        </w:rPr>
        <w:t xml:space="preserve"> de un salario básico unificado de un trabajador en general, para lo cual se mantendrá un control permanente.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En el registro incluirá la determinación de la m</w:t>
      </w:r>
      <w:r>
        <w:rPr>
          <w:rFonts w:eastAsia="Times New Roman"/>
          <w:sz w:val="30"/>
          <w:szCs w:val="30"/>
          <w:lang w:val="es-ES"/>
        </w:rPr>
        <w:t>arca, número de serie de la balanza o medida, nombre de la persona, cédula de ciudadanía, dirección y nombre del establecimiento, número telefónico y características que se podrán considerar para su individualización e identificación.</w:t>
      </w:r>
    </w:p>
    <w:p w:rsidR="00000000" w:rsidRDefault="00E60987">
      <w:pPr>
        <w:divId w:val="1642494264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2.- </w:t>
      </w:r>
      <w:r>
        <w:rPr>
          <w:rFonts w:eastAsia="Times New Roman"/>
          <w:b/>
          <w:bCs/>
          <w:sz w:val="30"/>
          <w:szCs w:val="30"/>
          <w:lang w:val="es-ES"/>
        </w:rPr>
        <w:t>Renovación d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e Registro.- </w:t>
      </w:r>
      <w:r>
        <w:rPr>
          <w:rFonts w:eastAsia="Times New Roman"/>
          <w:sz w:val="30"/>
          <w:szCs w:val="30"/>
          <w:lang w:val="es-ES"/>
        </w:rPr>
        <w:t>Es obligación de los propietarios de tiendas de abarrotes, ferreterías, almacenes de insumos, trabajadores autónomos y otros similares que expendan productos al peso en el Cantón Limón Indanza, renovar anualmente el registro de sus pesas y med</w:t>
      </w:r>
      <w:r>
        <w:rPr>
          <w:rFonts w:eastAsia="Times New Roman"/>
          <w:sz w:val="30"/>
          <w:szCs w:val="30"/>
          <w:lang w:val="es-ES"/>
        </w:rPr>
        <w:t>idas.</w:t>
      </w:r>
    </w:p>
    <w:p w:rsidR="00000000" w:rsidRDefault="00E60987">
      <w:pPr>
        <w:divId w:val="125901701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3.-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De las inscripciones.- </w:t>
      </w:r>
      <w:r>
        <w:rPr>
          <w:rFonts w:eastAsia="Times New Roman"/>
          <w:sz w:val="30"/>
          <w:szCs w:val="30"/>
          <w:lang w:val="es-ES"/>
        </w:rPr>
        <w:t xml:space="preserve">Las inscripciones se harán hasta el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31 de enero </w:t>
      </w:r>
      <w:r>
        <w:rPr>
          <w:rFonts w:eastAsia="Times New Roman"/>
          <w:sz w:val="30"/>
          <w:szCs w:val="30"/>
          <w:lang w:val="es-ES"/>
        </w:rPr>
        <w:t xml:space="preserve">de cada año; los expendedores que inicien sus actividades comerciales después de éste tiempo, dicho registro se hará en el lapso improrrogable de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30 días </w:t>
      </w:r>
      <w:r>
        <w:rPr>
          <w:rFonts w:eastAsia="Times New Roman"/>
          <w:sz w:val="30"/>
          <w:szCs w:val="30"/>
          <w:lang w:val="es-ES"/>
        </w:rPr>
        <w:t>después de haber</w:t>
      </w:r>
      <w:r>
        <w:rPr>
          <w:rFonts w:eastAsia="Times New Roman"/>
          <w:sz w:val="30"/>
          <w:szCs w:val="30"/>
          <w:lang w:val="es-ES"/>
        </w:rPr>
        <w:t xml:space="preserve"> iniciado sus negocios; de no haberse inscrito en el tiempo establecido, serán sancionados de conformidad a lo dispuesto en el capítulo de las infracciones y sanciones.</w:t>
      </w:r>
    </w:p>
    <w:p w:rsidR="00000000" w:rsidRDefault="00E60987">
      <w:pPr>
        <w:divId w:val="1371296308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4.-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De la supervisión de pesas y medidas.- </w:t>
      </w:r>
      <w:r>
        <w:rPr>
          <w:rFonts w:eastAsia="Times New Roman"/>
          <w:sz w:val="30"/>
          <w:szCs w:val="30"/>
          <w:lang w:val="es-ES"/>
        </w:rPr>
        <w:t>El Comisario Municipal, de oficio reali</w:t>
      </w:r>
      <w:r>
        <w:rPr>
          <w:rFonts w:eastAsia="Times New Roman"/>
          <w:sz w:val="30"/>
          <w:szCs w:val="30"/>
          <w:lang w:val="es-ES"/>
        </w:rPr>
        <w:t>zará periódicamente revisiones de las pesas y medidas que se están utilizando en el cantón Limón Indanza a fin de controlar el correcto funcionamiento.</w:t>
      </w:r>
    </w:p>
    <w:p w:rsidR="00000000" w:rsidRDefault="00E60987">
      <w:pPr>
        <w:divId w:val="1051879243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5.- </w:t>
      </w:r>
      <w:r>
        <w:rPr>
          <w:rFonts w:eastAsia="Times New Roman"/>
          <w:b/>
          <w:bCs/>
          <w:sz w:val="30"/>
          <w:szCs w:val="30"/>
          <w:lang w:val="es-ES"/>
        </w:rPr>
        <w:t>De la exhibición de precios, pesos y medidas.</w:t>
      </w:r>
      <w:r>
        <w:rPr>
          <w:rFonts w:eastAsia="Times New Roman"/>
          <w:sz w:val="30"/>
          <w:szCs w:val="30"/>
          <w:lang w:val="es-ES"/>
        </w:rPr>
        <w:t>- Todos los locales comerciales que expendan produ</w:t>
      </w:r>
      <w:r>
        <w:rPr>
          <w:rFonts w:eastAsia="Times New Roman"/>
          <w:sz w:val="30"/>
          <w:szCs w:val="30"/>
          <w:lang w:val="es-ES"/>
        </w:rPr>
        <w:t xml:space="preserve">ctos tanto al por mayor o por menor, tienen la obligación de exhibir en un lugar visible la lista de </w:t>
      </w:r>
      <w:r>
        <w:rPr>
          <w:rFonts w:eastAsia="Times New Roman"/>
          <w:sz w:val="30"/>
          <w:szCs w:val="30"/>
          <w:lang w:val="es-ES"/>
        </w:rPr>
        <w:lastRenderedPageBreak/>
        <w:t>productos con sus respectivos precios, pesos y medidas de acuerdo a su naturaleza. Además del precio total del bien, deberá incluirse en los casos en que l</w:t>
      </w:r>
      <w:r>
        <w:rPr>
          <w:rFonts w:eastAsia="Times New Roman"/>
          <w:sz w:val="30"/>
          <w:szCs w:val="30"/>
          <w:lang w:val="es-ES"/>
        </w:rPr>
        <w:t>a naturaleza del producto lo permita, el precio unitario expresado en medidas de peso y/o volumen.</w:t>
      </w:r>
    </w:p>
    <w:p w:rsidR="00000000" w:rsidRDefault="00E60987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</w:t>
      </w:r>
      <w:r>
        <w:rPr>
          <w:rFonts w:eastAsia="Times New Roman"/>
          <w:b/>
          <w:bCs/>
          <w:sz w:val="36"/>
          <w:szCs w:val="36"/>
          <w:lang w:val="es-ES"/>
        </w:rPr>
        <w:br/>
        <w:t>DE LAS PROHIBICIONES, INFRACCIONES Y SANCIONES</w:t>
      </w:r>
    </w:p>
    <w:p w:rsidR="00000000" w:rsidRDefault="00E60987">
      <w:pPr>
        <w:divId w:val="1452553217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6.- </w:t>
      </w:r>
      <w:r>
        <w:rPr>
          <w:rFonts w:eastAsia="Times New Roman"/>
          <w:b/>
          <w:bCs/>
          <w:sz w:val="30"/>
          <w:szCs w:val="30"/>
          <w:lang w:val="es-ES"/>
        </w:rPr>
        <w:t>Infracciones y</w:t>
      </w:r>
      <w:r>
        <w:rPr>
          <w:rFonts w:eastAsia="Times New Roman"/>
          <w:sz w:val="30"/>
          <w:szCs w:val="30"/>
          <w:lang w:val="es-ES"/>
        </w:rPr>
        <w:t xml:space="preserve">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Sanciones.- </w:t>
      </w:r>
      <w:r>
        <w:rPr>
          <w:rFonts w:eastAsia="Times New Roman"/>
          <w:sz w:val="30"/>
          <w:szCs w:val="30"/>
          <w:lang w:val="es-ES"/>
        </w:rPr>
        <w:t>El Comisario Municipal es la Autoridad Competente para actuar</w:t>
      </w:r>
      <w:r>
        <w:rPr>
          <w:rFonts w:eastAsia="Times New Roman"/>
          <w:sz w:val="30"/>
          <w:szCs w:val="30"/>
          <w:lang w:val="es-ES"/>
        </w:rPr>
        <w:t xml:space="preserve"> y sancionar las infracciones señaladas en la presente ordenanza.</w:t>
      </w:r>
    </w:p>
    <w:p w:rsidR="00000000" w:rsidRDefault="00E60987">
      <w:pPr>
        <w:divId w:val="590353102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7.-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Lugar de Expendio.- </w:t>
      </w:r>
      <w:r>
        <w:rPr>
          <w:rFonts w:eastAsia="Times New Roman"/>
          <w:sz w:val="30"/>
          <w:szCs w:val="30"/>
          <w:lang w:val="es-ES"/>
        </w:rPr>
        <w:t>Se prohíbe el pesaje de queso y quesillo en los domicilios o en lugares no establecidos para el comercio al por mayor; esta comercialización se la hará únicament</w:t>
      </w:r>
      <w:r>
        <w:rPr>
          <w:rFonts w:eastAsia="Times New Roman"/>
          <w:sz w:val="30"/>
          <w:szCs w:val="30"/>
          <w:lang w:val="es-ES"/>
        </w:rPr>
        <w:t>e en el lugar establecido por la Autoridad competente.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La inobservancia será sancionada con un multa equivalente al 5% de un salario básico unificado de un trabajador en general. La reincidencia se sancionará con el doble de la multa interpuesta y de pers</w:t>
      </w:r>
      <w:r>
        <w:rPr>
          <w:rFonts w:eastAsia="Times New Roman"/>
          <w:sz w:val="30"/>
          <w:szCs w:val="30"/>
          <w:lang w:val="es-ES"/>
        </w:rPr>
        <w:t>istir la inobservancia al enunciado en este artículo, la sanción será del 50% del salario básico unificado del trabajador en general.</w:t>
      </w:r>
    </w:p>
    <w:p w:rsidR="00000000" w:rsidRDefault="00E60987">
      <w:pPr>
        <w:divId w:val="1804696293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8.-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De la Falta de Inscripción.- </w:t>
      </w:r>
      <w:r>
        <w:rPr>
          <w:rFonts w:eastAsia="Times New Roman"/>
          <w:sz w:val="30"/>
          <w:szCs w:val="30"/>
          <w:lang w:val="es-ES"/>
        </w:rPr>
        <w:t xml:space="preserve">Se sancionará con el 5 % de un salario básico unificado de un trabajador en general </w:t>
      </w:r>
      <w:r>
        <w:rPr>
          <w:rFonts w:eastAsia="Times New Roman"/>
          <w:sz w:val="30"/>
          <w:szCs w:val="30"/>
          <w:lang w:val="es-ES"/>
        </w:rPr>
        <w:t>a quién infrinja lo dispuesto en el artículo 3 de la presente ordenanza.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La reincidencia a lo dispuesto en éste artículo se sancionará con el doble de la sanción impuesta anteriormente o sea el 10% del salario básico unificado del trabajador en general; y</w:t>
      </w:r>
      <w:r>
        <w:rPr>
          <w:rFonts w:eastAsia="Times New Roman"/>
          <w:sz w:val="30"/>
          <w:szCs w:val="30"/>
          <w:lang w:val="es-ES"/>
        </w:rPr>
        <w:t xml:space="preserve"> si incurre en esta falta por tercera ocasión con el 20% del salario básico unificado del trabajador en general y el retiro de la balanza.</w:t>
      </w:r>
    </w:p>
    <w:p w:rsidR="00000000" w:rsidRDefault="00E60987">
      <w:pPr>
        <w:divId w:val="1609047446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9.-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Alteración de pesas y medidas.- </w:t>
      </w:r>
      <w:r>
        <w:rPr>
          <w:rFonts w:eastAsia="Times New Roman"/>
          <w:sz w:val="30"/>
          <w:szCs w:val="30"/>
          <w:lang w:val="es-ES"/>
        </w:rPr>
        <w:t>La alteración de las pesas y medidas comprobada por el funcionario Municipal</w:t>
      </w:r>
      <w:r>
        <w:rPr>
          <w:rFonts w:eastAsia="Times New Roman"/>
          <w:sz w:val="30"/>
          <w:szCs w:val="30"/>
          <w:lang w:val="es-ES"/>
        </w:rPr>
        <w:t xml:space="preserve"> ya sea por Denuncia o de Oficio, será sancionada con una multa del 10 % de un Salario Básico Unificado del trabajador en general, la reincidencia será sancionada con un 20% de un Salario Básico Unificado del trabajador en general, y en caso de una tercera</w:t>
      </w:r>
      <w:r>
        <w:rPr>
          <w:rFonts w:eastAsia="Times New Roman"/>
          <w:sz w:val="30"/>
          <w:szCs w:val="30"/>
          <w:lang w:val="es-ES"/>
        </w:rPr>
        <w:t xml:space="preserve"> infracción de la misma naturaleza, se sancionará con la multa del 50 %&gt; del salario básico unificado del trabajar en general y el retiro de la balanza.</w:t>
      </w:r>
    </w:p>
    <w:p w:rsidR="00000000" w:rsidRDefault="00E60987">
      <w:pPr>
        <w:divId w:val="74595824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lastRenderedPageBreak/>
        <w:t xml:space="preserve">Art. 10.-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Flagrancia.- </w:t>
      </w:r>
      <w:r>
        <w:rPr>
          <w:rFonts w:eastAsia="Times New Roman"/>
          <w:sz w:val="30"/>
          <w:szCs w:val="30"/>
          <w:lang w:val="es-ES"/>
        </w:rPr>
        <w:t xml:space="preserve">De encontrarse a los expendedores utilizando pesas y medidas que no cuenten con </w:t>
      </w:r>
      <w:r>
        <w:rPr>
          <w:rFonts w:eastAsia="Times New Roman"/>
          <w:sz w:val="30"/>
          <w:szCs w:val="30"/>
          <w:lang w:val="es-ES"/>
        </w:rPr>
        <w:t>registro por parte de la Comisaría Municipal, y que no cumplan con las medidas oficiales Sistema Internacional (S. I.) de Pesas y Medidas, aprobadas por el INEN (Instituto Ecuatoriano de Normalización), serán decomisadas y puestas a disposición de la autor</w:t>
      </w:r>
      <w:r>
        <w:rPr>
          <w:rFonts w:eastAsia="Times New Roman"/>
          <w:sz w:val="30"/>
          <w:szCs w:val="30"/>
          <w:lang w:val="es-ES"/>
        </w:rPr>
        <w:t>idad competente.</w:t>
      </w:r>
    </w:p>
    <w:p w:rsidR="00000000" w:rsidRDefault="00E60987">
      <w:pPr>
        <w:divId w:val="972323774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11.-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Incumplimiento a la exhibición de la lista de precios.- </w:t>
      </w:r>
      <w:r>
        <w:rPr>
          <w:rFonts w:eastAsia="Times New Roman"/>
          <w:sz w:val="30"/>
          <w:szCs w:val="30"/>
          <w:lang w:val="es-ES"/>
        </w:rPr>
        <w:t>El incumplimiento en la Exhibición de la lista de precios de los productos a comercializarse regulado en el Art. 5 de la presente ordenanza, será sancionado con el 10% del S</w:t>
      </w:r>
      <w:r>
        <w:rPr>
          <w:rFonts w:eastAsia="Times New Roman"/>
          <w:sz w:val="30"/>
          <w:szCs w:val="30"/>
          <w:lang w:val="es-ES"/>
        </w:rPr>
        <w:t>alario Básico Unificado del Trabajador en General, la reincidencia se sancionará con el doble de la sanción interpuesta anteriormente, y de existir una tercer infracción de la misma naturaleza se sancionará con una multa del 50% de un Salario Básico Unific</w:t>
      </w:r>
      <w:r>
        <w:rPr>
          <w:rFonts w:eastAsia="Times New Roman"/>
          <w:sz w:val="30"/>
          <w:szCs w:val="30"/>
          <w:lang w:val="es-ES"/>
        </w:rPr>
        <w:t>ado de un Trabajador en General.</w:t>
      </w:r>
    </w:p>
    <w:p w:rsidR="00000000" w:rsidRDefault="00E60987">
      <w:pPr>
        <w:divId w:val="1204633697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>Art. 12.-</w:t>
      </w:r>
      <w:r>
        <w:rPr>
          <w:rFonts w:eastAsia="Times New Roman"/>
          <w:sz w:val="30"/>
          <w:szCs w:val="30"/>
          <w:lang w:val="es-ES"/>
        </w:rPr>
        <w:t xml:space="preserve"> Si se cometiera irregularidades en el peso, con conocimiento del empleado encargado de la balanza municipal o en otras, este será sancionado de acuerdo al Código de Ética del GAD Municipal de Limón Indanza.</w:t>
      </w:r>
    </w:p>
    <w:p w:rsidR="00000000" w:rsidRDefault="00E60987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</w:t>
      </w:r>
      <w:r>
        <w:rPr>
          <w:rFonts w:eastAsia="Times New Roman"/>
          <w:b/>
          <w:bCs/>
          <w:sz w:val="36"/>
          <w:szCs w:val="36"/>
          <w:lang w:val="es-ES"/>
        </w:rPr>
        <w:t>ulo III</w:t>
      </w:r>
      <w:r>
        <w:rPr>
          <w:rFonts w:eastAsia="Times New Roman"/>
          <w:b/>
          <w:bCs/>
          <w:sz w:val="36"/>
          <w:szCs w:val="36"/>
          <w:lang w:val="es-ES"/>
        </w:rPr>
        <w:br/>
        <w:t>TARIFAS POR PESAJE</w:t>
      </w:r>
    </w:p>
    <w:p w:rsidR="00000000" w:rsidRDefault="00E60987">
      <w:pPr>
        <w:divId w:val="1850410586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13.-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Servicio de Pesaje.- </w:t>
      </w:r>
      <w:r>
        <w:rPr>
          <w:rFonts w:eastAsia="Times New Roman"/>
          <w:sz w:val="30"/>
          <w:szCs w:val="30"/>
          <w:lang w:val="es-ES"/>
        </w:rPr>
        <w:t>El GAD Municipal con el afán de evitar la especulación por parte de los comerciantes mayoristas, a los productores de queso y quesillo, pondrá a disposición el personal y una balanza los días sábado</w:t>
      </w:r>
      <w:r>
        <w:rPr>
          <w:rFonts w:eastAsia="Times New Roman"/>
          <w:sz w:val="30"/>
          <w:szCs w:val="30"/>
          <w:lang w:val="es-ES"/>
        </w:rPr>
        <w:t>s y domingos, para el pesaje de estos productos, y por éste servicio el usuario pagará una tarifa de acuerdo al siguiente cuadro:</w:t>
      </w:r>
    </w:p>
    <w:p w:rsidR="00000000" w:rsidRDefault="00E60987">
      <w:pPr>
        <w:rPr>
          <w:rFonts w:eastAsia="Times New Roman"/>
          <w:sz w:val="30"/>
          <w:szCs w:val="30"/>
          <w:lang w:val="es-ES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450"/>
        <w:gridCol w:w="357"/>
        <w:gridCol w:w="1004"/>
        <w:gridCol w:w="2265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• 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50 Lb.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0.25 centavos de dólar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• 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100 Lb.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0.50 centavos de dólar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• 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200 Lb.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1.00 centavos de dólar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• 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300 Lb.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1.50 centavos de dólar</w:t>
            </w:r>
          </w:p>
        </w:tc>
      </w:tr>
    </w:tbl>
    <w:p w:rsidR="00000000" w:rsidRDefault="00E60987">
      <w:pPr>
        <w:divId w:val="74133691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Con el objeto de facilitar las transacciones en las ferias y mercados, el Gobierno Autónomo Descentralizado Municipal de Limón Indanza, pondrá a disposición del público, balanzas, la mis</w:t>
      </w:r>
      <w:r>
        <w:rPr>
          <w:rFonts w:eastAsia="Times New Roman"/>
          <w:sz w:val="30"/>
          <w:szCs w:val="30"/>
          <w:lang w:val="es-ES"/>
        </w:rPr>
        <w:t>ma que servirá para verificar el peso correcto de los productos que se expenden al por menor.</w:t>
      </w:r>
    </w:p>
    <w:p w:rsidR="00000000" w:rsidRDefault="00E60987">
      <w:pPr>
        <w:divId w:val="296763726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14.-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Del horario de pesaje.-</w:t>
      </w:r>
    </w:p>
    <w:p w:rsidR="00000000" w:rsidRDefault="00E60987">
      <w:pPr>
        <w:rPr>
          <w:rFonts w:eastAsia="Times New Roman"/>
          <w:sz w:val="30"/>
          <w:szCs w:val="30"/>
          <w:lang w:val="es-ES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317"/>
        <w:gridCol w:w="744"/>
        <w:gridCol w:w="197"/>
        <w:gridCol w:w="759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• Sábados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15H00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18H00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• Domingos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08H30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09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12H30</w:t>
            </w:r>
          </w:p>
        </w:tc>
      </w:tr>
    </w:tbl>
    <w:p w:rsidR="00000000" w:rsidRDefault="00E60987">
      <w:pPr>
        <w:divId w:val="1608193860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15.-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De la recaudación.- </w:t>
      </w:r>
      <w:r>
        <w:rPr>
          <w:rFonts w:eastAsia="Times New Roman"/>
          <w:sz w:val="30"/>
          <w:szCs w:val="30"/>
          <w:lang w:val="es-ES"/>
        </w:rPr>
        <w:t>La tasa por aferición de pesas y medidas se recaudará mediante la emisión de las respectivas especies valoradas y el valor de las multas establecidas en la presente Ordenanza, serán pagadas en la Tesorería Municipal, y/o en caso de negativa del pago la Ent</w:t>
      </w:r>
      <w:r>
        <w:rPr>
          <w:rFonts w:eastAsia="Times New Roman"/>
          <w:sz w:val="30"/>
          <w:szCs w:val="30"/>
          <w:lang w:val="es-ES"/>
        </w:rPr>
        <w:t>idad recaudará mediante el proceso de coactiva.</w:t>
      </w:r>
    </w:p>
    <w:p w:rsidR="00000000" w:rsidRDefault="00E60987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IV</w:t>
      </w:r>
      <w:r>
        <w:rPr>
          <w:rFonts w:eastAsia="Times New Roman"/>
          <w:b/>
          <w:bCs/>
          <w:sz w:val="36"/>
          <w:szCs w:val="36"/>
          <w:lang w:val="es-ES"/>
        </w:rPr>
        <w:br/>
        <w:t>JURISDICCIÓN, COMPETENCIA, Y PROCEDIMIENTO.</w:t>
      </w:r>
    </w:p>
    <w:p w:rsidR="00000000" w:rsidRDefault="00E60987">
      <w:pPr>
        <w:divId w:val="465128375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16.-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De la jurisdicción </w:t>
      </w:r>
      <w:r>
        <w:rPr>
          <w:rFonts w:eastAsia="Times New Roman"/>
          <w:sz w:val="30"/>
          <w:szCs w:val="30"/>
          <w:lang w:val="es-ES"/>
        </w:rPr>
        <w:t xml:space="preserve">y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competencia.- </w:t>
      </w:r>
      <w:r>
        <w:rPr>
          <w:rFonts w:eastAsia="Times New Roman"/>
          <w:sz w:val="30"/>
          <w:szCs w:val="30"/>
          <w:lang w:val="es-ES"/>
        </w:rPr>
        <w:t>La jurisdicción y competencia administrativa, para ejercer su control, nace del COOTAD y de esta Ordenanza.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Tienen jurisdicción para conocer, juzgar e imponer las sanciones previstas en esta Ley y demás normas vigentes, las siguientes autoridades: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a) El </w:t>
      </w:r>
      <w:r>
        <w:rPr>
          <w:rFonts w:eastAsia="Times New Roman"/>
          <w:sz w:val="30"/>
          <w:szCs w:val="30"/>
          <w:lang w:val="es-ES"/>
        </w:rPr>
        <w:t>Alcalde;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b) El Comisario Municipal.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El Alcalde y el Comisario Municipal, tienen competencia en todo el territorio cantonal.</w:t>
      </w:r>
    </w:p>
    <w:p w:rsidR="00000000" w:rsidRDefault="00E60987">
      <w:pPr>
        <w:divId w:val="1105073955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17.- </w:t>
      </w:r>
      <w:r>
        <w:rPr>
          <w:rFonts w:eastAsia="Times New Roman"/>
          <w:b/>
          <w:bCs/>
          <w:sz w:val="30"/>
          <w:szCs w:val="30"/>
          <w:lang w:val="es-ES"/>
        </w:rPr>
        <w:t>Apoyo.-</w:t>
      </w:r>
      <w:r>
        <w:rPr>
          <w:rFonts w:eastAsia="Times New Roman"/>
          <w:sz w:val="30"/>
          <w:szCs w:val="30"/>
          <w:lang w:val="es-ES"/>
        </w:rPr>
        <w:t xml:space="preserve"> Las autoridades municipales coordinarán con el Ministerio del Interior para hacer cumplir las disposiciones d</w:t>
      </w:r>
      <w:r>
        <w:rPr>
          <w:rFonts w:eastAsia="Times New Roman"/>
          <w:sz w:val="30"/>
          <w:szCs w:val="30"/>
          <w:lang w:val="es-ES"/>
        </w:rPr>
        <w:t>e esta ordenanza, cuando se requiera su intervención.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DEL PROCEDIMIENTO</w:t>
      </w:r>
    </w:p>
    <w:p w:rsidR="00000000" w:rsidRDefault="00E60987">
      <w:pPr>
        <w:divId w:val="812409212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18.-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De las Denuncias.- </w:t>
      </w:r>
      <w:r>
        <w:rPr>
          <w:rFonts w:eastAsia="Times New Roman"/>
          <w:sz w:val="30"/>
          <w:szCs w:val="30"/>
          <w:lang w:val="es-ES"/>
        </w:rPr>
        <w:t>Las autoridades municipales competentes para conocer las infracciones a la presente ordenanza, actuarán de oficio, por denuncia escrita o informe para con</w:t>
      </w:r>
      <w:r>
        <w:rPr>
          <w:rFonts w:eastAsia="Times New Roman"/>
          <w:sz w:val="30"/>
          <w:szCs w:val="30"/>
          <w:lang w:val="es-ES"/>
        </w:rPr>
        <w:t>ocer y sancionar las infracciones señaladas en esta Ley. Las denuncias se presentarán en forma verbal o por escrito.</w:t>
      </w:r>
    </w:p>
    <w:p w:rsidR="00000000" w:rsidRDefault="00E60987">
      <w:pPr>
        <w:divId w:val="24603969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19.-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Obligación de cumplimiento.- </w:t>
      </w:r>
      <w:r>
        <w:rPr>
          <w:rFonts w:eastAsia="Times New Roman"/>
          <w:sz w:val="30"/>
          <w:szCs w:val="30"/>
          <w:lang w:val="es-ES"/>
        </w:rPr>
        <w:t xml:space="preserve">Las autoridades municipales señaladas en el artículo 16, que no cumplieren adecuadamente su </w:t>
      </w:r>
      <w:r>
        <w:rPr>
          <w:rFonts w:eastAsia="Times New Roman"/>
          <w:sz w:val="30"/>
          <w:szCs w:val="30"/>
          <w:lang w:val="es-ES"/>
        </w:rPr>
        <w:lastRenderedPageBreak/>
        <w:t>obligaci</w:t>
      </w:r>
      <w:r>
        <w:rPr>
          <w:rFonts w:eastAsia="Times New Roman"/>
          <w:sz w:val="30"/>
          <w:szCs w:val="30"/>
          <w:lang w:val="es-ES"/>
        </w:rPr>
        <w:t>ón de conocer, juzgar e imponer las sanciones previstas en esta ordenanza, serán sancionadas de conformidad con las normas atinentes a la materia, sin perjuicio de las acciones administrativas, civiles y penales a que hubiere lugar.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Se concede acción públ</w:t>
      </w:r>
      <w:r>
        <w:rPr>
          <w:rFonts w:eastAsia="Times New Roman"/>
          <w:sz w:val="30"/>
          <w:szCs w:val="30"/>
          <w:lang w:val="es-ES"/>
        </w:rPr>
        <w:t>ica para denunciar cualquier infracción a las disposiciones de la presente ordenanza.</w:t>
      </w:r>
    </w:p>
    <w:p w:rsidR="00000000" w:rsidRDefault="00E60987">
      <w:pPr>
        <w:divId w:val="1881016744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20.-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Proceso.- </w:t>
      </w:r>
      <w:r>
        <w:rPr>
          <w:rFonts w:eastAsia="Times New Roman"/>
          <w:sz w:val="30"/>
          <w:szCs w:val="30"/>
          <w:lang w:val="es-ES"/>
        </w:rPr>
        <w:t>Cuando se actúe de oficio o mediante informe o denuncia, la autoridad municipal correspondiente dictará un auto inicial que contendrá: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a) La relación</w:t>
      </w:r>
      <w:r>
        <w:rPr>
          <w:rFonts w:eastAsia="Times New Roman"/>
          <w:sz w:val="30"/>
          <w:szCs w:val="30"/>
          <w:lang w:val="es-ES"/>
        </w:rPr>
        <w:t xml:space="preserve"> sucinta de los hechos y del modo como llegaron a su conocimiento;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b) La orden de citar al presunto infractor, disponiendo que señale domicilio para entregar las notificaciones, bajo prevención de que será juzgado en rebeldía en caso de no comparecer;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c)</w:t>
      </w:r>
      <w:r>
        <w:rPr>
          <w:rFonts w:eastAsia="Times New Roman"/>
          <w:sz w:val="30"/>
          <w:szCs w:val="30"/>
          <w:lang w:val="es-ES"/>
        </w:rPr>
        <w:t xml:space="preserve"> La orden de agregar al expediente el informe o denuncia, si existieren, y de que se practiquen las diligencias que sean necesarias para comprobar la infracción;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d) El señalamiento del día y hora para que tenga lugar la audiencia de juzgamiento;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e) La</w:t>
      </w:r>
      <w:r>
        <w:rPr>
          <w:rFonts w:eastAsia="Times New Roman"/>
          <w:sz w:val="30"/>
          <w:szCs w:val="30"/>
          <w:lang w:val="es-ES"/>
        </w:rPr>
        <w:t xml:space="preserve"> designación del secretario que actuará en el proceso. Revisar Segunda Discusión.</w:t>
      </w:r>
    </w:p>
    <w:p w:rsidR="00000000" w:rsidRDefault="00E60987">
      <w:pPr>
        <w:divId w:val="1826897275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21.-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Conocimiento.- </w:t>
      </w:r>
      <w:r>
        <w:rPr>
          <w:rFonts w:eastAsia="Times New Roman"/>
          <w:sz w:val="30"/>
          <w:szCs w:val="30"/>
          <w:lang w:val="es-ES"/>
        </w:rPr>
        <w:t>Corresponde conocer y resolver las causas en primera instancia: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a) Al comisario municipal;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b) Al Alcalde en caso de existir apelación.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De no se</w:t>
      </w:r>
      <w:r>
        <w:rPr>
          <w:rFonts w:eastAsia="Times New Roman"/>
          <w:sz w:val="30"/>
          <w:szCs w:val="30"/>
          <w:lang w:val="es-ES"/>
        </w:rPr>
        <w:t>r competente la autoridad municipal se inhibirá de conocer la causa y la remitirá de oficio, a quien corresponda.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En caso de que la infracción tenga indicios de responsabilidad penal, el expediente se remitirá a la autoridad competente.</w:t>
      </w:r>
    </w:p>
    <w:p w:rsidR="00000000" w:rsidRDefault="00E60987">
      <w:pPr>
        <w:divId w:val="921141190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lastRenderedPageBreak/>
        <w:t>Art. 22.-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Citación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.- </w:t>
      </w:r>
      <w:r>
        <w:rPr>
          <w:rFonts w:eastAsia="Times New Roman"/>
          <w:sz w:val="30"/>
          <w:szCs w:val="30"/>
          <w:lang w:val="es-ES"/>
        </w:rPr>
        <w:t>La citación con el auto inicial, se hará personalmente al infractor, en su domicilio o lugar de trabajo; si no se le encontrare, se le citará mediante tres boletas dejadas en el domicilio o lugar de trabajo, en diferentes días, sentando la razón de la c</w:t>
      </w:r>
      <w:r>
        <w:rPr>
          <w:rFonts w:eastAsia="Times New Roman"/>
          <w:sz w:val="30"/>
          <w:szCs w:val="30"/>
          <w:lang w:val="es-ES"/>
        </w:rPr>
        <w:t>itación.</w:t>
      </w:r>
    </w:p>
    <w:p w:rsidR="00000000" w:rsidRDefault="00E60987">
      <w:pPr>
        <w:divId w:val="1868133453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23.-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Audiencia.- </w:t>
      </w:r>
      <w:r>
        <w:rPr>
          <w:rFonts w:eastAsia="Times New Roman"/>
          <w:sz w:val="30"/>
          <w:szCs w:val="30"/>
          <w:lang w:val="es-ES"/>
        </w:rPr>
        <w:t>En la audiencia de juzgamiento, se oirá al infractor, que intervendrá por sí o por medio de su abogado; se recibirán las pruebas que presente y se agregarán al proceso, de lo cual se dejará constancia en acta firmada por el c</w:t>
      </w:r>
      <w:r>
        <w:rPr>
          <w:rFonts w:eastAsia="Times New Roman"/>
          <w:sz w:val="30"/>
          <w:szCs w:val="30"/>
          <w:lang w:val="es-ES"/>
        </w:rPr>
        <w:t>ompareciente, la autoridad municipal correspondiente y el secretario.</w:t>
      </w:r>
    </w:p>
    <w:p w:rsidR="00000000" w:rsidRDefault="00E60987">
      <w:pPr>
        <w:divId w:val="1668971635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24.-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Prueba.- </w:t>
      </w:r>
      <w:r>
        <w:rPr>
          <w:rFonts w:eastAsia="Times New Roman"/>
          <w:sz w:val="30"/>
          <w:szCs w:val="30"/>
          <w:lang w:val="es-ES"/>
        </w:rPr>
        <w:t>De solicitarlo cualquiera de las partes o de oficio, en la misma diligencia, se abrirá la causa a prueba por el término de diez días, en la cual se practicarán todas l</w:t>
      </w:r>
      <w:r>
        <w:rPr>
          <w:rFonts w:eastAsia="Times New Roman"/>
          <w:sz w:val="30"/>
          <w:szCs w:val="30"/>
          <w:lang w:val="es-ES"/>
        </w:rPr>
        <w:t>as pruebas que se soliciten.</w:t>
      </w:r>
    </w:p>
    <w:p w:rsidR="00000000" w:rsidRDefault="00E60987">
      <w:pPr>
        <w:divId w:val="1908763462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25.-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Resolución.- </w:t>
      </w:r>
      <w:r>
        <w:rPr>
          <w:rFonts w:eastAsia="Times New Roman"/>
          <w:sz w:val="30"/>
          <w:szCs w:val="30"/>
          <w:lang w:val="es-ES"/>
        </w:rPr>
        <w:t>De no haberse solicitado que se abra la causa a prueba, la autoridad municipal correspondiente procederá a dictar la resolución en el término de cinco días.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Vencido el término de prueba y practicadas tod</w:t>
      </w:r>
      <w:r>
        <w:rPr>
          <w:rFonts w:eastAsia="Times New Roman"/>
          <w:sz w:val="30"/>
          <w:szCs w:val="30"/>
          <w:lang w:val="es-ES"/>
        </w:rPr>
        <w:t>as las diligencias oportunamente solicitadas y ordenadas, la autoridad municipal correspondiente dictará su resolución dentro del término de cinco días.</w:t>
      </w:r>
    </w:p>
    <w:p w:rsidR="00000000" w:rsidRDefault="00E60987">
      <w:pPr>
        <w:divId w:val="360136076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26.-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Apelaciones.- </w:t>
      </w:r>
      <w:r>
        <w:rPr>
          <w:rFonts w:eastAsia="Times New Roman"/>
          <w:sz w:val="30"/>
          <w:szCs w:val="30"/>
          <w:lang w:val="es-ES"/>
        </w:rPr>
        <w:t>De las resoluciones del comisario municipal, podrá apelarse ante el Alcalde; si</w:t>
      </w:r>
      <w:r>
        <w:rPr>
          <w:rFonts w:eastAsia="Times New Roman"/>
          <w:sz w:val="30"/>
          <w:szCs w:val="30"/>
          <w:lang w:val="es-ES"/>
        </w:rPr>
        <w:t>endo estas decisiones de segunda y definitiva instancia.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Las resoluciones podrán ser apeladas dentro del término de tres días luego de ser notificadas a las partes; la autoridad superior dentro del término de ocho días desde que avoca conocimiento deberá </w:t>
      </w:r>
      <w:r>
        <w:rPr>
          <w:rFonts w:eastAsia="Times New Roman"/>
          <w:sz w:val="30"/>
          <w:szCs w:val="30"/>
          <w:lang w:val="es-ES"/>
        </w:rPr>
        <w:t>dictar la correspondiente resolución.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Únicamente podrán apelarse las resoluciones de primera instancia, las de segunda instancia causarán ejecutoria.</w:t>
      </w:r>
    </w:p>
    <w:p w:rsidR="00000000" w:rsidRDefault="00E60987">
      <w:pPr>
        <w:divId w:val="1300958712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 xml:space="preserve">Art. 27.- 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Ejecución.- </w:t>
      </w:r>
      <w:r>
        <w:rPr>
          <w:rFonts w:eastAsia="Times New Roman"/>
          <w:sz w:val="30"/>
          <w:szCs w:val="30"/>
          <w:lang w:val="es-ES"/>
        </w:rPr>
        <w:t xml:space="preserve">Una vez que la resolución esté ejecutoriada, se emitirá la orden de pago, la misma </w:t>
      </w:r>
      <w:r>
        <w:rPr>
          <w:rFonts w:eastAsia="Times New Roman"/>
          <w:sz w:val="30"/>
          <w:szCs w:val="30"/>
          <w:lang w:val="es-ES"/>
        </w:rPr>
        <w:t>que de no ser pagada por el sujeto pasivo, será cobrada por la vía coactiva por el GAD Municipal de acuerdo a lo establecido en los artículos 1 y 157 del Código Tributario y a los artículos 340 y 344 del Código Orgánico de Organización Territorial, Autonom</w:t>
      </w:r>
      <w:r>
        <w:rPr>
          <w:rFonts w:eastAsia="Times New Roman"/>
          <w:sz w:val="30"/>
          <w:szCs w:val="30"/>
          <w:lang w:val="es-ES"/>
        </w:rPr>
        <w:t>ía y Descentralización, en el cual se le concede al Estado y a sus instituciones, acción y jurisdicción coactiva a nivel nacional.</w:t>
      </w:r>
    </w:p>
    <w:p w:rsidR="00000000" w:rsidRDefault="00E60987">
      <w:pPr>
        <w:divId w:val="2100711477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Art. 28.-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 Normas supletorias.- </w:t>
      </w:r>
      <w:r>
        <w:rPr>
          <w:rFonts w:eastAsia="Times New Roman"/>
          <w:sz w:val="30"/>
          <w:szCs w:val="30"/>
          <w:lang w:val="es-ES"/>
        </w:rPr>
        <w:t>En todo lo no previsto en esta Ley, se actuará de conformidad con lo previsto en el Código Org</w:t>
      </w:r>
      <w:r>
        <w:rPr>
          <w:rFonts w:eastAsia="Times New Roman"/>
          <w:sz w:val="30"/>
          <w:szCs w:val="30"/>
          <w:lang w:val="es-ES"/>
        </w:rPr>
        <w:t xml:space="preserve">ánico Integral </w:t>
      </w:r>
      <w:r>
        <w:rPr>
          <w:rFonts w:eastAsia="Times New Roman"/>
          <w:sz w:val="30"/>
          <w:szCs w:val="30"/>
          <w:lang w:val="es-ES"/>
        </w:rPr>
        <w:lastRenderedPageBreak/>
        <w:t>Penal, Código Tributario y COGEP y Ley Orgánica de Defensa al Consumidor.</w:t>
      </w:r>
    </w:p>
    <w:p w:rsidR="00000000" w:rsidRDefault="00E60987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DISPOSICIONES GENERALES</w:t>
      </w:r>
    </w:p>
    <w:p w:rsidR="00000000" w:rsidRDefault="00E60987">
      <w:pPr>
        <w:divId w:val="562958131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Primera.- </w:t>
      </w:r>
      <w:r>
        <w:rPr>
          <w:rFonts w:eastAsia="Times New Roman"/>
          <w:sz w:val="30"/>
          <w:szCs w:val="30"/>
          <w:lang w:val="es-ES"/>
        </w:rPr>
        <w:t>Queda derogada cualquier ordenanza que se haya dictado al respecto anteriormente y que se contraponga a lo prescrito a la presente.</w:t>
      </w:r>
    </w:p>
    <w:p w:rsidR="00000000" w:rsidRDefault="00E60987">
      <w:pPr>
        <w:divId w:val="678197175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Segunda.- </w:t>
      </w:r>
      <w:r>
        <w:rPr>
          <w:rFonts w:eastAsia="Times New Roman"/>
          <w:sz w:val="30"/>
          <w:szCs w:val="30"/>
          <w:lang w:val="es-ES"/>
        </w:rPr>
        <w:t>La presente ordenanza entrará en vigencia a partir de su publicación en el Registro Oficial.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Dado en la sala de sesiones del Gobierno Autónomo Descentralizado Municipal del cantón Limón Indanza, a los 04 días del mes de septiembre del 2017.</w:t>
      </w:r>
    </w:p>
    <w:p w:rsidR="00000000" w:rsidRDefault="00E60987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  <w:t>FU</w:t>
      </w:r>
      <w:r>
        <w:rPr>
          <w:rFonts w:eastAsia="Times New Roman"/>
          <w:b/>
          <w:bCs/>
          <w:sz w:val="36"/>
          <w:szCs w:val="36"/>
          <w:lang w:val="es-ES"/>
        </w:rPr>
        <w:t>ENTES DE LA PRESENTE EDICIÓN DE LA ORDENANZA SUSTITUTIVA QUE REGULA LA AFERICIÓN DE PESAS Y MEDIDAS EN LOS MERCADOS, PLAZAS, TIENDAS Y COMERCIOS EN DONDE SE EXPENDAN PRODUCTOS AL POR MAYOR O MENOR DENTRO DEL CANTÓN LIMÓN INDANZA</w:t>
      </w:r>
    </w:p>
    <w:p w:rsidR="00E60987" w:rsidRDefault="00E60987">
      <w:pPr>
        <w:divId w:val="1287811441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1.- Ordenanza s/n (Regist</w:t>
      </w:r>
      <w:r>
        <w:rPr>
          <w:rFonts w:eastAsia="Times New Roman"/>
          <w:sz w:val="30"/>
          <w:szCs w:val="30"/>
          <w:lang w:val="es-ES"/>
        </w:rPr>
        <w:t>ro Oficial 103, 19-X-2017).</w:t>
      </w:r>
    </w:p>
    <w:sectPr w:rsidR="00E60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0567B"/>
    <w:rsid w:val="0000567B"/>
    <w:rsid w:val="00E6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CC7A9B-E21D-45F3-83C1-A1F72872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2354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User_Gigabyte</dc:creator>
  <cp:keywords/>
  <dc:description/>
  <cp:lastModifiedBy>User_Gigabyte</cp:lastModifiedBy>
  <cp:revision>2</cp:revision>
  <dcterms:created xsi:type="dcterms:W3CDTF">2018-03-26T20:25:00Z</dcterms:created>
  <dcterms:modified xsi:type="dcterms:W3CDTF">2018-03-26T20:25:00Z</dcterms:modified>
</cp:coreProperties>
</file>