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A700F">
      <w:pPr>
        <w:pStyle w:val="NormalWeb"/>
        <w:rPr>
          <w:lang w:val="es-ES"/>
        </w:rPr>
      </w:pPr>
      <w:bookmarkStart w:id="0" w:name="_GoBack"/>
      <w:bookmarkEnd w:id="0"/>
      <w:r>
        <w:rPr>
          <w:b/>
          <w:bCs/>
          <w:lang w:val="es-ES"/>
        </w:rPr>
        <w:t>Registro Oficial No. 512 , 15 de Agosto 2011</w:t>
      </w:r>
    </w:p>
    <w:p w:rsidR="00000000" w:rsidRDefault="00EA700F">
      <w:pPr>
        <w:pStyle w:val="NormalWeb"/>
        <w:rPr>
          <w:lang w:val="es-ES"/>
        </w:rPr>
      </w:pPr>
      <w:r>
        <w:rPr>
          <w:b/>
          <w:bCs/>
          <w:lang w:val="es-ES"/>
        </w:rPr>
        <w:t>Normativa:</w:t>
      </w:r>
      <w:r>
        <w:rPr>
          <w:lang w:val="es-ES"/>
        </w:rPr>
        <w:t xml:space="preserve"> Vigente</w:t>
      </w:r>
    </w:p>
    <w:p w:rsidR="00EA700F" w:rsidRDefault="00EA700F">
      <w:pPr>
        <w:rPr>
          <w:rFonts w:eastAsia="Times New Roman"/>
          <w:lang w:val="es-ES"/>
        </w:rPr>
      </w:pPr>
      <w:r>
        <w:rPr>
          <w:rFonts w:eastAsia="Times New Roman"/>
          <w:lang w:val="es-ES"/>
        </w:rPr>
        <w:br/>
      </w:r>
      <w:r>
        <w:rPr>
          <w:rFonts w:eastAsia="Times New Roman"/>
          <w:lang w:val="es-ES"/>
        </w:rPr>
        <w:br/>
      </w:r>
      <w:r>
        <w:rPr>
          <w:rFonts w:eastAsia="Times New Roman"/>
          <w:lang w:val="es-ES"/>
        </w:rPr>
        <w:t>PROTOCOLO ENTRE EL SERVICIO NACIONAL DE ADUANA (REPÚBLICA DEL ECUADOR) Y EL SERVICIO FEDERAL DE ADUANA (FEDERACIÓN DE RUSIA) EN EL INTERCAMBIO DE INFORMACIÓN ESPECÍFICA DEL VALOR EN ADUANA DE MERCANCÍAS Y MEDIOS DE TRANSPORTE QUE CIRCULEN ENTRE LA REPÚBLIC</w:t>
      </w:r>
      <w:r>
        <w:rPr>
          <w:rFonts w:eastAsia="Times New Roman"/>
          <w:lang w:val="es-ES"/>
        </w:rPr>
        <w:t>A DEL ECUADOR Y LA FEDERACIÓN DE RUSIA</w:t>
      </w:r>
      <w:r>
        <w:rPr>
          <w:rFonts w:eastAsia="Times New Roman"/>
          <w:sz w:val="30"/>
          <w:szCs w:val="30"/>
          <w:lang w:val="es-ES"/>
        </w:rPr>
        <w:br/>
      </w:r>
      <w:r>
        <w:rPr>
          <w:rFonts w:eastAsia="Times New Roman"/>
          <w:sz w:val="30"/>
          <w:szCs w:val="30"/>
          <w:lang w:val="es-ES"/>
        </w:rPr>
        <w:br/>
        <w:t>MINISTERIO DE RELACIONES EXTERIORES</w:t>
      </w:r>
      <w:r>
        <w:rPr>
          <w:rFonts w:eastAsia="Times New Roman"/>
          <w:sz w:val="30"/>
          <w:szCs w:val="30"/>
          <w:lang w:val="es-ES"/>
        </w:rPr>
        <w:br/>
      </w:r>
      <w:r>
        <w:rPr>
          <w:rFonts w:eastAsia="Times New Roman"/>
          <w:sz w:val="30"/>
          <w:szCs w:val="30"/>
          <w:lang w:val="es-ES"/>
        </w:rPr>
        <w:br/>
        <w:t>El Servicio Nacional de Aduana (República del Ecuador) y el Servicio Federal de Aduana (Federación de Rusia), de aquí en adelante llamadas las Partes,</w:t>
      </w:r>
      <w:r>
        <w:rPr>
          <w:rFonts w:eastAsia="Times New Roman"/>
          <w:sz w:val="30"/>
          <w:szCs w:val="30"/>
          <w:lang w:val="es-ES"/>
        </w:rPr>
        <w:br/>
      </w:r>
      <w:r>
        <w:rPr>
          <w:rFonts w:eastAsia="Times New Roman"/>
          <w:sz w:val="30"/>
          <w:szCs w:val="30"/>
          <w:lang w:val="es-ES"/>
        </w:rPr>
        <w:br/>
        <w:t>Tomando en consideración el</w:t>
      </w:r>
      <w:r>
        <w:rPr>
          <w:rFonts w:eastAsia="Times New Roman"/>
          <w:sz w:val="30"/>
          <w:szCs w:val="30"/>
          <w:lang w:val="es-ES"/>
        </w:rPr>
        <w:t xml:space="preserve"> convenio entre el Gobierno de la República del Ecuador y el Gobierno de la Federación de Rusia para cooperación y ayuda mutua en materia aduanera, firmado el 29 de octubre del 2009, en Moscú (en adelante llamado el Convenio),</w:t>
      </w:r>
      <w:r>
        <w:rPr>
          <w:rFonts w:eastAsia="Times New Roman"/>
          <w:sz w:val="30"/>
          <w:szCs w:val="30"/>
          <w:lang w:val="es-ES"/>
        </w:rPr>
        <w:br/>
      </w:r>
      <w:r>
        <w:rPr>
          <w:rFonts w:eastAsia="Times New Roman"/>
          <w:sz w:val="30"/>
          <w:szCs w:val="30"/>
          <w:lang w:val="es-ES"/>
        </w:rPr>
        <w:br/>
        <w:t>Tendientes a proveer el cont</w:t>
      </w:r>
      <w:r>
        <w:rPr>
          <w:rFonts w:eastAsia="Times New Roman"/>
          <w:sz w:val="30"/>
          <w:szCs w:val="30"/>
          <w:lang w:val="es-ES"/>
        </w:rPr>
        <w:t>rol eficiente de la declaración de valor en aduana de las mercancías y medios de transporte que circulen entre la República del Ecuador y la Federación de Rusia.</w:t>
      </w:r>
      <w:r>
        <w:rPr>
          <w:rFonts w:eastAsia="Times New Roman"/>
          <w:sz w:val="30"/>
          <w:szCs w:val="30"/>
          <w:lang w:val="es-ES"/>
        </w:rPr>
        <w:br/>
      </w:r>
      <w:r>
        <w:rPr>
          <w:rFonts w:eastAsia="Times New Roman"/>
          <w:sz w:val="30"/>
          <w:szCs w:val="30"/>
          <w:lang w:val="es-ES"/>
        </w:rPr>
        <w:br/>
        <w:t>Dando gran importancia a mejorar el control de mercancías y medios de transporte, trasladados</w:t>
      </w:r>
      <w:r>
        <w:rPr>
          <w:rFonts w:eastAsia="Times New Roman"/>
          <w:sz w:val="30"/>
          <w:szCs w:val="30"/>
          <w:lang w:val="es-ES"/>
        </w:rPr>
        <w:t xml:space="preserve"> a través de los puertos de los Estados partes, con el propósito de crear mejores condiciones para el comercio entre la República del Ecuador y la Federación de Rusia.</w:t>
      </w:r>
      <w:r>
        <w:rPr>
          <w:rFonts w:eastAsia="Times New Roman"/>
          <w:sz w:val="30"/>
          <w:szCs w:val="30"/>
          <w:lang w:val="es-ES"/>
        </w:rPr>
        <w:br/>
      </w:r>
      <w:r>
        <w:rPr>
          <w:rFonts w:eastAsia="Times New Roman"/>
          <w:sz w:val="30"/>
          <w:szCs w:val="30"/>
          <w:lang w:val="es-ES"/>
        </w:rPr>
        <w:br/>
        <w:t>Reconociendo la importancia a acelerar el procedimiento de tramitación aduanera de merc</w:t>
      </w:r>
      <w:r>
        <w:rPr>
          <w:rFonts w:eastAsia="Times New Roman"/>
          <w:sz w:val="30"/>
          <w:szCs w:val="30"/>
          <w:lang w:val="es-ES"/>
        </w:rPr>
        <w:t>ancías y medios de transporte, trasladados por los participantes de la actividad económica exterior entre la República del Ecuador y la Federación de Rusia.</w:t>
      </w:r>
      <w:r>
        <w:rPr>
          <w:rFonts w:eastAsia="Times New Roman"/>
          <w:sz w:val="30"/>
          <w:szCs w:val="30"/>
          <w:lang w:val="es-ES"/>
        </w:rPr>
        <w:br/>
      </w:r>
      <w:r>
        <w:rPr>
          <w:rFonts w:eastAsia="Times New Roman"/>
          <w:sz w:val="30"/>
          <w:szCs w:val="30"/>
          <w:lang w:val="es-ES"/>
        </w:rPr>
        <w:br/>
        <w:t>Con el propósito de resistir la evasión de pagos e impuestos aduaneros en volumen total,</w:t>
      </w:r>
      <w:r>
        <w:rPr>
          <w:rFonts w:eastAsia="Times New Roman"/>
          <w:sz w:val="30"/>
          <w:szCs w:val="30"/>
          <w:lang w:val="es-ES"/>
        </w:rPr>
        <w:br/>
      </w:r>
      <w:r>
        <w:rPr>
          <w:rFonts w:eastAsia="Times New Roman"/>
          <w:sz w:val="30"/>
          <w:szCs w:val="30"/>
          <w:lang w:val="es-ES"/>
        </w:rPr>
        <w:br/>
        <w:t>Han acor</w:t>
      </w:r>
      <w:r>
        <w:rPr>
          <w:rFonts w:eastAsia="Times New Roman"/>
          <w:sz w:val="30"/>
          <w:szCs w:val="30"/>
          <w:lang w:val="es-ES"/>
        </w:rPr>
        <w:t>dado lo siguiente:</w:t>
      </w:r>
      <w:r>
        <w:rPr>
          <w:rFonts w:eastAsia="Times New Roman"/>
          <w:b/>
          <w:bCs/>
          <w:sz w:val="30"/>
          <w:szCs w:val="30"/>
          <w:lang w:val="es-ES"/>
        </w:rPr>
        <w:t xml:space="preserve">Art. 1.- </w:t>
      </w:r>
      <w:r>
        <w:rPr>
          <w:rFonts w:eastAsia="Times New Roman"/>
          <w:sz w:val="30"/>
          <w:szCs w:val="30"/>
          <w:lang w:val="es-ES"/>
        </w:rPr>
        <w:t xml:space="preserve">El presente Protocolo tiene como objetivo la prestación de cooperación, y Asistencia Mutua entre las </w:t>
      </w:r>
      <w:r>
        <w:rPr>
          <w:rFonts w:eastAsia="Times New Roman"/>
          <w:sz w:val="30"/>
          <w:szCs w:val="30"/>
          <w:lang w:val="es-ES"/>
        </w:rPr>
        <w:lastRenderedPageBreak/>
        <w:t>Partes a fin de garantizar la correcta valoración de las mercancías y medios de transporte exportados desde el territorio del es</w:t>
      </w:r>
      <w:r>
        <w:rPr>
          <w:rFonts w:eastAsia="Times New Roman"/>
          <w:sz w:val="30"/>
          <w:szCs w:val="30"/>
          <w:lang w:val="es-ES"/>
        </w:rPr>
        <w:t>tado de una Parte hacia el territorio del estado de la otra parte, de conformidad con el Convenio.</w:t>
      </w:r>
      <w:r>
        <w:rPr>
          <w:rFonts w:eastAsia="Times New Roman"/>
          <w:b/>
          <w:bCs/>
          <w:sz w:val="30"/>
          <w:szCs w:val="30"/>
          <w:lang w:val="es-ES"/>
        </w:rPr>
        <w:t xml:space="preserve">Art. 2.- </w:t>
      </w:r>
      <w:r>
        <w:rPr>
          <w:rFonts w:eastAsia="Times New Roman"/>
          <w:sz w:val="30"/>
          <w:szCs w:val="30"/>
          <w:lang w:val="es-ES"/>
        </w:rPr>
        <w:br/>
      </w:r>
      <w:r>
        <w:rPr>
          <w:rFonts w:eastAsia="Times New Roman"/>
          <w:sz w:val="30"/>
          <w:szCs w:val="30"/>
          <w:lang w:val="es-ES"/>
        </w:rPr>
        <w:br/>
        <w:t>1. Para facilitar el control aduanero realizado por las Partes, y mediante solicitud previa, las partes suministrarán una a la otra la siguiente in</w:t>
      </w:r>
      <w:r>
        <w:rPr>
          <w:rFonts w:eastAsia="Times New Roman"/>
          <w:sz w:val="30"/>
          <w:szCs w:val="30"/>
          <w:lang w:val="es-ES"/>
        </w:rPr>
        <w:t>formación idónea sobre el valor en aduana: copias de las declaraciones de exportación de las mercancías, facturas comerciales, documentos de embarque y de transporte, presentados en el proceso de declaración, debidamente certificados o con las marcas del ó</w:t>
      </w:r>
      <w:r>
        <w:rPr>
          <w:rFonts w:eastAsia="Times New Roman"/>
          <w:sz w:val="30"/>
          <w:szCs w:val="30"/>
          <w:lang w:val="es-ES"/>
        </w:rPr>
        <w:t>rgano aduanero donde fueron presentados, o información de las bases de datos electrónicas, así como, en caso de que sea necesario, toda aquella información pertinente para determinar el valor en aduana.</w:t>
      </w:r>
      <w:r>
        <w:rPr>
          <w:rFonts w:eastAsia="Times New Roman"/>
          <w:sz w:val="30"/>
          <w:szCs w:val="30"/>
          <w:lang w:val="es-ES"/>
        </w:rPr>
        <w:br/>
      </w:r>
      <w:r>
        <w:rPr>
          <w:rFonts w:eastAsia="Times New Roman"/>
          <w:sz w:val="30"/>
          <w:szCs w:val="30"/>
          <w:lang w:val="es-ES"/>
        </w:rPr>
        <w:br/>
        <w:t>2. Las partes, con períodos de tiempo establecidos p</w:t>
      </w:r>
      <w:r>
        <w:rPr>
          <w:rFonts w:eastAsia="Times New Roman"/>
          <w:sz w:val="30"/>
          <w:szCs w:val="30"/>
          <w:lang w:val="es-ES"/>
        </w:rPr>
        <w:t>or las Partes, pero no menos de dos veces al año, intercambiarán de datos estadísticos, que reflejen la lista de mercancías exportadas, su peso, cantidad en unidades adicionales, valor, así como de cualquier otra información relativa a los precios que rige</w:t>
      </w:r>
      <w:r>
        <w:rPr>
          <w:rFonts w:eastAsia="Times New Roman"/>
          <w:sz w:val="30"/>
          <w:szCs w:val="30"/>
          <w:lang w:val="es-ES"/>
        </w:rPr>
        <w:t>n en la exportación.</w:t>
      </w:r>
      <w:r>
        <w:rPr>
          <w:rFonts w:eastAsia="Times New Roman"/>
          <w:sz w:val="30"/>
          <w:szCs w:val="30"/>
          <w:lang w:val="es-ES"/>
        </w:rPr>
        <w:br/>
      </w:r>
      <w:r>
        <w:rPr>
          <w:rFonts w:eastAsia="Times New Roman"/>
          <w:sz w:val="30"/>
          <w:szCs w:val="30"/>
          <w:lang w:val="es-ES"/>
        </w:rPr>
        <w:br/>
        <w:t>3. De conformidad con la legislación de los Estados Parte y por solicitud previa de las Partes, las Partes prestarán asistencia mutua para:</w:t>
      </w:r>
      <w:r>
        <w:rPr>
          <w:rFonts w:eastAsia="Times New Roman"/>
          <w:sz w:val="30"/>
          <w:szCs w:val="30"/>
          <w:lang w:val="es-ES"/>
        </w:rPr>
        <w:br/>
      </w:r>
      <w:r>
        <w:rPr>
          <w:rFonts w:eastAsia="Times New Roman"/>
          <w:sz w:val="30"/>
          <w:szCs w:val="30"/>
          <w:lang w:val="es-ES"/>
        </w:rPr>
        <w:br/>
        <w:t>a) Realizar acciones que puedan ser útiles para prevenir los ilícitos, y en particular la eje</w:t>
      </w:r>
      <w:r>
        <w:rPr>
          <w:rFonts w:eastAsia="Times New Roman"/>
          <w:sz w:val="30"/>
          <w:szCs w:val="30"/>
          <w:lang w:val="es-ES"/>
        </w:rPr>
        <w:t>cución de medidas especiales para combatir con la declaración de valor aduanero falso.</w:t>
      </w:r>
      <w:r>
        <w:rPr>
          <w:rFonts w:eastAsia="Times New Roman"/>
          <w:sz w:val="30"/>
          <w:szCs w:val="30"/>
          <w:lang w:val="es-ES"/>
        </w:rPr>
        <w:br/>
      </w:r>
      <w:r>
        <w:rPr>
          <w:rFonts w:eastAsia="Times New Roman"/>
          <w:sz w:val="30"/>
          <w:szCs w:val="30"/>
          <w:lang w:val="es-ES"/>
        </w:rPr>
        <w:br/>
        <w:t>b) Conformar la exactitud de los datos declarados relativos a la operación amparada en la respectiva Declaración de Exportación. Para tal efecto, podrán efectuarse basa</w:t>
      </w:r>
      <w:r>
        <w:rPr>
          <w:rFonts w:eastAsia="Times New Roman"/>
          <w:sz w:val="30"/>
          <w:szCs w:val="30"/>
          <w:lang w:val="es-ES"/>
        </w:rPr>
        <w:t>do en factores de riesgo, acciones de comprobación y verificación de los resúmenes contables, comerciales y bancarios relativos a una determinada transacción comercial realizada por la empresa distribuidora/productora ubicada en el país de exportación.</w:t>
      </w:r>
      <w:r>
        <w:rPr>
          <w:rFonts w:eastAsia="Times New Roman"/>
          <w:sz w:val="30"/>
          <w:szCs w:val="30"/>
          <w:lang w:val="es-ES"/>
        </w:rPr>
        <w:br/>
      </w:r>
      <w:r>
        <w:rPr>
          <w:rFonts w:eastAsia="Times New Roman"/>
          <w:sz w:val="30"/>
          <w:szCs w:val="30"/>
          <w:lang w:val="es-ES"/>
        </w:rPr>
        <w:br/>
        <w:t>4.</w:t>
      </w:r>
      <w:r>
        <w:rPr>
          <w:rFonts w:eastAsia="Times New Roman"/>
          <w:sz w:val="30"/>
          <w:szCs w:val="30"/>
          <w:lang w:val="es-ES"/>
        </w:rPr>
        <w:t xml:space="preserve"> Con el fin de cumplir con el objeto del presente Protocolo las Partes brindarán cooperación mutua en las siguientes áreas:</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a) Estudiar la experiencia de determinación y control de valor aduanero en el proceso de transportación de mercancías para elevar l</w:t>
      </w:r>
      <w:r>
        <w:rPr>
          <w:rFonts w:eastAsia="Times New Roman"/>
          <w:sz w:val="30"/>
          <w:szCs w:val="30"/>
          <w:lang w:val="es-ES"/>
        </w:rPr>
        <w:t>a eficiencia de métodos aplicados para asegurar autenticidad de la información declarada, incluso a través de capacitación de especialistas dentro de los límites de las posibilidades de cada una de las Partes.</w:t>
      </w:r>
      <w:r>
        <w:rPr>
          <w:rFonts w:eastAsia="Times New Roman"/>
          <w:sz w:val="30"/>
          <w:szCs w:val="30"/>
          <w:lang w:val="es-ES"/>
        </w:rPr>
        <w:br/>
      </w:r>
      <w:r>
        <w:rPr>
          <w:rFonts w:eastAsia="Times New Roman"/>
          <w:sz w:val="30"/>
          <w:szCs w:val="30"/>
          <w:lang w:val="es-ES"/>
        </w:rPr>
        <w:br/>
        <w:t>b) Cuando sea necesario, intercambiar muestra</w:t>
      </w:r>
      <w:r>
        <w:rPr>
          <w:rFonts w:eastAsia="Times New Roman"/>
          <w:sz w:val="30"/>
          <w:szCs w:val="30"/>
          <w:lang w:val="es-ES"/>
        </w:rPr>
        <w:t>s de sellos y firmas y de estampas.</w:t>
      </w:r>
      <w:r>
        <w:rPr>
          <w:rFonts w:eastAsia="Times New Roman"/>
          <w:b/>
          <w:bCs/>
          <w:sz w:val="30"/>
          <w:szCs w:val="30"/>
          <w:lang w:val="es-ES"/>
        </w:rPr>
        <w:t xml:space="preserve">Art. 3.- </w:t>
      </w:r>
      <w:r>
        <w:rPr>
          <w:rFonts w:eastAsia="Times New Roman"/>
          <w:sz w:val="30"/>
          <w:szCs w:val="30"/>
          <w:lang w:val="es-ES"/>
        </w:rPr>
        <w:t>La información recibida por las Partes de acuerdo con el presente Protocolo, podrá usarse únicamente para los fines especificados en este Protocolo, y de conformidad con lo dispuesto en el Artículo 14 del Conveni</w:t>
      </w:r>
      <w:r>
        <w:rPr>
          <w:rFonts w:eastAsia="Times New Roman"/>
          <w:sz w:val="30"/>
          <w:szCs w:val="30"/>
          <w:lang w:val="es-ES"/>
        </w:rPr>
        <w:t>o.</w:t>
      </w:r>
      <w:r>
        <w:rPr>
          <w:rFonts w:eastAsia="Times New Roman"/>
          <w:sz w:val="30"/>
          <w:szCs w:val="30"/>
          <w:lang w:val="es-ES"/>
        </w:rPr>
        <w:br/>
      </w:r>
      <w:r>
        <w:rPr>
          <w:rFonts w:eastAsia="Times New Roman"/>
          <w:sz w:val="30"/>
          <w:szCs w:val="30"/>
          <w:lang w:val="es-ES"/>
        </w:rPr>
        <w:br/>
        <w:t>Cada una de las Partes garantizará la confidencialidad de la información recibida conforme a la legislación de su Estado.</w:t>
      </w:r>
      <w:r>
        <w:rPr>
          <w:rFonts w:eastAsia="Times New Roman"/>
          <w:b/>
          <w:bCs/>
          <w:sz w:val="30"/>
          <w:szCs w:val="30"/>
          <w:lang w:val="es-ES"/>
        </w:rPr>
        <w:t xml:space="preserve">Art. 4.- </w:t>
      </w:r>
      <w:r>
        <w:rPr>
          <w:rFonts w:eastAsia="Times New Roman"/>
          <w:sz w:val="30"/>
          <w:szCs w:val="30"/>
          <w:lang w:val="es-ES"/>
        </w:rPr>
        <w:t>Las solicitudes formuladas dentro de este Protocolo se harán de conformidad con lo estipulado en el artículo 16 del Conven</w:t>
      </w:r>
      <w:r>
        <w:rPr>
          <w:rFonts w:eastAsia="Times New Roman"/>
          <w:sz w:val="30"/>
          <w:szCs w:val="30"/>
          <w:lang w:val="es-ES"/>
        </w:rPr>
        <w:t>io.</w:t>
      </w:r>
      <w:r>
        <w:rPr>
          <w:rFonts w:eastAsia="Times New Roman"/>
          <w:b/>
          <w:bCs/>
          <w:sz w:val="30"/>
          <w:szCs w:val="30"/>
          <w:lang w:val="es-ES"/>
        </w:rPr>
        <w:t xml:space="preserve">Art. 5.- </w:t>
      </w:r>
      <w:r>
        <w:rPr>
          <w:rFonts w:eastAsia="Times New Roman"/>
          <w:sz w:val="30"/>
          <w:szCs w:val="30"/>
          <w:lang w:val="es-ES"/>
        </w:rPr>
        <w:t>Las disputas, que surjan entre las Partes, durante la interpretación y la realización de las disposiciones del presente Protocolo se resolverán mediante consultas y negociaciones entre las Partes.</w:t>
      </w:r>
      <w:r>
        <w:rPr>
          <w:rFonts w:eastAsia="Times New Roman"/>
          <w:b/>
          <w:bCs/>
          <w:sz w:val="30"/>
          <w:szCs w:val="30"/>
          <w:lang w:val="es-ES"/>
        </w:rPr>
        <w:t xml:space="preserve">Art. 6.- </w:t>
      </w:r>
      <w:r>
        <w:rPr>
          <w:rFonts w:eastAsia="Times New Roman"/>
          <w:sz w:val="30"/>
          <w:szCs w:val="30"/>
          <w:lang w:val="es-ES"/>
        </w:rPr>
        <w:br/>
      </w:r>
      <w:r>
        <w:rPr>
          <w:rFonts w:eastAsia="Times New Roman"/>
          <w:sz w:val="30"/>
          <w:szCs w:val="30"/>
          <w:lang w:val="es-ES"/>
        </w:rPr>
        <w:br/>
        <w:t>1. El presente Protocolo entrará en v</w:t>
      </w:r>
      <w:r>
        <w:rPr>
          <w:rFonts w:eastAsia="Times New Roman"/>
          <w:sz w:val="30"/>
          <w:szCs w:val="30"/>
          <w:lang w:val="es-ES"/>
        </w:rPr>
        <w:t>igor a partir de la fecha de su suscripción.</w:t>
      </w:r>
      <w:r>
        <w:rPr>
          <w:rFonts w:eastAsia="Times New Roman"/>
          <w:sz w:val="30"/>
          <w:szCs w:val="30"/>
          <w:lang w:val="es-ES"/>
        </w:rPr>
        <w:br/>
      </w:r>
      <w:r>
        <w:rPr>
          <w:rFonts w:eastAsia="Times New Roman"/>
          <w:sz w:val="30"/>
          <w:szCs w:val="30"/>
          <w:lang w:val="es-ES"/>
        </w:rPr>
        <w:br/>
        <w:t xml:space="preserve">2. El presente Protocolo tendrá una vigencia de cinco años y será automáticamente prolongado por cinco años más, salvo notificación escrita por una de las Partes a la dirección de la otra, con 6 meses antes de </w:t>
      </w:r>
      <w:r>
        <w:rPr>
          <w:rFonts w:eastAsia="Times New Roman"/>
          <w:sz w:val="30"/>
          <w:szCs w:val="30"/>
          <w:lang w:val="es-ES"/>
        </w:rPr>
        <w:t>la expiración del presente Protocolo.</w:t>
      </w:r>
      <w:r>
        <w:rPr>
          <w:rFonts w:eastAsia="Times New Roman"/>
          <w:sz w:val="30"/>
          <w:szCs w:val="30"/>
          <w:lang w:val="es-ES"/>
        </w:rPr>
        <w:br/>
      </w:r>
      <w:r>
        <w:rPr>
          <w:rFonts w:eastAsia="Times New Roman"/>
          <w:sz w:val="30"/>
          <w:szCs w:val="30"/>
          <w:lang w:val="es-ES"/>
        </w:rPr>
        <w:br/>
        <w:t>3. Las modificaciones o adiciones a este Protocolo podrán ser realizados bajo un mutuo acuerdo por escrito entre las Partes.</w:t>
      </w:r>
      <w:r>
        <w:rPr>
          <w:rFonts w:eastAsia="Times New Roman"/>
          <w:sz w:val="30"/>
          <w:szCs w:val="30"/>
          <w:lang w:val="es-ES"/>
        </w:rPr>
        <w:br/>
      </w:r>
      <w:r>
        <w:rPr>
          <w:rFonts w:eastAsia="Times New Roman"/>
          <w:sz w:val="30"/>
          <w:szCs w:val="30"/>
          <w:lang w:val="es-ES"/>
        </w:rPr>
        <w:br/>
        <w:t>Hecho en la ciudad de Guayaquil, el día 7 de julio de 2011, impreso en dos ejemplares, cada</w:t>
      </w:r>
      <w:r>
        <w:rPr>
          <w:rFonts w:eastAsia="Times New Roman"/>
          <w:sz w:val="30"/>
          <w:szCs w:val="30"/>
          <w:lang w:val="es-ES"/>
        </w:rPr>
        <w:t xml:space="preserve"> uno en ruso, español e inglés, siendo todos los textos de igual tenor y valor legal. En caso de controversias surgidas de la interpretación del presente Protocolo se utilizará la versión en inglés.</w:t>
      </w:r>
      <w:r>
        <w:rPr>
          <w:rFonts w:eastAsia="Times New Roman"/>
          <w:sz w:val="30"/>
          <w:szCs w:val="30"/>
          <w:lang w:val="es-ES"/>
        </w:rPr>
        <w:br/>
      </w:r>
      <w:r>
        <w:rPr>
          <w:rFonts w:eastAsia="Times New Roman"/>
          <w:sz w:val="30"/>
          <w:szCs w:val="30"/>
          <w:lang w:val="es-ES"/>
        </w:rPr>
        <w:br/>
        <w:t>Por el Servicio Nacional de Aduana (República del Ecuado</w:t>
      </w:r>
      <w:r>
        <w:rPr>
          <w:rFonts w:eastAsia="Times New Roman"/>
          <w:sz w:val="30"/>
          <w:szCs w:val="30"/>
          <w:lang w:val="es-ES"/>
        </w:rPr>
        <w:t>r)</w:t>
      </w:r>
      <w:r>
        <w:rPr>
          <w:rFonts w:eastAsia="Times New Roman"/>
          <w:sz w:val="30"/>
          <w:szCs w:val="30"/>
          <w:lang w:val="es-ES"/>
        </w:rPr>
        <w:t>.</w:t>
      </w:r>
      <w:r>
        <w:rPr>
          <w:rFonts w:eastAsia="Times New Roman"/>
          <w:sz w:val="30"/>
          <w:szCs w:val="30"/>
          <w:lang w:val="es-ES"/>
        </w:rPr>
        <w:br/>
      </w:r>
      <w:r>
        <w:rPr>
          <w:rFonts w:eastAsia="Times New Roman"/>
          <w:sz w:val="30"/>
          <w:szCs w:val="30"/>
          <w:lang w:val="es-ES"/>
        </w:rPr>
        <w:br/>
      </w:r>
      <w:r>
        <w:rPr>
          <w:rFonts w:eastAsia="Times New Roman"/>
          <w:sz w:val="30"/>
          <w:szCs w:val="30"/>
          <w:lang w:val="es-ES"/>
        </w:rPr>
        <w:lastRenderedPageBreak/>
        <w:t>FUENTES DE LA PRESENTE EDICIÓN DEL PROTOCOLO ENTRE EL SERVICIO NACIONAL DE ADUANA (REPÚBLICA DEL ECUADOR) Y EL SERVICIO FEDERAL DE ADUANA (FEDERACIÓN DE RUSIA) EN EL INTERCAMBIO DE INFORMACIÓN ESPECÍFICA DEL VALOR EN ADUANA DE MERCANCÍAS Y MEDIOS DE T</w:t>
      </w:r>
      <w:r>
        <w:rPr>
          <w:rFonts w:eastAsia="Times New Roman"/>
          <w:sz w:val="30"/>
          <w:szCs w:val="30"/>
          <w:lang w:val="es-ES"/>
        </w:rPr>
        <w:t>RANSPORTE QUE CIRCULEN ENTRE LA REPÚBLICA DEL ECUADOR Y LA FEDERACIÓN DE RUSIA</w:t>
      </w:r>
      <w:r>
        <w:rPr>
          <w:rFonts w:eastAsia="Times New Roman"/>
          <w:sz w:val="30"/>
          <w:szCs w:val="30"/>
          <w:lang w:val="es-ES"/>
        </w:rPr>
        <w:br/>
      </w:r>
      <w:r>
        <w:rPr>
          <w:rFonts w:eastAsia="Times New Roman"/>
          <w:sz w:val="30"/>
          <w:szCs w:val="30"/>
          <w:lang w:val="es-ES"/>
        </w:rPr>
        <w:br/>
        <w:t>1.- Registro Oficial 512, 15-VIII-2011.</w:t>
      </w:r>
    </w:p>
    <w:sectPr w:rsidR="00EA70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466BF"/>
    <w:rsid w:val="00D466BF"/>
    <w:rsid w:val="00EA70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F4E41-B4DA-4397-8FAE-17F46F2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t1">
    <w:name w:val="ct1"/>
    <w:basedOn w:val="Normal"/>
    <w:pPr>
      <w:pBdr>
        <w:bottom w:val="single" w:sz="6" w:space="0" w:color="auto"/>
        <w:right w:val="single" w:sz="6" w:space="0" w:color="auto"/>
      </w:pBdr>
      <w:spacing w:before="100" w:beforeAutospacing="1" w:after="100" w:afterAutospacing="1"/>
    </w:pPr>
  </w:style>
  <w:style w:type="paragraph" w:customStyle="1" w:styleId="ct2">
    <w:name w:val="ct2"/>
    <w:basedOn w:val="Normal"/>
    <w:pPr>
      <w:pBdr>
        <w:left w:val="single" w:sz="6" w:space="0" w:color="auto"/>
        <w:bottom w:val="single" w:sz="6" w:space="0" w:color="auto"/>
        <w:right w:val="single" w:sz="6" w:space="0" w:color="auto"/>
      </w:pBdr>
      <w:spacing w:before="100" w:beforeAutospacing="1" w:after="100" w:afterAutospacing="1"/>
    </w:pPr>
  </w:style>
  <w:style w:type="paragraph" w:customStyle="1" w:styleId="ct3">
    <w:name w:val="ct3"/>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User_Gigabyte</dc:creator>
  <cp:keywords/>
  <dc:description/>
  <cp:lastModifiedBy>User_Gigabyte</cp:lastModifiedBy>
  <cp:revision>2</cp:revision>
  <dcterms:created xsi:type="dcterms:W3CDTF">2017-11-23T20:20:00Z</dcterms:created>
  <dcterms:modified xsi:type="dcterms:W3CDTF">2017-11-23T20:20:00Z</dcterms:modified>
</cp:coreProperties>
</file>