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4387D">
      <w:pPr>
        <w:pStyle w:val="NormalWeb"/>
        <w:rPr>
          <w:lang w:val="es-ES"/>
        </w:rPr>
      </w:pPr>
      <w:bookmarkStart w:id="0" w:name="_GoBack"/>
      <w:bookmarkEnd w:id="0"/>
      <w:r>
        <w:rPr>
          <w:b/>
          <w:bCs/>
          <w:lang w:val="es-ES"/>
        </w:rPr>
        <w:t>Registro Oficial No. 351 , 29 de Diciembre 2010</w:t>
      </w:r>
    </w:p>
    <w:p w:rsidR="00000000" w:rsidRDefault="00D4387D">
      <w:pPr>
        <w:pStyle w:val="NormalWeb"/>
        <w:rPr>
          <w:lang w:val="es-ES"/>
        </w:rPr>
      </w:pPr>
      <w:r>
        <w:rPr>
          <w:b/>
          <w:bCs/>
          <w:lang w:val="es-ES"/>
        </w:rPr>
        <w:t>Normativa:</w:t>
      </w:r>
      <w:r>
        <w:rPr>
          <w:lang w:val="es-ES"/>
        </w:rPr>
        <w:t xml:space="preserve"> Vigente</w:t>
      </w:r>
    </w:p>
    <w:p w:rsidR="00000000" w:rsidRDefault="00D4387D">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REGLAMENTO ESPECIAL PARA PRECAUTELAR LA VIDA, LA SALUD Y EL AMBIENTE EN LA ZONA DE LA JOSEFINA, PROVINCIA DEL AZUAY</w:t>
      </w:r>
    </w:p>
    <w:p w:rsidR="00000000" w:rsidRDefault="00D4387D">
      <w:pPr>
        <w:jc w:val="center"/>
        <w:rPr>
          <w:rFonts w:eastAsia="Times New Roman"/>
          <w:sz w:val="30"/>
          <w:szCs w:val="30"/>
          <w:lang w:val="es-ES"/>
        </w:rPr>
      </w:pPr>
      <w:r>
        <w:rPr>
          <w:rFonts w:eastAsia="Times New Roman"/>
          <w:sz w:val="30"/>
          <w:szCs w:val="30"/>
          <w:lang w:val="es-ES"/>
        </w:rPr>
        <w:t>(Decreto No. 582)</w:t>
      </w:r>
    </w:p>
    <w:p w:rsidR="00000000" w:rsidRDefault="00D4387D">
      <w:pPr>
        <w:divId w:val="873465854"/>
        <w:rPr>
          <w:rFonts w:eastAsia="Times New Roman"/>
          <w:sz w:val="30"/>
          <w:szCs w:val="30"/>
          <w:lang w:val="es-ES"/>
        </w:rPr>
      </w:pPr>
      <w:r>
        <w:rPr>
          <w:rFonts w:eastAsia="Times New Roman"/>
          <w:sz w:val="30"/>
          <w:szCs w:val="30"/>
          <w:lang w:val="es-ES"/>
        </w:rPr>
        <w:br/>
      </w:r>
      <w:r>
        <w:rPr>
          <w:rFonts w:eastAsia="Times New Roman"/>
          <w:sz w:val="30"/>
          <w:szCs w:val="30"/>
          <w:lang w:val="es-ES"/>
        </w:rPr>
        <w:br/>
        <w:t>Rafael Correa Delgado</w:t>
      </w:r>
      <w:r>
        <w:rPr>
          <w:rFonts w:eastAsia="Times New Roman"/>
          <w:sz w:val="30"/>
          <w:szCs w:val="30"/>
          <w:lang w:val="es-ES"/>
        </w:rPr>
        <w:br/>
      </w:r>
      <w:r>
        <w:rPr>
          <w:rFonts w:eastAsia="Times New Roman"/>
          <w:sz w:val="30"/>
          <w:szCs w:val="30"/>
          <w:lang w:val="es-ES"/>
        </w:rPr>
        <w:t>PRESIDENTE CONSTITUCIONAL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Que la Constitución de la República del Ecuador, en el artículo 408 señala: "Son de propiedad inalienable, imprescriptible e inembargable del Estado los recursos naturales no renovables y, en genera</w:t>
      </w:r>
      <w:r>
        <w:rPr>
          <w:rFonts w:eastAsia="Times New Roman"/>
          <w:sz w:val="30"/>
          <w:szCs w:val="30"/>
          <w:lang w:val="es-ES"/>
        </w:rPr>
        <w:t>l, los productos del subsuelo, yacimientos minerales y de hidrocarburos, substancias cuya naturaleza sea distinta de la del suelo, incluso los que se encuentren en las áreas cubiertas por las aguas del mar territorial y las zonas marítimas;... El Estado ga</w:t>
      </w:r>
      <w:r>
        <w:rPr>
          <w:rFonts w:eastAsia="Times New Roman"/>
          <w:sz w:val="30"/>
          <w:szCs w:val="30"/>
          <w:lang w:val="es-ES"/>
        </w:rPr>
        <w:t>rantizará que los mecanismos de producción, consumo y uso de los recursos naturales y la energía preserven y recuperen los ciclos naturales y permitan condiciones de vida con dignidad";</w:t>
      </w:r>
      <w:r>
        <w:rPr>
          <w:rFonts w:eastAsia="Times New Roman"/>
          <w:sz w:val="30"/>
          <w:szCs w:val="30"/>
          <w:lang w:val="es-ES"/>
        </w:rPr>
        <w:br/>
      </w:r>
      <w:r>
        <w:rPr>
          <w:rFonts w:eastAsia="Times New Roman"/>
          <w:sz w:val="30"/>
          <w:szCs w:val="30"/>
          <w:lang w:val="es-ES"/>
        </w:rPr>
        <w:br/>
        <w:t>Que la Carta Magna, en el artículo 313 dispone: "El Estado se reserva</w:t>
      </w:r>
      <w:r>
        <w:rPr>
          <w:rFonts w:eastAsia="Times New Roman"/>
          <w:sz w:val="30"/>
          <w:szCs w:val="30"/>
          <w:lang w:val="es-ES"/>
        </w:rPr>
        <w:t xml:space="preserve"> el derecho de administrar, regular, controlar y gestionar los sectores estratégicos, de conformidad con los principios de sostenibilidad ambiental, precaución, prevención y eficiencia. Los sectores estratégicos, de decisión y control exclusivo del Estado,</w:t>
      </w:r>
      <w:r>
        <w:rPr>
          <w:rFonts w:eastAsia="Times New Roman"/>
          <w:sz w:val="30"/>
          <w:szCs w:val="30"/>
          <w:lang w:val="es-ES"/>
        </w:rPr>
        <w:t xml:space="preserve"> son aquellos que por su trascendencia y magnitud tienen decisiva influencia económica, social, política o ambiental, y deberán orientarse al pleno desarrollo de los derechos y al interés social...";</w:t>
      </w:r>
      <w:r>
        <w:rPr>
          <w:rFonts w:eastAsia="Times New Roman"/>
          <w:sz w:val="30"/>
          <w:szCs w:val="30"/>
          <w:lang w:val="es-ES"/>
        </w:rPr>
        <w:br/>
      </w:r>
      <w:r>
        <w:rPr>
          <w:rFonts w:eastAsia="Times New Roman"/>
          <w:sz w:val="30"/>
          <w:szCs w:val="30"/>
          <w:lang w:val="es-ES"/>
        </w:rPr>
        <w:lastRenderedPageBreak/>
        <w:br/>
        <w:t>Que la Constitución de la República del Ecuador, en sus</w:t>
      </w:r>
      <w:r>
        <w:rPr>
          <w:rFonts w:eastAsia="Times New Roman"/>
          <w:sz w:val="30"/>
          <w:szCs w:val="30"/>
          <w:lang w:val="es-ES"/>
        </w:rPr>
        <w:t xml:space="preserve"> artículos 14, 71, 72, 227, 233, 389, 390, 396 y 411 establece que, es deber del Estado la protección de la naturaleza, la restauración de los ecosistemas afectados, la adopción de medidas para mitigar y eliminar las consecuencias ambientales nocivas, adop</w:t>
      </w:r>
      <w:r>
        <w:rPr>
          <w:rFonts w:eastAsia="Times New Roman"/>
          <w:sz w:val="30"/>
          <w:szCs w:val="30"/>
          <w:lang w:val="es-ES"/>
        </w:rPr>
        <w:t xml:space="preserve">tar políticas y medidas para evitar impactos ambientales, todo esto en procura de garantizar a la población un ambiente sano y ecológicamente equilibrado, que garantice la sostenibilidad y el buen vivir además de garantizar la conservación, recuperación y </w:t>
      </w:r>
      <w:r>
        <w:rPr>
          <w:rFonts w:eastAsia="Times New Roman"/>
          <w:sz w:val="30"/>
          <w:szCs w:val="30"/>
          <w:lang w:val="es-ES"/>
        </w:rPr>
        <w:t>manejo de los recursos hídricos;</w:t>
      </w:r>
      <w:r>
        <w:rPr>
          <w:rFonts w:eastAsia="Times New Roman"/>
          <w:sz w:val="30"/>
          <w:szCs w:val="30"/>
          <w:lang w:val="es-ES"/>
        </w:rPr>
        <w:br/>
      </w:r>
      <w:r>
        <w:rPr>
          <w:rFonts w:eastAsia="Times New Roman"/>
          <w:sz w:val="30"/>
          <w:szCs w:val="30"/>
          <w:lang w:val="es-ES"/>
        </w:rPr>
        <w:br/>
        <w:t>Que de conformidad con el artículo 263 de la Carta Magna corresponde a los gobiernos provinciales, entre otras, las siguientes competencias exclusivas: "...3) Ejecutar, en coordinación con el Gobierno Regional, obras en cu</w:t>
      </w:r>
      <w:r>
        <w:rPr>
          <w:rFonts w:eastAsia="Times New Roman"/>
          <w:sz w:val="30"/>
          <w:szCs w:val="30"/>
          <w:lang w:val="es-ES"/>
        </w:rPr>
        <w:t>encas y micro cuencas, 4) La Gestión Ambiental Provincial...";</w:t>
      </w:r>
      <w:r>
        <w:rPr>
          <w:rFonts w:eastAsia="Times New Roman"/>
          <w:sz w:val="30"/>
          <w:szCs w:val="30"/>
          <w:lang w:val="es-ES"/>
        </w:rPr>
        <w:br/>
      </w:r>
      <w:r>
        <w:rPr>
          <w:rFonts w:eastAsia="Times New Roman"/>
          <w:sz w:val="30"/>
          <w:szCs w:val="30"/>
          <w:lang w:val="es-ES"/>
        </w:rPr>
        <w:br/>
        <w:t xml:space="preserve">Que de conformidad con lo dispuesto en los artículos 264 numeral 12 de la Constitución de la República y 267 de la Ley Orgánica de Régimen Municipal, en concordancia con el artículo 142 de la </w:t>
      </w:r>
      <w:r>
        <w:rPr>
          <w:rFonts w:eastAsia="Times New Roman"/>
          <w:sz w:val="30"/>
          <w:szCs w:val="30"/>
          <w:lang w:val="es-ES"/>
        </w:rPr>
        <w:t xml:space="preserve">Ley de Minería, corresponde a los gobiernos municipales en el ámbito de sus competencias y territorios la regulación, autorización y control de la explotación de materiales de construcción que se encuentran ubicados en los lechos de ríos, lagos, playas de </w:t>
      </w:r>
      <w:r>
        <w:rPr>
          <w:rFonts w:eastAsia="Times New Roman"/>
          <w:sz w:val="30"/>
          <w:szCs w:val="30"/>
          <w:lang w:val="es-ES"/>
        </w:rPr>
        <w:t>mar y canteras, quienes en ejercicio de sus facultades expedirán las ordenanzas municipales correspondientes;</w:t>
      </w:r>
      <w:r>
        <w:rPr>
          <w:rFonts w:eastAsia="Times New Roman"/>
          <w:sz w:val="30"/>
          <w:szCs w:val="30"/>
          <w:lang w:val="es-ES"/>
        </w:rPr>
        <w:br/>
      </w:r>
      <w:r>
        <w:rPr>
          <w:rFonts w:eastAsia="Times New Roman"/>
          <w:sz w:val="30"/>
          <w:szCs w:val="30"/>
          <w:lang w:val="es-ES"/>
        </w:rPr>
        <w:br/>
        <w:t>Que la Ley de Creación del Consejo de Gestión de Aguas de la Cuenca del Paute (CGPAUTE), promulgada en el Registro Oficial No. 141 de 9 de noviem</w:t>
      </w:r>
      <w:r>
        <w:rPr>
          <w:rFonts w:eastAsia="Times New Roman"/>
          <w:sz w:val="30"/>
          <w:szCs w:val="30"/>
          <w:lang w:val="es-ES"/>
        </w:rPr>
        <w:t xml:space="preserve">bre del 2005, tiene por objeto formular y ejecutar las políticas, normas, administrativas, financieras, técnicas y de control, para precautelar el eficiente aprovechamiento, conservación de los recursos hídricos y naturales, y el desarrollo sustentable de </w:t>
      </w:r>
      <w:r>
        <w:rPr>
          <w:rFonts w:eastAsia="Times New Roman"/>
          <w:sz w:val="30"/>
          <w:szCs w:val="30"/>
          <w:lang w:val="es-ES"/>
        </w:rPr>
        <w:t>la cuenca del Paute, que son de carácter prioritario y estratégico para el país, debido a que genera más del 35% de la energía hidroeléctrica, mismas que requieren un alto grado de control técnico, lo que permitirá evitar cualquier tipo de intervenciones q</w:t>
      </w:r>
      <w:r>
        <w:rPr>
          <w:rFonts w:eastAsia="Times New Roman"/>
          <w:sz w:val="30"/>
          <w:szCs w:val="30"/>
          <w:lang w:val="es-ES"/>
        </w:rPr>
        <w:t>ue atenten contra su estabilidad;</w:t>
      </w:r>
      <w:r>
        <w:rPr>
          <w:rFonts w:eastAsia="Times New Roman"/>
          <w:sz w:val="30"/>
          <w:szCs w:val="30"/>
          <w:lang w:val="es-ES"/>
        </w:rPr>
        <w:br/>
      </w:r>
      <w:r>
        <w:rPr>
          <w:rFonts w:eastAsia="Times New Roman"/>
          <w:sz w:val="30"/>
          <w:szCs w:val="30"/>
          <w:lang w:val="es-ES"/>
        </w:rPr>
        <w:br/>
        <w:t xml:space="preserve">Que mediante Decreto Ejecutivo No. 929, publicado en el Registro </w:t>
      </w:r>
      <w:r>
        <w:rPr>
          <w:rFonts w:eastAsia="Times New Roman"/>
          <w:sz w:val="30"/>
          <w:szCs w:val="30"/>
          <w:lang w:val="es-ES"/>
        </w:rPr>
        <w:lastRenderedPageBreak/>
        <w:t>Oficial No. 206 de 7 de junio de 1999, la zona de La Josefina fue declarada Zona Minera Especial, prohibiéndose a partir de esa fecha el otorgamiento de con</w:t>
      </w:r>
      <w:r>
        <w:rPr>
          <w:rFonts w:eastAsia="Times New Roman"/>
          <w:sz w:val="30"/>
          <w:szCs w:val="30"/>
          <w:lang w:val="es-ES"/>
        </w:rPr>
        <w:t>cesiones, autorizaciones o permisos para ejecutar actividades mineras dentro de la Zona 1, sin embargo, estas labores continuaron ejecutándose, situación que ha sido corroborada con las últimas batimetrías realizadas en el año 2009 las mismas que establece</w:t>
      </w:r>
      <w:r>
        <w:rPr>
          <w:rFonts w:eastAsia="Times New Roman"/>
          <w:sz w:val="30"/>
          <w:szCs w:val="30"/>
          <w:lang w:val="es-ES"/>
        </w:rPr>
        <w:t>n que existe una gran afectación al Plan Maestro Hidráulico y por lo tanto al perfil de equilibrio establecido en dicho plan;</w:t>
      </w:r>
      <w:r>
        <w:rPr>
          <w:rFonts w:eastAsia="Times New Roman"/>
          <w:sz w:val="30"/>
          <w:szCs w:val="30"/>
          <w:lang w:val="es-ES"/>
        </w:rPr>
        <w:br/>
      </w:r>
      <w:r>
        <w:rPr>
          <w:rFonts w:eastAsia="Times New Roman"/>
          <w:sz w:val="30"/>
          <w:szCs w:val="30"/>
          <w:lang w:val="es-ES"/>
        </w:rPr>
        <w:br/>
        <w:t>Que mediante Decreto Ejecutivo No. 389, publicado en el Suplemento del Registro Oficial No. 224 de 29 de junio del 2010 se declar</w:t>
      </w:r>
      <w:r>
        <w:rPr>
          <w:rFonts w:eastAsia="Times New Roman"/>
          <w:sz w:val="30"/>
          <w:szCs w:val="30"/>
          <w:lang w:val="es-ES"/>
        </w:rPr>
        <w:t>ó el estado de excepción en la Zona 1 de La Josefina, por factores de riesgo, inestabilidad, vulnerabilidad, deterioro de la cuenca del Paute y debilidad estructural de los cerros colindantes, lo que ha producido pérdida de estabilidad que afecta a la segu</w:t>
      </w:r>
      <w:r>
        <w:rPr>
          <w:rFonts w:eastAsia="Times New Roman"/>
          <w:sz w:val="30"/>
          <w:szCs w:val="30"/>
          <w:lang w:val="es-ES"/>
        </w:rPr>
        <w:t>ridad de la población de esta región y la pone en grave riesgo; por lo cual se dispuso una serie de acciones a ser implementadas de manera urgente por diferentes instituciones públicas dentro de sus respectivas atribuciones y competencias específicas y exc</w:t>
      </w:r>
      <w:r>
        <w:rPr>
          <w:rFonts w:eastAsia="Times New Roman"/>
          <w:sz w:val="30"/>
          <w:szCs w:val="30"/>
          <w:lang w:val="es-ES"/>
        </w:rPr>
        <w:t>lusivas sobre estas áreas;</w:t>
      </w:r>
      <w:r>
        <w:rPr>
          <w:rFonts w:eastAsia="Times New Roman"/>
          <w:sz w:val="30"/>
          <w:szCs w:val="30"/>
          <w:lang w:val="es-ES"/>
        </w:rPr>
        <w:br/>
      </w:r>
      <w:r>
        <w:rPr>
          <w:rFonts w:eastAsia="Times New Roman"/>
          <w:sz w:val="30"/>
          <w:szCs w:val="30"/>
          <w:lang w:val="es-ES"/>
        </w:rPr>
        <w:br/>
        <w:t>Que mediante Resolución No. 282 de 15 de julio del 2010, la Ministra del Ambiente declaró de utilidad pública con fines de expropiación, con carácter urgente y de ocupación inmediata, varios inmuebles comprendidos dentro de la Z</w:t>
      </w:r>
      <w:r>
        <w:rPr>
          <w:rFonts w:eastAsia="Times New Roman"/>
          <w:sz w:val="30"/>
          <w:szCs w:val="30"/>
          <w:lang w:val="es-ES"/>
        </w:rPr>
        <w:t>ona 1 de La Josefina entre los que están los cerros Tamuga, Shishio, Mishquiyacu y otros ubicados en las márgenes del río Paute;</w:t>
      </w:r>
      <w:r>
        <w:rPr>
          <w:rFonts w:eastAsia="Times New Roman"/>
          <w:sz w:val="30"/>
          <w:szCs w:val="30"/>
          <w:lang w:val="es-ES"/>
        </w:rPr>
        <w:br/>
      </w:r>
      <w:r>
        <w:rPr>
          <w:rFonts w:eastAsia="Times New Roman"/>
          <w:sz w:val="30"/>
          <w:szCs w:val="30"/>
          <w:lang w:val="es-ES"/>
        </w:rPr>
        <w:br/>
        <w:t>Que para minimizar los riesgos existentes en la Zona Especial de La Josefina, es prioritario ejecutar los trabajos de estabili</w:t>
      </w:r>
      <w:r>
        <w:rPr>
          <w:rFonts w:eastAsia="Times New Roman"/>
          <w:sz w:val="30"/>
          <w:szCs w:val="30"/>
          <w:lang w:val="es-ES"/>
        </w:rPr>
        <w:t>zación de los cerros Tamuga, Shishio y Mishquiyacu en función de lo que establece el Plan Maestra de Estabilización del Cerro Tamuga, elaborado con la cooperación de la Unión Europea y, los planes de estabilización y estudios técnicos de los restantes cerr</w:t>
      </w:r>
      <w:r>
        <w:rPr>
          <w:rFonts w:eastAsia="Times New Roman"/>
          <w:sz w:val="30"/>
          <w:szCs w:val="30"/>
          <w:lang w:val="es-ES"/>
        </w:rPr>
        <w:t>os que estén siendo elaborados por el CGPAUTE;</w:t>
      </w:r>
      <w:r>
        <w:rPr>
          <w:rFonts w:eastAsia="Times New Roman"/>
          <w:sz w:val="30"/>
          <w:szCs w:val="30"/>
          <w:lang w:val="es-ES"/>
        </w:rPr>
        <w:br/>
      </w:r>
      <w:r>
        <w:rPr>
          <w:rFonts w:eastAsia="Times New Roman"/>
          <w:sz w:val="30"/>
          <w:szCs w:val="30"/>
          <w:lang w:val="es-ES"/>
        </w:rPr>
        <w:br/>
        <w:t>Que los estudios técnicos antes mencionados determinan que la explotación indiscriminada de áridos en la cuenca del río Paute, a más de deteriorar el entorno natural y poner en grave riesgo la estabilidad hid</w:t>
      </w:r>
      <w:r>
        <w:rPr>
          <w:rFonts w:eastAsia="Times New Roman"/>
          <w:sz w:val="30"/>
          <w:szCs w:val="30"/>
          <w:lang w:val="es-ES"/>
        </w:rPr>
        <w:t xml:space="preserve">rogeológica de la zona y las obras de rehabilitación ejecutadas, dificultan la realización de nuevas obras proyectadas que permitan </w:t>
      </w:r>
      <w:r>
        <w:rPr>
          <w:rFonts w:eastAsia="Times New Roman"/>
          <w:sz w:val="30"/>
          <w:szCs w:val="30"/>
          <w:lang w:val="es-ES"/>
        </w:rPr>
        <w:lastRenderedPageBreak/>
        <w:t>minimizar el riesgo hidrogeológico de la zona y por tanto proteger la vida de sus habitantes, previniendo desastres naturale</w:t>
      </w:r>
      <w:r>
        <w:rPr>
          <w:rFonts w:eastAsia="Times New Roman"/>
          <w:sz w:val="30"/>
          <w:szCs w:val="30"/>
          <w:lang w:val="es-ES"/>
        </w:rPr>
        <w:t>s que son desencadenados por acciones antrópicas; Que la Ley de Minería considera a La Josefina como una de las zonas a ser protegidas prioritariamente por el Estado, estableciendo en su Disposición Transitoria Séptima que "...El ejecutivo dictará los Regl</w:t>
      </w:r>
      <w:r>
        <w:rPr>
          <w:rFonts w:eastAsia="Times New Roman"/>
          <w:sz w:val="30"/>
          <w:szCs w:val="30"/>
          <w:lang w:val="es-ES"/>
        </w:rPr>
        <w:t>amentos Especiales para precautelar la vida, la salud y el ambiente en las zonas de La Josefina ..."; y,</w:t>
      </w:r>
      <w:r>
        <w:rPr>
          <w:rFonts w:eastAsia="Times New Roman"/>
          <w:sz w:val="30"/>
          <w:szCs w:val="30"/>
          <w:lang w:val="es-ES"/>
        </w:rPr>
        <w:br/>
      </w:r>
      <w:r>
        <w:rPr>
          <w:rFonts w:eastAsia="Times New Roman"/>
          <w:sz w:val="30"/>
          <w:szCs w:val="30"/>
          <w:lang w:val="es-ES"/>
        </w:rPr>
        <w:br/>
        <w:t>En ejercicio de las atribuciones que le confiere el numeral 13 del artículo 147 de la Constitución de la República del Ecuador, y el literal f) del ar</w:t>
      </w:r>
      <w:r>
        <w:rPr>
          <w:rFonts w:eastAsia="Times New Roman"/>
          <w:sz w:val="30"/>
          <w:szCs w:val="30"/>
          <w:lang w:val="es-ES"/>
        </w:rPr>
        <w:t>tículo 11 del Estatuto del Régimen Jurídico y Administrativo de la Función Ejecutiva,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r>
        <w:rPr>
          <w:rFonts w:eastAsia="Times New Roman"/>
          <w:sz w:val="30"/>
          <w:szCs w:val="30"/>
          <w:lang w:val="es-ES"/>
        </w:rPr>
        <w:br/>
      </w:r>
      <w:r>
        <w:rPr>
          <w:rFonts w:eastAsia="Times New Roman"/>
          <w:sz w:val="30"/>
          <w:szCs w:val="30"/>
          <w:lang w:val="es-ES"/>
        </w:rPr>
        <w:br/>
        <w:t>Expedir el siguiente REGLAMENTO ESPECIAL PARA PRECAUTELAR LA VIDA, LA SALUD Y EL AMBIENTE EN LA ZONA DE LA JOSEFINA, PROVINCIA DEL AZUAY.</w:t>
      </w:r>
    </w:p>
    <w:p w:rsidR="00000000" w:rsidRDefault="00D4387D">
      <w:pPr>
        <w:jc w:val="center"/>
        <w:rPr>
          <w:rFonts w:eastAsia="Times New Roman"/>
          <w:sz w:val="36"/>
          <w:szCs w:val="36"/>
          <w:lang w:val="es-ES"/>
        </w:rPr>
      </w:pPr>
      <w:r>
        <w:rPr>
          <w:rFonts w:eastAsia="Times New Roman"/>
          <w:b/>
          <w:bCs/>
          <w:sz w:val="36"/>
          <w:szCs w:val="36"/>
          <w:lang w:val="es-ES"/>
        </w:rPr>
        <w:br/>
        <w:t xml:space="preserve">Capítulo I </w:t>
      </w:r>
      <w:r>
        <w:rPr>
          <w:rFonts w:eastAsia="Times New Roman"/>
          <w:b/>
          <w:bCs/>
          <w:sz w:val="36"/>
          <w:szCs w:val="36"/>
          <w:lang w:val="es-ES"/>
        </w:rPr>
        <w:br/>
        <w:t>DEL OBJE</w:t>
      </w:r>
      <w:r>
        <w:rPr>
          <w:rFonts w:eastAsia="Times New Roman"/>
          <w:b/>
          <w:bCs/>
          <w:sz w:val="36"/>
          <w:szCs w:val="36"/>
          <w:lang w:val="es-ES"/>
        </w:rPr>
        <w:t>TO Y ÁMBITO DE APLICACIÓN</w:t>
      </w:r>
    </w:p>
    <w:p w:rsidR="00000000" w:rsidRDefault="00D4387D">
      <w:pPr>
        <w:divId w:val="707875553"/>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El presente reglamento tiene como objeto precautelar la vida y la salud de los habitantes de la zona de La Josefina, así como el medio ambiente y las obras de generación de energía eléctrica, a través de la estabilización</w:t>
      </w:r>
      <w:r>
        <w:rPr>
          <w:rFonts w:eastAsia="Times New Roman"/>
          <w:sz w:val="30"/>
          <w:szCs w:val="30"/>
          <w:lang w:val="es-ES"/>
        </w:rPr>
        <w:t xml:space="preserve"> de la zona, garantizando la aplicabilidad de los principios de sostenibilidad, precaución, prevención, eficacia, buen vivir; y, buscando satisfacer las necesidades económicas, ambientales, sociales y culturales del Estado Ecuatoriano, que la Carta Marga a</w:t>
      </w:r>
      <w:r>
        <w:rPr>
          <w:rFonts w:eastAsia="Times New Roman"/>
          <w:sz w:val="30"/>
          <w:szCs w:val="30"/>
          <w:lang w:val="es-ES"/>
        </w:rPr>
        <w:t>signa a las instituciones de la Administración Pública Central y a los gobiernos autónomos descentralizados.</w:t>
      </w:r>
    </w:p>
    <w:p w:rsidR="00000000" w:rsidRDefault="00D4387D">
      <w:pPr>
        <w:rPr>
          <w:rFonts w:eastAsia="Times New Roman"/>
          <w:sz w:val="30"/>
          <w:szCs w:val="30"/>
          <w:lang w:val="es-ES"/>
        </w:rPr>
      </w:pPr>
      <w:r>
        <w:rPr>
          <w:rFonts w:eastAsia="Times New Roman"/>
          <w:sz w:val="30"/>
          <w:szCs w:val="30"/>
          <w:lang w:val="es-ES"/>
        </w:rPr>
        <w:t>C</w:t>
      </w:r>
      <w:r>
        <w:rPr>
          <w:rFonts w:eastAsia="Times New Roman"/>
          <w:sz w:val="30"/>
          <w:szCs w:val="30"/>
          <w:lang w:val="es-ES"/>
        </w:rPr>
        <w:t>_</w:t>
      </w:r>
      <w:r>
        <w:rPr>
          <w:rFonts w:eastAsia="Times New Roman"/>
          <w:sz w:val="30"/>
          <w:szCs w:val="30"/>
          <w:lang w:val="es-ES"/>
        </w:rPr>
        <w:t>749000</w:t>
      </w:r>
      <w:r>
        <w:rPr>
          <w:rFonts w:eastAsia="Times New Roman"/>
          <w:sz w:val="30"/>
          <w:szCs w:val="30"/>
          <w:lang w:val="es-ES"/>
        </w:rPr>
        <w:t>_</w:t>
      </w:r>
      <w:r>
        <w:rPr>
          <w:rFonts w:eastAsia="Times New Roman"/>
          <w:sz w:val="30"/>
          <w:szCs w:val="30"/>
          <w:lang w:val="es-ES"/>
        </w:rPr>
        <w:t>9686000</w:t>
      </w:r>
      <w:r>
        <w:rPr>
          <w:rFonts w:eastAsia="Times New Roman"/>
          <w:sz w:val="30"/>
          <w:szCs w:val="30"/>
          <w:lang w:val="es-ES"/>
        </w:rPr>
        <w:t>_</w:t>
      </w:r>
      <w:r>
        <w:rPr>
          <w:rFonts w:eastAsia="Times New Roman"/>
          <w:sz w:val="30"/>
          <w:szCs w:val="30"/>
          <w:lang w:val="es-ES"/>
        </w:rPr>
        <w:t>D</w:t>
      </w:r>
      <w:r>
        <w:rPr>
          <w:rFonts w:eastAsia="Times New Roman"/>
          <w:sz w:val="30"/>
          <w:szCs w:val="30"/>
          <w:lang w:val="es-ES"/>
        </w:rPr>
        <w:t>_</w:t>
      </w:r>
      <w:r>
        <w:rPr>
          <w:rFonts w:eastAsia="Times New Roman"/>
          <w:sz w:val="30"/>
          <w:szCs w:val="30"/>
          <w:lang w:val="es-ES"/>
        </w:rPr>
        <w:t>747000</w:t>
      </w:r>
      <w:r>
        <w:rPr>
          <w:rFonts w:eastAsia="Times New Roman"/>
          <w:sz w:val="30"/>
          <w:szCs w:val="30"/>
          <w:lang w:val="es-ES"/>
        </w:rPr>
        <w:t>_</w:t>
      </w:r>
      <w:r>
        <w:rPr>
          <w:rFonts w:eastAsia="Times New Roman"/>
          <w:sz w:val="30"/>
          <w:szCs w:val="30"/>
          <w:lang w:val="es-ES"/>
        </w:rPr>
        <w:t>9686000</w:t>
      </w:r>
      <w:r>
        <w:rPr>
          <w:rFonts w:eastAsia="Times New Roman"/>
          <w:sz w:val="30"/>
          <w:szCs w:val="30"/>
          <w:lang w:val="es-ES"/>
        </w:rPr>
        <w:t>_</w:t>
      </w:r>
      <w:r>
        <w:rPr>
          <w:rFonts w:eastAsia="Times New Roman"/>
          <w:sz w:val="30"/>
          <w:szCs w:val="30"/>
          <w:lang w:val="es-ES"/>
        </w:rPr>
        <w:t>_</w:t>
      </w:r>
      <w:r>
        <w:rPr>
          <w:rFonts w:eastAsia="Times New Roman"/>
          <w:sz w:val="30"/>
          <w:szCs w:val="30"/>
          <w:lang w:val="es-ES"/>
        </w:rPr>
        <w:t>_</w:t>
      </w:r>
      <w:r>
        <w:rPr>
          <w:rFonts w:eastAsia="Times New Roman"/>
          <w:sz w:val="30"/>
          <w:szCs w:val="30"/>
          <w:lang w:val="es-ES"/>
        </w:rPr>
        <w:t>_</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49"/>
        <w:gridCol w:w="1487"/>
        <w:gridCol w:w="1289"/>
      </w:tblGrid>
      <w:tr w:rsidR="00000000">
        <w:trPr>
          <w:tblCellSpacing w:w="15" w:type="dxa"/>
          <w:jc w:val="center"/>
        </w:trPr>
        <w:tc>
          <w:tcPr>
            <w:tcW w:w="0" w:type="auto"/>
            <w:gridSpan w:val="3"/>
            <w:vAlign w:val="center"/>
            <w:hideMark/>
          </w:tcPr>
          <w:p w:rsidR="00000000" w:rsidRDefault="00D4387D">
            <w:pPr>
              <w:jc w:val="center"/>
              <w:rPr>
                <w:rFonts w:eastAsia="Times New Roman"/>
              </w:rPr>
            </w:pPr>
            <w:r>
              <w:rPr>
                <w:rFonts w:eastAsia="Times New Roman"/>
                <w:b/>
                <w:bCs/>
              </w:rPr>
              <w:t>ZONA 1</w:t>
            </w:r>
          </w:p>
        </w:tc>
      </w:tr>
      <w:tr w:rsidR="00000000">
        <w:trPr>
          <w:tblCellSpacing w:w="15" w:type="dxa"/>
          <w:jc w:val="center"/>
        </w:trPr>
        <w:tc>
          <w:tcPr>
            <w:tcW w:w="0" w:type="auto"/>
            <w:vAlign w:val="center"/>
            <w:hideMark/>
          </w:tcPr>
          <w:p w:rsidR="00000000" w:rsidRDefault="00D4387D">
            <w:pPr>
              <w:jc w:val="center"/>
              <w:rPr>
                <w:rFonts w:eastAsia="Times New Roman"/>
              </w:rPr>
            </w:pPr>
            <w:r>
              <w:rPr>
                <w:rFonts w:eastAsia="Times New Roman"/>
              </w:rPr>
              <w:t>VÉRTICES</w:t>
            </w:r>
          </w:p>
        </w:tc>
        <w:tc>
          <w:tcPr>
            <w:tcW w:w="0" w:type="auto"/>
            <w:vAlign w:val="center"/>
            <w:hideMark/>
          </w:tcPr>
          <w:p w:rsidR="00000000" w:rsidRDefault="00D4387D">
            <w:pPr>
              <w:jc w:val="center"/>
              <w:rPr>
                <w:rFonts w:eastAsia="Times New Roman"/>
              </w:rPr>
            </w:pPr>
            <w:r>
              <w:rPr>
                <w:rFonts w:eastAsia="Times New Roman"/>
              </w:rPr>
              <w:t>LONGITUD</w:t>
            </w:r>
            <w:r>
              <w:rPr>
                <w:rFonts w:eastAsia="Times New Roman"/>
                <w:b/>
                <w:bCs/>
              </w:rPr>
              <w:t>_</w:t>
            </w:r>
          </w:p>
        </w:tc>
        <w:tc>
          <w:tcPr>
            <w:tcW w:w="0" w:type="auto"/>
            <w:vAlign w:val="center"/>
            <w:hideMark/>
          </w:tcPr>
          <w:p w:rsidR="00000000" w:rsidRDefault="00D4387D">
            <w:pPr>
              <w:jc w:val="center"/>
              <w:rPr>
                <w:rFonts w:eastAsia="Times New Roman"/>
              </w:rPr>
            </w:pPr>
            <w:r>
              <w:rPr>
                <w:rFonts w:eastAsia="Times New Roman"/>
                <w:b/>
                <w:bCs/>
              </w:rPr>
              <w:t>LATITUD_</w:t>
            </w:r>
          </w:p>
        </w:tc>
      </w:tr>
      <w:tr w:rsidR="00000000">
        <w:trPr>
          <w:tblCellSpacing w:w="15" w:type="dxa"/>
          <w:jc w:val="center"/>
        </w:trPr>
        <w:tc>
          <w:tcPr>
            <w:tcW w:w="0" w:type="auto"/>
            <w:vAlign w:val="center"/>
            <w:hideMark/>
          </w:tcPr>
          <w:p w:rsidR="00000000" w:rsidRDefault="00D4387D">
            <w:pPr>
              <w:jc w:val="center"/>
              <w:rPr>
                <w:rFonts w:eastAsia="Times New Roman"/>
              </w:rPr>
            </w:pPr>
            <w:r>
              <w:rPr>
                <w:rFonts w:eastAsia="Times New Roman"/>
              </w:rPr>
              <w:t>A_</w:t>
            </w:r>
          </w:p>
        </w:tc>
        <w:tc>
          <w:tcPr>
            <w:tcW w:w="0" w:type="auto"/>
            <w:vAlign w:val="center"/>
            <w:hideMark/>
          </w:tcPr>
          <w:p w:rsidR="00000000" w:rsidRDefault="00D4387D">
            <w:pPr>
              <w:jc w:val="center"/>
              <w:rPr>
                <w:rFonts w:eastAsia="Times New Roman"/>
              </w:rPr>
            </w:pPr>
            <w:r>
              <w:rPr>
                <w:rFonts w:eastAsia="Times New Roman"/>
              </w:rPr>
              <w:t>739000_</w:t>
            </w:r>
          </w:p>
        </w:tc>
        <w:tc>
          <w:tcPr>
            <w:tcW w:w="0" w:type="auto"/>
            <w:vAlign w:val="center"/>
            <w:hideMark/>
          </w:tcPr>
          <w:p w:rsidR="00000000" w:rsidRDefault="00D4387D">
            <w:pPr>
              <w:jc w:val="center"/>
              <w:rPr>
                <w:rFonts w:eastAsia="Times New Roman"/>
              </w:rPr>
            </w:pPr>
            <w:r>
              <w:rPr>
                <w:rFonts w:eastAsia="Times New Roman"/>
              </w:rPr>
              <w:t>9686000_</w:t>
            </w:r>
          </w:p>
        </w:tc>
      </w:tr>
      <w:tr w:rsidR="00000000">
        <w:trPr>
          <w:tblCellSpacing w:w="15" w:type="dxa"/>
          <w:jc w:val="center"/>
        </w:trPr>
        <w:tc>
          <w:tcPr>
            <w:tcW w:w="0" w:type="auto"/>
            <w:vAlign w:val="center"/>
            <w:hideMark/>
          </w:tcPr>
          <w:p w:rsidR="00000000" w:rsidRDefault="00D4387D">
            <w:pPr>
              <w:jc w:val="center"/>
              <w:rPr>
                <w:rFonts w:eastAsia="Times New Roman"/>
              </w:rPr>
            </w:pPr>
            <w:r>
              <w:rPr>
                <w:rFonts w:eastAsia="Times New Roman"/>
              </w:rPr>
              <w:t>B_</w:t>
            </w:r>
          </w:p>
        </w:tc>
        <w:tc>
          <w:tcPr>
            <w:tcW w:w="0" w:type="auto"/>
            <w:vAlign w:val="center"/>
            <w:hideMark/>
          </w:tcPr>
          <w:p w:rsidR="00000000" w:rsidRDefault="00D4387D">
            <w:pPr>
              <w:jc w:val="center"/>
              <w:rPr>
                <w:rFonts w:eastAsia="Times New Roman"/>
              </w:rPr>
            </w:pPr>
            <w:r>
              <w:rPr>
                <w:rFonts w:eastAsia="Times New Roman"/>
              </w:rPr>
              <w:t>749000_</w:t>
            </w:r>
          </w:p>
        </w:tc>
        <w:tc>
          <w:tcPr>
            <w:tcW w:w="0" w:type="auto"/>
            <w:vAlign w:val="center"/>
            <w:hideMark/>
          </w:tcPr>
          <w:p w:rsidR="00000000" w:rsidRDefault="00D4387D">
            <w:pPr>
              <w:jc w:val="center"/>
              <w:rPr>
                <w:rFonts w:eastAsia="Times New Roman"/>
              </w:rPr>
            </w:pPr>
            <w:r>
              <w:rPr>
                <w:rFonts w:eastAsia="Times New Roman"/>
              </w:rPr>
              <w:t>9686000_</w:t>
            </w:r>
          </w:p>
        </w:tc>
      </w:tr>
      <w:tr w:rsidR="00000000">
        <w:trPr>
          <w:tblCellSpacing w:w="15" w:type="dxa"/>
          <w:jc w:val="center"/>
        </w:trPr>
        <w:tc>
          <w:tcPr>
            <w:tcW w:w="0" w:type="auto"/>
            <w:vAlign w:val="center"/>
            <w:hideMark/>
          </w:tcPr>
          <w:p w:rsidR="00000000" w:rsidRDefault="00D4387D">
            <w:pPr>
              <w:jc w:val="center"/>
              <w:rPr>
                <w:rFonts w:eastAsia="Times New Roman"/>
              </w:rPr>
            </w:pPr>
            <w:r>
              <w:rPr>
                <w:rFonts w:eastAsia="Times New Roman"/>
              </w:rPr>
              <w:t>C_</w:t>
            </w:r>
          </w:p>
        </w:tc>
        <w:tc>
          <w:tcPr>
            <w:tcW w:w="0" w:type="auto"/>
            <w:vAlign w:val="center"/>
            <w:hideMark/>
          </w:tcPr>
          <w:p w:rsidR="00000000" w:rsidRDefault="00D4387D">
            <w:pPr>
              <w:jc w:val="center"/>
              <w:rPr>
                <w:rFonts w:eastAsia="Times New Roman"/>
              </w:rPr>
            </w:pPr>
            <w:r>
              <w:rPr>
                <w:rFonts w:eastAsia="Times New Roman"/>
              </w:rPr>
              <w:t>749000_</w:t>
            </w:r>
          </w:p>
        </w:tc>
        <w:tc>
          <w:tcPr>
            <w:tcW w:w="0" w:type="auto"/>
            <w:vAlign w:val="center"/>
            <w:hideMark/>
          </w:tcPr>
          <w:p w:rsidR="00000000" w:rsidRDefault="00D4387D">
            <w:pPr>
              <w:jc w:val="center"/>
              <w:rPr>
                <w:rFonts w:eastAsia="Times New Roman"/>
              </w:rPr>
            </w:pPr>
            <w:r>
              <w:rPr>
                <w:rFonts w:eastAsia="Times New Roman"/>
              </w:rPr>
              <w:t>9683000_</w:t>
            </w:r>
          </w:p>
        </w:tc>
      </w:tr>
      <w:tr w:rsidR="00000000">
        <w:trPr>
          <w:tblCellSpacing w:w="15" w:type="dxa"/>
          <w:jc w:val="center"/>
        </w:trPr>
        <w:tc>
          <w:tcPr>
            <w:tcW w:w="0" w:type="auto"/>
            <w:vAlign w:val="center"/>
            <w:hideMark/>
          </w:tcPr>
          <w:p w:rsidR="00000000" w:rsidRDefault="00D4387D">
            <w:pPr>
              <w:jc w:val="center"/>
              <w:rPr>
                <w:rFonts w:eastAsia="Times New Roman"/>
              </w:rPr>
            </w:pPr>
            <w:r>
              <w:rPr>
                <w:rFonts w:eastAsia="Times New Roman"/>
              </w:rPr>
              <w:t>D_</w:t>
            </w:r>
          </w:p>
        </w:tc>
        <w:tc>
          <w:tcPr>
            <w:tcW w:w="0" w:type="auto"/>
            <w:vAlign w:val="center"/>
            <w:hideMark/>
          </w:tcPr>
          <w:p w:rsidR="00000000" w:rsidRDefault="00D4387D">
            <w:pPr>
              <w:jc w:val="center"/>
              <w:rPr>
                <w:rFonts w:eastAsia="Times New Roman"/>
              </w:rPr>
            </w:pPr>
            <w:r>
              <w:rPr>
                <w:rFonts w:eastAsia="Times New Roman"/>
              </w:rPr>
              <w:t>739000_</w:t>
            </w:r>
          </w:p>
        </w:tc>
        <w:tc>
          <w:tcPr>
            <w:tcW w:w="0" w:type="auto"/>
            <w:vAlign w:val="center"/>
            <w:hideMark/>
          </w:tcPr>
          <w:p w:rsidR="00000000" w:rsidRDefault="00D4387D">
            <w:pPr>
              <w:jc w:val="center"/>
              <w:rPr>
                <w:rFonts w:eastAsia="Times New Roman"/>
              </w:rPr>
            </w:pPr>
            <w:r>
              <w:rPr>
                <w:rFonts w:eastAsia="Times New Roman"/>
              </w:rPr>
              <w:t>9683000_</w:t>
            </w:r>
          </w:p>
        </w:tc>
      </w:tr>
      <w:tr w:rsidR="00000000">
        <w:trPr>
          <w:tblCellSpacing w:w="15" w:type="dxa"/>
          <w:jc w:val="center"/>
        </w:trPr>
        <w:tc>
          <w:tcPr>
            <w:tcW w:w="0" w:type="auto"/>
            <w:vAlign w:val="center"/>
            <w:hideMark/>
          </w:tcPr>
          <w:p w:rsidR="00000000" w:rsidRDefault="00D4387D">
            <w:pPr>
              <w:jc w:val="center"/>
              <w:rPr>
                <w:rFonts w:eastAsia="Times New Roman"/>
              </w:rPr>
            </w:pPr>
            <w:r>
              <w:rPr>
                <w:rFonts w:eastAsia="Times New Roman"/>
              </w:rPr>
              <w:t>VÉRTICES</w:t>
            </w:r>
          </w:p>
        </w:tc>
        <w:tc>
          <w:tcPr>
            <w:tcW w:w="0" w:type="auto"/>
            <w:vAlign w:val="center"/>
            <w:hideMark/>
          </w:tcPr>
          <w:p w:rsidR="00000000" w:rsidRDefault="00D4387D">
            <w:pPr>
              <w:jc w:val="center"/>
              <w:rPr>
                <w:rFonts w:eastAsia="Times New Roman"/>
              </w:rPr>
            </w:pPr>
            <w:r>
              <w:rPr>
                <w:rFonts w:eastAsia="Times New Roman"/>
              </w:rPr>
              <w:t>LONGITUD</w:t>
            </w:r>
            <w:r>
              <w:rPr>
                <w:rFonts w:eastAsia="Times New Roman"/>
                <w:b/>
                <w:bCs/>
              </w:rPr>
              <w:t>_</w:t>
            </w:r>
          </w:p>
        </w:tc>
        <w:tc>
          <w:tcPr>
            <w:tcW w:w="0" w:type="auto"/>
            <w:vAlign w:val="center"/>
            <w:hideMark/>
          </w:tcPr>
          <w:p w:rsidR="00000000" w:rsidRDefault="00D4387D">
            <w:pPr>
              <w:jc w:val="center"/>
              <w:rPr>
                <w:rFonts w:eastAsia="Times New Roman"/>
              </w:rPr>
            </w:pPr>
            <w:r>
              <w:rPr>
                <w:rFonts w:eastAsia="Times New Roman"/>
                <w:b/>
                <w:bCs/>
              </w:rPr>
              <w:t>LATITUD_</w:t>
            </w:r>
          </w:p>
        </w:tc>
      </w:tr>
      <w:tr w:rsidR="00000000">
        <w:trPr>
          <w:tblCellSpacing w:w="15" w:type="dxa"/>
          <w:jc w:val="center"/>
        </w:trPr>
        <w:tc>
          <w:tcPr>
            <w:tcW w:w="0" w:type="auto"/>
            <w:vAlign w:val="center"/>
            <w:hideMark/>
          </w:tcPr>
          <w:p w:rsidR="00000000" w:rsidRDefault="00D4387D">
            <w:pPr>
              <w:jc w:val="center"/>
              <w:rPr>
                <w:rFonts w:eastAsia="Times New Roman"/>
              </w:rPr>
            </w:pPr>
            <w:r>
              <w:rPr>
                <w:rFonts w:eastAsia="Times New Roman"/>
              </w:rPr>
              <w:t>A_</w:t>
            </w:r>
          </w:p>
        </w:tc>
        <w:tc>
          <w:tcPr>
            <w:tcW w:w="0" w:type="auto"/>
            <w:vAlign w:val="center"/>
            <w:hideMark/>
          </w:tcPr>
          <w:p w:rsidR="00000000" w:rsidRDefault="00D4387D">
            <w:pPr>
              <w:jc w:val="center"/>
              <w:rPr>
                <w:rFonts w:eastAsia="Times New Roman"/>
              </w:rPr>
            </w:pPr>
            <w:r>
              <w:rPr>
                <w:rFonts w:eastAsia="Times New Roman"/>
              </w:rPr>
              <w:t>747000_</w:t>
            </w:r>
          </w:p>
        </w:tc>
        <w:tc>
          <w:tcPr>
            <w:tcW w:w="0" w:type="auto"/>
            <w:vAlign w:val="center"/>
            <w:hideMark/>
          </w:tcPr>
          <w:p w:rsidR="00000000" w:rsidRDefault="00D4387D">
            <w:pPr>
              <w:jc w:val="center"/>
              <w:rPr>
                <w:rFonts w:eastAsia="Times New Roman"/>
              </w:rPr>
            </w:pPr>
            <w:r>
              <w:rPr>
                <w:rFonts w:eastAsia="Times New Roman"/>
              </w:rPr>
              <w:t>9691000_</w:t>
            </w:r>
          </w:p>
        </w:tc>
      </w:tr>
      <w:tr w:rsidR="00000000">
        <w:trPr>
          <w:tblCellSpacing w:w="15" w:type="dxa"/>
          <w:jc w:val="center"/>
        </w:trPr>
        <w:tc>
          <w:tcPr>
            <w:tcW w:w="0" w:type="auto"/>
            <w:vAlign w:val="center"/>
            <w:hideMark/>
          </w:tcPr>
          <w:p w:rsidR="00000000" w:rsidRDefault="00D4387D">
            <w:pPr>
              <w:jc w:val="center"/>
              <w:rPr>
                <w:rFonts w:eastAsia="Times New Roman"/>
              </w:rPr>
            </w:pPr>
            <w:r>
              <w:rPr>
                <w:rFonts w:eastAsia="Times New Roman"/>
              </w:rPr>
              <w:lastRenderedPageBreak/>
              <w:t>B_</w:t>
            </w:r>
          </w:p>
        </w:tc>
        <w:tc>
          <w:tcPr>
            <w:tcW w:w="0" w:type="auto"/>
            <w:vAlign w:val="center"/>
            <w:hideMark/>
          </w:tcPr>
          <w:p w:rsidR="00000000" w:rsidRDefault="00D4387D">
            <w:pPr>
              <w:jc w:val="center"/>
              <w:rPr>
                <w:rFonts w:eastAsia="Times New Roman"/>
              </w:rPr>
            </w:pPr>
            <w:r>
              <w:rPr>
                <w:rFonts w:eastAsia="Times New Roman"/>
              </w:rPr>
              <w:t>749000_</w:t>
            </w:r>
          </w:p>
        </w:tc>
        <w:tc>
          <w:tcPr>
            <w:tcW w:w="0" w:type="auto"/>
            <w:vAlign w:val="center"/>
            <w:hideMark/>
          </w:tcPr>
          <w:p w:rsidR="00000000" w:rsidRDefault="00D4387D">
            <w:pPr>
              <w:jc w:val="center"/>
              <w:rPr>
                <w:rFonts w:eastAsia="Times New Roman"/>
              </w:rPr>
            </w:pPr>
            <w:r>
              <w:rPr>
                <w:rFonts w:eastAsia="Times New Roman"/>
              </w:rPr>
              <w:t>9691000_</w:t>
            </w:r>
          </w:p>
        </w:tc>
      </w:tr>
      <w:tr w:rsidR="00000000">
        <w:trPr>
          <w:tblCellSpacing w:w="15" w:type="dxa"/>
          <w:jc w:val="center"/>
        </w:trPr>
        <w:tc>
          <w:tcPr>
            <w:tcW w:w="0" w:type="auto"/>
            <w:gridSpan w:val="3"/>
            <w:vAlign w:val="center"/>
            <w:hideMark/>
          </w:tcPr>
          <w:p w:rsidR="00000000" w:rsidRDefault="00D4387D">
            <w:pPr>
              <w:jc w:val="center"/>
              <w:rPr>
                <w:rFonts w:eastAsia="Times New Roman"/>
              </w:rPr>
            </w:pPr>
            <w:r>
              <w:rPr>
                <w:rFonts w:eastAsia="Times New Roman"/>
                <w:b/>
                <w:bCs/>
              </w:rPr>
              <w:t>ZONA 2</w:t>
            </w:r>
          </w:p>
        </w:tc>
      </w:tr>
      <w:tr w:rsidR="00000000">
        <w:trPr>
          <w:tblCellSpacing w:w="15" w:type="dxa"/>
          <w:jc w:val="center"/>
        </w:trPr>
        <w:tc>
          <w:tcPr>
            <w:tcW w:w="0" w:type="auto"/>
            <w:vAlign w:val="center"/>
            <w:hideMark/>
          </w:tcPr>
          <w:p w:rsidR="00000000" w:rsidRDefault="00D4387D">
            <w:pPr>
              <w:jc w:val="center"/>
              <w:rPr>
                <w:rFonts w:eastAsia="Times New Roman"/>
              </w:rPr>
            </w:pPr>
            <w:r>
              <w:rPr>
                <w:rFonts w:eastAsia="Times New Roman"/>
              </w:rPr>
              <w:t>VÉRTI</w:t>
            </w:r>
            <w:r>
              <w:rPr>
                <w:rFonts w:eastAsia="Times New Roman"/>
                <w:b/>
                <w:bCs/>
              </w:rPr>
              <w:t>CES</w:t>
            </w:r>
          </w:p>
        </w:tc>
        <w:tc>
          <w:tcPr>
            <w:tcW w:w="0" w:type="auto"/>
            <w:vAlign w:val="center"/>
            <w:hideMark/>
          </w:tcPr>
          <w:p w:rsidR="00000000" w:rsidRDefault="00D4387D">
            <w:pPr>
              <w:jc w:val="center"/>
              <w:rPr>
                <w:rFonts w:eastAsia="Times New Roman"/>
              </w:rPr>
            </w:pPr>
            <w:r>
              <w:rPr>
                <w:rFonts w:eastAsia="Times New Roman"/>
                <w:b/>
                <w:bCs/>
              </w:rPr>
              <w:t>LONGITUD_</w:t>
            </w:r>
          </w:p>
        </w:tc>
        <w:tc>
          <w:tcPr>
            <w:tcW w:w="0" w:type="auto"/>
            <w:vAlign w:val="center"/>
            <w:hideMark/>
          </w:tcPr>
          <w:p w:rsidR="00000000" w:rsidRDefault="00D4387D">
            <w:pPr>
              <w:jc w:val="center"/>
              <w:rPr>
                <w:rFonts w:eastAsia="Times New Roman"/>
              </w:rPr>
            </w:pPr>
            <w:r>
              <w:rPr>
                <w:rFonts w:eastAsia="Times New Roman"/>
                <w:b/>
                <w:bCs/>
              </w:rPr>
              <w:t>LATITUD_</w:t>
            </w:r>
          </w:p>
        </w:tc>
      </w:tr>
      <w:tr w:rsidR="00000000">
        <w:trPr>
          <w:tblCellSpacing w:w="15" w:type="dxa"/>
          <w:jc w:val="center"/>
        </w:trPr>
        <w:tc>
          <w:tcPr>
            <w:tcW w:w="0" w:type="auto"/>
            <w:vAlign w:val="center"/>
            <w:hideMark/>
          </w:tcPr>
          <w:p w:rsidR="00000000" w:rsidRDefault="00D4387D">
            <w:pPr>
              <w:jc w:val="center"/>
              <w:rPr>
                <w:rFonts w:eastAsia="Times New Roman"/>
              </w:rPr>
            </w:pPr>
            <w:r>
              <w:rPr>
                <w:rFonts w:eastAsia="Times New Roman"/>
              </w:rPr>
              <w:t>A_</w:t>
            </w:r>
          </w:p>
        </w:tc>
        <w:tc>
          <w:tcPr>
            <w:tcW w:w="0" w:type="auto"/>
            <w:vAlign w:val="center"/>
            <w:hideMark/>
          </w:tcPr>
          <w:p w:rsidR="00000000" w:rsidRDefault="00D4387D">
            <w:pPr>
              <w:jc w:val="center"/>
              <w:rPr>
                <w:rFonts w:eastAsia="Times New Roman"/>
              </w:rPr>
            </w:pPr>
            <w:r>
              <w:rPr>
                <w:rFonts w:eastAsia="Times New Roman"/>
              </w:rPr>
              <w:t>736000_</w:t>
            </w:r>
          </w:p>
        </w:tc>
        <w:tc>
          <w:tcPr>
            <w:tcW w:w="0" w:type="auto"/>
            <w:vAlign w:val="center"/>
            <w:hideMark/>
          </w:tcPr>
          <w:p w:rsidR="00000000" w:rsidRDefault="00D4387D">
            <w:pPr>
              <w:jc w:val="center"/>
              <w:rPr>
                <w:rFonts w:eastAsia="Times New Roman"/>
              </w:rPr>
            </w:pPr>
            <w:r>
              <w:rPr>
                <w:rFonts w:eastAsia="Times New Roman"/>
              </w:rPr>
              <w:t>9687000_</w:t>
            </w:r>
          </w:p>
        </w:tc>
      </w:tr>
      <w:tr w:rsidR="00000000">
        <w:trPr>
          <w:tblCellSpacing w:w="15" w:type="dxa"/>
          <w:jc w:val="center"/>
        </w:trPr>
        <w:tc>
          <w:tcPr>
            <w:tcW w:w="0" w:type="auto"/>
            <w:vAlign w:val="center"/>
            <w:hideMark/>
          </w:tcPr>
          <w:p w:rsidR="00000000" w:rsidRDefault="00D4387D">
            <w:pPr>
              <w:jc w:val="center"/>
              <w:rPr>
                <w:rFonts w:eastAsia="Times New Roman"/>
              </w:rPr>
            </w:pPr>
            <w:r>
              <w:rPr>
                <w:rFonts w:eastAsia="Times New Roman"/>
              </w:rPr>
              <w:t>B_</w:t>
            </w:r>
          </w:p>
        </w:tc>
        <w:tc>
          <w:tcPr>
            <w:tcW w:w="0" w:type="auto"/>
            <w:vAlign w:val="center"/>
            <w:hideMark/>
          </w:tcPr>
          <w:p w:rsidR="00000000" w:rsidRDefault="00D4387D">
            <w:pPr>
              <w:jc w:val="center"/>
              <w:rPr>
                <w:rFonts w:eastAsia="Times New Roman"/>
              </w:rPr>
            </w:pPr>
            <w:r>
              <w:rPr>
                <w:rFonts w:eastAsia="Times New Roman"/>
              </w:rPr>
              <w:t>739000_</w:t>
            </w:r>
          </w:p>
        </w:tc>
        <w:tc>
          <w:tcPr>
            <w:tcW w:w="0" w:type="auto"/>
            <w:vAlign w:val="center"/>
            <w:hideMark/>
          </w:tcPr>
          <w:p w:rsidR="00000000" w:rsidRDefault="00D4387D">
            <w:pPr>
              <w:jc w:val="center"/>
              <w:rPr>
                <w:rFonts w:eastAsia="Times New Roman"/>
              </w:rPr>
            </w:pPr>
            <w:r>
              <w:rPr>
                <w:rFonts w:eastAsia="Times New Roman"/>
              </w:rPr>
              <w:t>9687000_</w:t>
            </w:r>
          </w:p>
        </w:tc>
      </w:tr>
      <w:tr w:rsidR="00000000">
        <w:trPr>
          <w:tblCellSpacing w:w="15" w:type="dxa"/>
          <w:jc w:val="center"/>
        </w:trPr>
        <w:tc>
          <w:tcPr>
            <w:tcW w:w="0" w:type="auto"/>
            <w:vAlign w:val="center"/>
            <w:hideMark/>
          </w:tcPr>
          <w:p w:rsidR="00000000" w:rsidRDefault="00D4387D">
            <w:pPr>
              <w:jc w:val="center"/>
              <w:rPr>
                <w:rFonts w:eastAsia="Times New Roman"/>
              </w:rPr>
            </w:pPr>
            <w:r>
              <w:rPr>
                <w:rFonts w:eastAsia="Times New Roman"/>
              </w:rPr>
              <w:t>C_</w:t>
            </w:r>
          </w:p>
        </w:tc>
        <w:tc>
          <w:tcPr>
            <w:tcW w:w="0" w:type="auto"/>
            <w:vAlign w:val="center"/>
            <w:hideMark/>
          </w:tcPr>
          <w:p w:rsidR="00000000" w:rsidRDefault="00D4387D">
            <w:pPr>
              <w:jc w:val="center"/>
              <w:rPr>
                <w:rFonts w:eastAsia="Times New Roman"/>
              </w:rPr>
            </w:pPr>
            <w:r>
              <w:rPr>
                <w:rFonts w:eastAsia="Times New Roman"/>
              </w:rPr>
              <w:t>739000_</w:t>
            </w:r>
          </w:p>
        </w:tc>
        <w:tc>
          <w:tcPr>
            <w:tcW w:w="0" w:type="auto"/>
            <w:vAlign w:val="center"/>
            <w:hideMark/>
          </w:tcPr>
          <w:p w:rsidR="00000000" w:rsidRDefault="00D4387D">
            <w:pPr>
              <w:jc w:val="center"/>
              <w:rPr>
                <w:rFonts w:eastAsia="Times New Roman"/>
              </w:rPr>
            </w:pPr>
            <w:r>
              <w:rPr>
                <w:rFonts w:eastAsia="Times New Roman"/>
              </w:rPr>
              <w:t>9683000_</w:t>
            </w:r>
          </w:p>
        </w:tc>
      </w:tr>
      <w:tr w:rsidR="00000000">
        <w:trPr>
          <w:tblCellSpacing w:w="15" w:type="dxa"/>
          <w:jc w:val="center"/>
        </w:trPr>
        <w:tc>
          <w:tcPr>
            <w:tcW w:w="0" w:type="auto"/>
            <w:vAlign w:val="center"/>
            <w:hideMark/>
          </w:tcPr>
          <w:p w:rsidR="00000000" w:rsidRDefault="00D4387D">
            <w:pPr>
              <w:jc w:val="center"/>
              <w:rPr>
                <w:rFonts w:eastAsia="Times New Roman"/>
              </w:rPr>
            </w:pPr>
            <w:r>
              <w:rPr>
                <w:rFonts w:eastAsia="Times New Roman"/>
              </w:rPr>
              <w:t>O_</w:t>
            </w:r>
          </w:p>
        </w:tc>
        <w:tc>
          <w:tcPr>
            <w:tcW w:w="0" w:type="auto"/>
            <w:vAlign w:val="center"/>
            <w:hideMark/>
          </w:tcPr>
          <w:p w:rsidR="00000000" w:rsidRDefault="00D4387D">
            <w:pPr>
              <w:jc w:val="center"/>
              <w:rPr>
                <w:rFonts w:eastAsia="Times New Roman"/>
              </w:rPr>
            </w:pPr>
            <w:r>
              <w:rPr>
                <w:rFonts w:eastAsia="Times New Roman"/>
              </w:rPr>
              <w:t>736000_</w:t>
            </w:r>
          </w:p>
        </w:tc>
        <w:tc>
          <w:tcPr>
            <w:tcW w:w="0" w:type="auto"/>
            <w:vAlign w:val="center"/>
            <w:hideMark/>
          </w:tcPr>
          <w:p w:rsidR="00000000" w:rsidRDefault="00D4387D">
            <w:pPr>
              <w:jc w:val="center"/>
              <w:rPr>
                <w:rFonts w:eastAsia="Times New Roman"/>
              </w:rPr>
            </w:pPr>
            <w:r>
              <w:rPr>
                <w:rFonts w:eastAsia="Times New Roman"/>
              </w:rPr>
              <w:t>9683000_</w:t>
            </w:r>
          </w:p>
        </w:tc>
      </w:tr>
      <w:tr w:rsidR="00000000">
        <w:trPr>
          <w:tblCellSpacing w:w="15" w:type="dxa"/>
          <w:jc w:val="center"/>
        </w:trPr>
        <w:tc>
          <w:tcPr>
            <w:tcW w:w="0" w:type="auto"/>
            <w:gridSpan w:val="3"/>
            <w:vAlign w:val="center"/>
            <w:hideMark/>
          </w:tcPr>
          <w:p w:rsidR="00000000" w:rsidRDefault="00D4387D">
            <w:pPr>
              <w:jc w:val="center"/>
              <w:rPr>
                <w:rFonts w:eastAsia="Times New Roman"/>
              </w:rPr>
            </w:pPr>
            <w:r>
              <w:rPr>
                <w:rFonts w:eastAsia="Times New Roman"/>
                <w:b/>
                <w:bCs/>
              </w:rPr>
              <w:t>ZONA 3</w:t>
            </w:r>
          </w:p>
        </w:tc>
      </w:tr>
    </w:tbl>
    <w:p w:rsidR="00D4387D" w:rsidRDefault="00D4387D">
      <w:pPr>
        <w:rPr>
          <w:rFonts w:eastAsia="Times New Roman"/>
        </w:rPr>
      </w:pPr>
    </w:p>
    <w:sectPr w:rsidR="00D438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11F03"/>
    <w:rsid w:val="00311F03"/>
    <w:rsid w:val="00D4387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8A271C-CD39-44B2-9A29-C5648353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6677">
      <w:marLeft w:val="0"/>
      <w:marRight w:val="0"/>
      <w:marTop w:val="0"/>
      <w:marBottom w:val="0"/>
      <w:divBdr>
        <w:top w:val="none" w:sz="0" w:space="0" w:color="auto"/>
        <w:left w:val="none" w:sz="0" w:space="0" w:color="auto"/>
        <w:bottom w:val="none" w:sz="0" w:space="0" w:color="auto"/>
        <w:right w:val="none" w:sz="0" w:space="0" w:color="auto"/>
      </w:divBdr>
    </w:div>
    <w:div w:id="163861299">
      <w:marLeft w:val="0"/>
      <w:marRight w:val="0"/>
      <w:marTop w:val="0"/>
      <w:marBottom w:val="0"/>
      <w:divBdr>
        <w:top w:val="none" w:sz="0" w:space="0" w:color="auto"/>
        <w:left w:val="none" w:sz="0" w:space="0" w:color="auto"/>
        <w:bottom w:val="none" w:sz="0" w:space="0" w:color="auto"/>
        <w:right w:val="none" w:sz="0" w:space="0" w:color="auto"/>
      </w:divBdr>
    </w:div>
    <w:div w:id="584723709">
      <w:marLeft w:val="0"/>
      <w:marRight w:val="0"/>
      <w:marTop w:val="0"/>
      <w:marBottom w:val="0"/>
      <w:divBdr>
        <w:top w:val="none" w:sz="0" w:space="0" w:color="auto"/>
        <w:left w:val="none" w:sz="0" w:space="0" w:color="auto"/>
        <w:bottom w:val="none" w:sz="0" w:space="0" w:color="auto"/>
        <w:right w:val="none" w:sz="0" w:space="0" w:color="auto"/>
      </w:divBdr>
    </w:div>
    <w:div w:id="588852795">
      <w:marLeft w:val="0"/>
      <w:marRight w:val="0"/>
      <w:marTop w:val="0"/>
      <w:marBottom w:val="0"/>
      <w:divBdr>
        <w:top w:val="none" w:sz="0" w:space="0" w:color="auto"/>
        <w:left w:val="none" w:sz="0" w:space="0" w:color="auto"/>
        <w:bottom w:val="none" w:sz="0" w:space="0" w:color="auto"/>
        <w:right w:val="none" w:sz="0" w:space="0" w:color="auto"/>
      </w:divBdr>
    </w:div>
    <w:div w:id="694306183">
      <w:marLeft w:val="0"/>
      <w:marRight w:val="0"/>
      <w:marTop w:val="0"/>
      <w:marBottom w:val="0"/>
      <w:divBdr>
        <w:top w:val="none" w:sz="0" w:space="0" w:color="auto"/>
        <w:left w:val="none" w:sz="0" w:space="0" w:color="auto"/>
        <w:bottom w:val="none" w:sz="0" w:space="0" w:color="auto"/>
        <w:right w:val="none" w:sz="0" w:space="0" w:color="auto"/>
      </w:divBdr>
    </w:div>
    <w:div w:id="699823582">
      <w:marLeft w:val="0"/>
      <w:marRight w:val="0"/>
      <w:marTop w:val="0"/>
      <w:marBottom w:val="0"/>
      <w:divBdr>
        <w:top w:val="none" w:sz="0" w:space="0" w:color="auto"/>
        <w:left w:val="none" w:sz="0" w:space="0" w:color="auto"/>
        <w:bottom w:val="none" w:sz="0" w:space="0" w:color="auto"/>
        <w:right w:val="none" w:sz="0" w:space="0" w:color="auto"/>
      </w:divBdr>
    </w:div>
    <w:div w:id="707875553">
      <w:marLeft w:val="0"/>
      <w:marRight w:val="0"/>
      <w:marTop w:val="0"/>
      <w:marBottom w:val="0"/>
      <w:divBdr>
        <w:top w:val="none" w:sz="0" w:space="0" w:color="auto"/>
        <w:left w:val="none" w:sz="0" w:space="0" w:color="auto"/>
        <w:bottom w:val="none" w:sz="0" w:space="0" w:color="auto"/>
        <w:right w:val="none" w:sz="0" w:space="0" w:color="auto"/>
      </w:divBdr>
    </w:div>
    <w:div w:id="730618266">
      <w:marLeft w:val="0"/>
      <w:marRight w:val="0"/>
      <w:marTop w:val="0"/>
      <w:marBottom w:val="0"/>
      <w:divBdr>
        <w:top w:val="none" w:sz="0" w:space="0" w:color="auto"/>
        <w:left w:val="none" w:sz="0" w:space="0" w:color="auto"/>
        <w:bottom w:val="none" w:sz="0" w:space="0" w:color="auto"/>
        <w:right w:val="none" w:sz="0" w:space="0" w:color="auto"/>
      </w:divBdr>
    </w:div>
    <w:div w:id="808985236">
      <w:marLeft w:val="0"/>
      <w:marRight w:val="0"/>
      <w:marTop w:val="0"/>
      <w:marBottom w:val="0"/>
      <w:divBdr>
        <w:top w:val="none" w:sz="0" w:space="0" w:color="auto"/>
        <w:left w:val="none" w:sz="0" w:space="0" w:color="auto"/>
        <w:bottom w:val="none" w:sz="0" w:space="0" w:color="auto"/>
        <w:right w:val="none" w:sz="0" w:space="0" w:color="auto"/>
      </w:divBdr>
    </w:div>
    <w:div w:id="873465854">
      <w:marLeft w:val="0"/>
      <w:marRight w:val="0"/>
      <w:marTop w:val="0"/>
      <w:marBottom w:val="0"/>
      <w:divBdr>
        <w:top w:val="none" w:sz="0" w:space="0" w:color="auto"/>
        <w:left w:val="none" w:sz="0" w:space="0" w:color="auto"/>
        <w:bottom w:val="none" w:sz="0" w:space="0" w:color="auto"/>
        <w:right w:val="none" w:sz="0" w:space="0" w:color="auto"/>
      </w:divBdr>
    </w:div>
    <w:div w:id="925770376">
      <w:marLeft w:val="0"/>
      <w:marRight w:val="0"/>
      <w:marTop w:val="0"/>
      <w:marBottom w:val="0"/>
      <w:divBdr>
        <w:top w:val="none" w:sz="0" w:space="0" w:color="auto"/>
        <w:left w:val="none" w:sz="0" w:space="0" w:color="auto"/>
        <w:bottom w:val="none" w:sz="0" w:space="0" w:color="auto"/>
        <w:right w:val="none" w:sz="0" w:space="0" w:color="auto"/>
      </w:divBdr>
    </w:div>
    <w:div w:id="1344893685">
      <w:marLeft w:val="0"/>
      <w:marRight w:val="0"/>
      <w:marTop w:val="0"/>
      <w:marBottom w:val="0"/>
      <w:divBdr>
        <w:top w:val="none" w:sz="0" w:space="0" w:color="auto"/>
        <w:left w:val="none" w:sz="0" w:space="0" w:color="auto"/>
        <w:bottom w:val="none" w:sz="0" w:space="0" w:color="auto"/>
        <w:right w:val="none" w:sz="0" w:space="0" w:color="auto"/>
      </w:divBdr>
    </w:div>
    <w:div w:id="1549414744">
      <w:marLeft w:val="0"/>
      <w:marRight w:val="0"/>
      <w:marTop w:val="0"/>
      <w:marBottom w:val="0"/>
      <w:divBdr>
        <w:top w:val="none" w:sz="0" w:space="0" w:color="auto"/>
        <w:left w:val="none" w:sz="0" w:space="0" w:color="auto"/>
        <w:bottom w:val="none" w:sz="0" w:space="0" w:color="auto"/>
        <w:right w:val="none" w:sz="0" w:space="0" w:color="auto"/>
      </w:divBdr>
    </w:div>
    <w:div w:id="1576665348">
      <w:marLeft w:val="0"/>
      <w:marRight w:val="0"/>
      <w:marTop w:val="0"/>
      <w:marBottom w:val="0"/>
      <w:divBdr>
        <w:top w:val="none" w:sz="0" w:space="0" w:color="auto"/>
        <w:left w:val="none" w:sz="0" w:space="0" w:color="auto"/>
        <w:bottom w:val="none" w:sz="0" w:space="0" w:color="auto"/>
        <w:right w:val="none" w:sz="0" w:space="0" w:color="auto"/>
      </w:divBdr>
    </w:div>
    <w:div w:id="1608269292">
      <w:marLeft w:val="0"/>
      <w:marRight w:val="0"/>
      <w:marTop w:val="0"/>
      <w:marBottom w:val="0"/>
      <w:divBdr>
        <w:top w:val="none" w:sz="0" w:space="0" w:color="auto"/>
        <w:left w:val="none" w:sz="0" w:space="0" w:color="auto"/>
        <w:bottom w:val="none" w:sz="0" w:space="0" w:color="auto"/>
        <w:right w:val="none" w:sz="0" w:space="0" w:color="auto"/>
      </w:divBdr>
    </w:div>
    <w:div w:id="1659580385">
      <w:marLeft w:val="0"/>
      <w:marRight w:val="0"/>
      <w:marTop w:val="0"/>
      <w:marBottom w:val="0"/>
      <w:divBdr>
        <w:top w:val="none" w:sz="0" w:space="0" w:color="auto"/>
        <w:left w:val="none" w:sz="0" w:space="0" w:color="auto"/>
        <w:bottom w:val="none" w:sz="0" w:space="0" w:color="auto"/>
        <w:right w:val="none" w:sz="0" w:space="0" w:color="auto"/>
      </w:divBdr>
    </w:div>
    <w:div w:id="1661884919">
      <w:marLeft w:val="0"/>
      <w:marRight w:val="0"/>
      <w:marTop w:val="0"/>
      <w:marBottom w:val="0"/>
      <w:divBdr>
        <w:top w:val="none" w:sz="0" w:space="0" w:color="auto"/>
        <w:left w:val="none" w:sz="0" w:space="0" w:color="auto"/>
        <w:bottom w:val="none" w:sz="0" w:space="0" w:color="auto"/>
        <w:right w:val="none" w:sz="0" w:space="0" w:color="auto"/>
      </w:divBdr>
    </w:div>
    <w:div w:id="1785925456">
      <w:marLeft w:val="0"/>
      <w:marRight w:val="0"/>
      <w:marTop w:val="0"/>
      <w:marBottom w:val="0"/>
      <w:divBdr>
        <w:top w:val="none" w:sz="0" w:space="0" w:color="auto"/>
        <w:left w:val="none" w:sz="0" w:space="0" w:color="auto"/>
        <w:bottom w:val="none" w:sz="0" w:space="0" w:color="auto"/>
        <w:right w:val="none" w:sz="0" w:space="0" w:color="auto"/>
      </w:divBdr>
    </w:div>
    <w:div w:id="1819567700">
      <w:marLeft w:val="0"/>
      <w:marRight w:val="0"/>
      <w:marTop w:val="0"/>
      <w:marBottom w:val="0"/>
      <w:divBdr>
        <w:top w:val="none" w:sz="0" w:space="0" w:color="auto"/>
        <w:left w:val="none" w:sz="0" w:space="0" w:color="auto"/>
        <w:bottom w:val="none" w:sz="0" w:space="0" w:color="auto"/>
        <w:right w:val="none" w:sz="0" w:space="0" w:color="auto"/>
      </w:divBdr>
    </w:div>
    <w:div w:id="1820268325">
      <w:marLeft w:val="0"/>
      <w:marRight w:val="0"/>
      <w:marTop w:val="0"/>
      <w:marBottom w:val="0"/>
      <w:divBdr>
        <w:top w:val="none" w:sz="0" w:space="0" w:color="auto"/>
        <w:left w:val="none" w:sz="0" w:space="0" w:color="auto"/>
        <w:bottom w:val="none" w:sz="0" w:space="0" w:color="auto"/>
        <w:right w:val="none" w:sz="0" w:space="0" w:color="auto"/>
      </w:divBdr>
    </w:div>
    <w:div w:id="2008628155">
      <w:marLeft w:val="0"/>
      <w:marRight w:val="0"/>
      <w:marTop w:val="0"/>
      <w:marBottom w:val="0"/>
      <w:divBdr>
        <w:top w:val="none" w:sz="0" w:space="0" w:color="auto"/>
        <w:left w:val="none" w:sz="0" w:space="0" w:color="auto"/>
        <w:bottom w:val="none" w:sz="0" w:space="0" w:color="auto"/>
        <w:right w:val="none" w:sz="0" w:space="0" w:color="auto"/>
      </w:divBdr>
    </w:div>
    <w:div w:id="2062048717">
      <w:marLeft w:val="0"/>
      <w:marRight w:val="0"/>
      <w:marTop w:val="0"/>
      <w:marBottom w:val="0"/>
      <w:divBdr>
        <w:top w:val="none" w:sz="0" w:space="0" w:color="auto"/>
        <w:left w:val="none" w:sz="0" w:space="0" w:color="auto"/>
        <w:bottom w:val="none" w:sz="0" w:space="0" w:color="auto"/>
        <w:right w:val="none" w:sz="0" w:space="0" w:color="auto"/>
      </w:divBdr>
    </w:div>
    <w:div w:id="213424648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6655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2017-11-23T20:44:00Z</dcterms:created>
  <dcterms:modified xsi:type="dcterms:W3CDTF">2017-11-23T20:44:00Z</dcterms:modified>
</cp:coreProperties>
</file>