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461E">
      <w:pPr>
        <w:pStyle w:val="NormalWeb"/>
        <w:rPr>
          <w:lang w:val="es-ES"/>
        </w:rPr>
      </w:pPr>
      <w:bookmarkStart w:id="0" w:name="_GoBack"/>
      <w:bookmarkEnd w:id="0"/>
      <w:r>
        <w:rPr>
          <w:b/>
          <w:bCs/>
          <w:lang w:val="es-ES"/>
        </w:rPr>
        <w:t>Segundo Suplemento del Registro Oficial No.332 , 12 de Septiembre 2014</w:t>
      </w:r>
    </w:p>
    <w:p w:rsidR="00000000" w:rsidRDefault="0018461E">
      <w:pPr>
        <w:pStyle w:val="NormalWeb"/>
        <w:rPr>
          <w:lang w:val="es-ES"/>
        </w:rPr>
      </w:pPr>
      <w:r>
        <w:rPr>
          <w:b/>
          <w:bCs/>
          <w:lang w:val="es-ES"/>
        </w:rPr>
        <w:t>Normativa:</w:t>
      </w:r>
      <w:r>
        <w:rPr>
          <w:lang w:val="es-ES"/>
        </w:rPr>
        <w:t xml:space="preserve"> Vigente</w:t>
      </w:r>
    </w:p>
    <w:p w:rsidR="00000000" w:rsidRDefault="0018461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ORGÁNICO MONETARIO Y FINANCIERO</w:t>
      </w:r>
    </w:p>
    <w:p w:rsidR="00000000" w:rsidRDefault="0018461E">
      <w:pPr>
        <w:jc w:val="center"/>
        <w:rPr>
          <w:rFonts w:eastAsia="Times New Roman"/>
          <w:sz w:val="30"/>
          <w:szCs w:val="30"/>
          <w:lang w:val="es-ES"/>
        </w:rPr>
      </w:pPr>
      <w:r>
        <w:rPr>
          <w:rFonts w:eastAsia="Times New Roman"/>
          <w:sz w:val="30"/>
          <w:szCs w:val="30"/>
          <w:lang w:val="es-ES"/>
        </w:rPr>
        <w:t>(Ley s/n)</w:t>
      </w:r>
    </w:p>
    <w:p w:rsidR="00000000" w:rsidRDefault="0018461E">
      <w:pPr>
        <w:divId w:val="1463813641"/>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u w:val="single"/>
          <w:lang w:val="es-ES"/>
        </w:rPr>
        <w:br/>
      </w:r>
      <w:r>
        <w:rPr>
          <w:rFonts w:eastAsia="Times New Roman"/>
          <w:i/>
          <w:iCs/>
          <w:sz w:val="30"/>
          <w:szCs w:val="30"/>
          <w:lang w:val="es-ES"/>
        </w:rPr>
        <w:t>- De conformidad con las</w:t>
      </w:r>
      <w:r>
        <w:rPr>
          <w:rFonts w:eastAsia="Times New Roman"/>
          <w:i/>
          <w:iCs/>
          <w:sz w:val="30"/>
          <w:szCs w:val="30"/>
          <w:lang w:val="es-ES"/>
        </w:rPr>
        <w:t xml:space="preserve"> </w:t>
      </w:r>
      <w:r>
        <w:rPr>
          <w:rFonts w:eastAsia="Times New Roman"/>
          <w:i/>
          <w:iCs/>
          <w:sz w:val="30"/>
          <w:szCs w:val="30"/>
          <w:lang w:val="es-ES"/>
        </w:rPr>
        <w:t xml:space="preserve">Disposición Reformatoria Primera </w:t>
      </w:r>
      <w:r>
        <w:rPr>
          <w:rFonts w:eastAsia="Times New Roman"/>
          <w:i/>
          <w:iCs/>
          <w:sz w:val="30"/>
          <w:szCs w:val="30"/>
          <w:lang w:val="es-ES"/>
        </w:rPr>
        <w:t xml:space="preserve">del Código s/n publicada en el Suplemento del Registro Oficial 506 de 22 de mayo de 2015 dispone que: "En todas las disposiciones legales o reglamentarias vigentes, sustitúyase en lo que diga: 1. </w:t>
      </w:r>
      <w:r>
        <w:rPr>
          <w:rFonts w:eastAsia="Times New Roman"/>
          <w:i/>
          <w:iCs/>
          <w:sz w:val="30"/>
          <w:szCs w:val="30"/>
          <w:lang w:val="es-ES"/>
        </w:rPr>
        <w:t>“</w:t>
      </w:r>
      <w:r>
        <w:rPr>
          <w:rFonts w:eastAsia="Times New Roman"/>
          <w:i/>
          <w:iCs/>
          <w:sz w:val="30"/>
          <w:szCs w:val="30"/>
          <w:lang w:val="es-ES"/>
        </w:rPr>
        <w:t xml:space="preserve">Código de Procedimiento Civil"; </w:t>
      </w:r>
      <w:r>
        <w:rPr>
          <w:rFonts w:eastAsia="Times New Roman"/>
          <w:i/>
          <w:iCs/>
          <w:sz w:val="30"/>
          <w:szCs w:val="30"/>
          <w:lang w:val="es-ES"/>
        </w:rPr>
        <w:t>“</w:t>
      </w:r>
      <w:r>
        <w:rPr>
          <w:rFonts w:eastAsia="Times New Roman"/>
          <w:i/>
          <w:iCs/>
          <w:sz w:val="30"/>
          <w:szCs w:val="30"/>
          <w:lang w:val="es-ES"/>
        </w:rPr>
        <w:t>Ley de la Jurisdicción Con</w:t>
      </w:r>
      <w:r>
        <w:rPr>
          <w:rFonts w:eastAsia="Times New Roman"/>
          <w:i/>
          <w:iCs/>
          <w:sz w:val="30"/>
          <w:szCs w:val="30"/>
          <w:lang w:val="es-ES"/>
        </w:rPr>
        <w:t xml:space="preserve">tencioso Administrativa" y </w:t>
      </w:r>
      <w:r>
        <w:rPr>
          <w:rFonts w:eastAsia="Times New Roman"/>
          <w:i/>
          <w:iCs/>
          <w:sz w:val="30"/>
          <w:szCs w:val="30"/>
          <w:lang w:val="es-ES"/>
        </w:rPr>
        <w:t>“</w:t>
      </w:r>
      <w:r>
        <w:rPr>
          <w:rFonts w:eastAsia="Times New Roman"/>
          <w:i/>
          <w:iCs/>
          <w:sz w:val="30"/>
          <w:szCs w:val="30"/>
          <w:lang w:val="es-ES"/>
        </w:rPr>
        <w:t xml:space="preserve">Ley de Casación", por </w:t>
      </w:r>
      <w:r>
        <w:rPr>
          <w:rFonts w:eastAsia="Times New Roman"/>
          <w:i/>
          <w:iCs/>
          <w:sz w:val="30"/>
          <w:szCs w:val="30"/>
          <w:lang w:val="es-ES"/>
        </w:rPr>
        <w:t>“</w:t>
      </w:r>
      <w:r>
        <w:rPr>
          <w:rFonts w:eastAsia="Times New Roman"/>
          <w:i/>
          <w:iCs/>
          <w:sz w:val="30"/>
          <w:szCs w:val="30"/>
          <w:lang w:val="es-ES"/>
        </w:rPr>
        <w:t>Código Orgánico General de Procesos”; y, 2. “Juicio verbal sumario" por “procedimiento sumario”.</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lang w:val="es-ES"/>
        </w:rPr>
        <w:t xml:space="preserve">- </w:t>
      </w:r>
      <w:r>
        <w:rPr>
          <w:rFonts w:eastAsia="Times New Roman"/>
          <w:i/>
          <w:iCs/>
          <w:sz w:val="30"/>
          <w:szCs w:val="30"/>
          <w:lang w:val="es-ES"/>
        </w:rPr>
        <w:t>De conformidad con la</w:t>
      </w:r>
      <w:r>
        <w:rPr>
          <w:rFonts w:eastAsia="Times New Roman"/>
          <w:i/>
          <w:iCs/>
          <w:sz w:val="30"/>
          <w:szCs w:val="30"/>
          <w:lang w:val="es-ES"/>
        </w:rPr>
        <w:t xml:space="preserve"> </w:t>
      </w:r>
      <w:r>
        <w:rPr>
          <w:rFonts w:eastAsia="Times New Roman"/>
          <w:i/>
          <w:iCs/>
          <w:sz w:val="30"/>
          <w:szCs w:val="30"/>
          <w:lang w:val="es-ES"/>
        </w:rPr>
        <w:t>Disposición General Décima Octava del presente Código,</w:t>
      </w:r>
      <w:r>
        <w:rPr>
          <w:rFonts w:eastAsia="Times New Roman"/>
          <w:b/>
          <w:bCs/>
          <w:i/>
          <w:iCs/>
          <w:sz w:val="30"/>
          <w:szCs w:val="30"/>
          <w:lang w:val="es-ES"/>
        </w:rPr>
        <w:t xml:space="preserve"> </w:t>
      </w:r>
      <w:r>
        <w:rPr>
          <w:rFonts w:eastAsia="Times New Roman"/>
          <w:i/>
          <w:iCs/>
          <w:sz w:val="30"/>
          <w:szCs w:val="30"/>
          <w:lang w:val="es-ES"/>
        </w:rPr>
        <w:t>las disposiciones correspond</w:t>
      </w:r>
      <w:r>
        <w:rPr>
          <w:rFonts w:eastAsia="Times New Roman"/>
          <w:i/>
          <w:iCs/>
          <w:sz w:val="30"/>
          <w:szCs w:val="30"/>
          <w:lang w:val="es-ES"/>
        </w:rPr>
        <w:t>ientes al Sistema Monetario y Financiero contenidos en los Títulos I, II y III constituyen el Libro I, la</w:t>
      </w:r>
      <w:r>
        <w:rPr>
          <w:rFonts w:eastAsia="Times New Roman"/>
          <w:i/>
          <w:iCs/>
          <w:sz w:val="30"/>
          <w:szCs w:val="30"/>
          <w:lang w:val="es-ES"/>
        </w:rPr>
        <w:t xml:space="preserve"> </w:t>
      </w:r>
      <w:r>
        <w:rPr>
          <w:rFonts w:eastAsia="Times New Roman"/>
          <w:i/>
          <w:iCs/>
          <w:sz w:val="30"/>
          <w:szCs w:val="30"/>
          <w:lang w:val="es-ES"/>
        </w:rPr>
        <w:t>Ley de Mercado de Valores con sus reformas se incorpora como Libro II y la</w:t>
      </w:r>
      <w:r>
        <w:rPr>
          <w:rFonts w:eastAsia="Times New Roman"/>
          <w:i/>
          <w:iCs/>
          <w:sz w:val="30"/>
          <w:szCs w:val="30"/>
          <w:lang w:val="es-ES"/>
        </w:rPr>
        <w:t xml:space="preserve"> </w:t>
      </w:r>
      <w:r>
        <w:rPr>
          <w:rFonts w:eastAsia="Times New Roman"/>
          <w:i/>
          <w:iCs/>
          <w:sz w:val="30"/>
          <w:szCs w:val="30"/>
          <w:lang w:val="es-ES"/>
        </w:rPr>
        <w:t>Ley General de Seguros con sus reformas se agrega como Libro III del Código</w:t>
      </w:r>
      <w:r>
        <w:rPr>
          <w:rFonts w:eastAsia="Times New Roman"/>
          <w:i/>
          <w:iCs/>
          <w:sz w:val="30"/>
          <w:szCs w:val="30"/>
          <w:lang w:val="es-ES"/>
        </w:rPr>
        <w:t xml:space="preserve"> Orgánico Monetario y Financiero.</w:t>
      </w:r>
      <w:r>
        <w:rPr>
          <w:rFonts w:eastAsia="Times New Roman"/>
          <w:sz w:val="30"/>
          <w:szCs w:val="30"/>
          <w:lang w:val="es-ES"/>
        </w:rPr>
        <w:br/>
      </w: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Of. No. SAN-2014-1305</w:t>
      </w:r>
      <w:r>
        <w:rPr>
          <w:rFonts w:eastAsia="Times New Roman"/>
          <w:sz w:val="30"/>
          <w:szCs w:val="30"/>
          <w:lang w:val="es-ES"/>
        </w:rPr>
        <w:br/>
      </w:r>
      <w:r>
        <w:rPr>
          <w:rFonts w:eastAsia="Times New Roman"/>
          <w:sz w:val="30"/>
          <w:szCs w:val="30"/>
          <w:lang w:val="es-ES"/>
        </w:rPr>
        <w:br/>
        <w:t>Quito, 05 de septiembre de 2014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Ingeniero</w:t>
      </w:r>
      <w:r>
        <w:rPr>
          <w:rFonts w:eastAsia="Times New Roman"/>
          <w:sz w:val="30"/>
          <w:szCs w:val="30"/>
          <w:lang w:val="es-ES"/>
        </w:rPr>
        <w:br/>
      </w:r>
      <w:r>
        <w:rPr>
          <w:rFonts w:eastAsia="Times New Roman"/>
          <w:b/>
          <w:bCs/>
          <w:sz w:val="30"/>
          <w:szCs w:val="30"/>
          <w:lang w:val="es-ES"/>
        </w:rPr>
        <w:t>Hugo del Pozo Barrezueta</w:t>
      </w:r>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r>
      <w:r>
        <w:rPr>
          <w:rFonts w:eastAsia="Times New Roman"/>
          <w:sz w:val="30"/>
          <w:szCs w:val="30"/>
          <w:lang w:val="es-ES"/>
        </w:rPr>
        <w:lastRenderedPageBreak/>
        <w:br/>
        <w:t>En su despacho</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 xml:space="preserve">La Asamblea Nacional, de conformidad </w:t>
      </w:r>
      <w:r>
        <w:rPr>
          <w:rFonts w:eastAsia="Times New Roman"/>
          <w:sz w:val="30"/>
          <w:szCs w:val="30"/>
          <w:lang w:val="es-ES"/>
        </w:rPr>
        <w:t xml:space="preserve">con las atribuciones que le confiere la Constitución de la República del Ecuador y la Ley Orgánica de la Función Legislativa, discutió y aprobó el Proyecto de </w:t>
      </w:r>
      <w:r>
        <w:rPr>
          <w:rFonts w:eastAsia="Times New Roman"/>
          <w:b/>
          <w:bCs/>
          <w:sz w:val="30"/>
          <w:szCs w:val="30"/>
          <w:lang w:val="es-ES"/>
        </w:rPr>
        <w:t>CÓDIGO ORGÁNICO MONETARIO Y FINANCIERO.</w:t>
      </w:r>
      <w:r>
        <w:rPr>
          <w:rFonts w:eastAsia="Times New Roman"/>
          <w:sz w:val="30"/>
          <w:szCs w:val="30"/>
          <w:lang w:val="es-ES"/>
        </w:rPr>
        <w:br/>
      </w:r>
      <w:r>
        <w:rPr>
          <w:rFonts w:eastAsia="Times New Roman"/>
          <w:sz w:val="30"/>
          <w:szCs w:val="30"/>
          <w:lang w:val="es-ES"/>
        </w:rPr>
        <w:br/>
        <w:t>En sesión de 2 de septiembre de 2014, el Pleno de la Asa</w:t>
      </w:r>
      <w:r>
        <w:rPr>
          <w:rFonts w:eastAsia="Times New Roman"/>
          <w:sz w:val="30"/>
          <w:szCs w:val="30"/>
          <w:lang w:val="es-ES"/>
        </w:rPr>
        <w:t>mblea Nacional conoció y se pronunció sobre la objeción parcial presentada por el señor Presidente Constitucional de la República.</w:t>
      </w:r>
      <w:r>
        <w:rPr>
          <w:rFonts w:eastAsia="Times New Roman"/>
          <w:sz w:val="30"/>
          <w:szCs w:val="30"/>
          <w:lang w:val="es-ES"/>
        </w:rPr>
        <w:br/>
      </w:r>
      <w:r>
        <w:rPr>
          <w:rFonts w:eastAsia="Times New Roman"/>
          <w:sz w:val="30"/>
          <w:szCs w:val="30"/>
          <w:lang w:val="es-ES"/>
        </w:rPr>
        <w:br/>
        <w:t>Por lo expuesto; y, tal como lo dispone el artículo 138 de la Constitución de la República del Ecuador y el artículo 64 de l</w:t>
      </w:r>
      <w:r>
        <w:rPr>
          <w:rFonts w:eastAsia="Times New Roman"/>
          <w:sz w:val="30"/>
          <w:szCs w:val="30"/>
          <w:lang w:val="es-ES"/>
        </w:rPr>
        <w:t xml:space="preserve">a Ley Orgánica de la Función Legislativa, acompaño el texto del </w:t>
      </w:r>
      <w:r>
        <w:rPr>
          <w:rFonts w:eastAsia="Times New Roman"/>
          <w:b/>
          <w:bCs/>
          <w:sz w:val="30"/>
          <w:szCs w:val="30"/>
          <w:lang w:val="es-ES"/>
        </w:rPr>
        <w:t xml:space="preserve">CÓDIGO ORGÁNICO MONETARIO Y FINANCIERO, </w:t>
      </w:r>
      <w:r>
        <w:rPr>
          <w:rFonts w:eastAsia="Times New Roman"/>
          <w:sz w:val="30"/>
          <w:szCs w:val="30"/>
          <w:lang w:val="es-ES"/>
        </w:rPr>
        <w:t>para que se sirva publicarlo en el Registro Oficial.</w:t>
      </w:r>
      <w:r>
        <w:rPr>
          <w:rFonts w:eastAsia="Times New Roman"/>
          <w:sz w:val="30"/>
          <w:szCs w:val="30"/>
          <w:lang w:val="es-ES"/>
        </w:rPr>
        <w:br/>
      </w:r>
      <w:r>
        <w:rPr>
          <w:rFonts w:eastAsia="Times New Roman"/>
          <w:sz w:val="30"/>
          <w:szCs w:val="30"/>
          <w:lang w:val="es-ES"/>
        </w:rPr>
        <w:br/>
        <w:t>Atentamente,</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DRA. LIBIA RIVAS ORDÓÑEZ, Secretaria General.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ASAMBLEA</w:t>
      </w:r>
      <w:r>
        <w:rPr>
          <w:rFonts w:eastAsia="Times New Roman"/>
          <w:b/>
          <w:bCs/>
          <w:sz w:val="30"/>
          <w:szCs w:val="30"/>
          <w:lang w:val="es-ES"/>
        </w:rPr>
        <w:t xml:space="preserve"> NACIONAL </w:t>
      </w:r>
      <w:r>
        <w:rPr>
          <w:rFonts w:eastAsia="Times New Roman"/>
          <w:b/>
          <w:bCs/>
          <w:sz w:val="30"/>
          <w:szCs w:val="30"/>
          <w:lang w:val="es-ES"/>
        </w:rPr>
        <w:br/>
      </w:r>
      <w:r>
        <w:rPr>
          <w:rFonts w:eastAsia="Times New Roman"/>
          <w:b/>
          <w:bCs/>
          <w:sz w:val="30"/>
          <w:szCs w:val="30"/>
          <w:lang w:val="es-ES"/>
        </w:rPr>
        <w:br/>
        <w:t>CERTIFICACIÓN</w:t>
      </w:r>
      <w:r>
        <w:rPr>
          <w:rFonts w:eastAsia="Times New Roman"/>
          <w:sz w:val="30"/>
          <w:szCs w:val="30"/>
          <w:lang w:val="es-ES"/>
        </w:rPr>
        <w:br/>
      </w:r>
      <w:r>
        <w:rPr>
          <w:rFonts w:eastAsia="Times New Roman"/>
          <w:sz w:val="30"/>
          <w:szCs w:val="30"/>
          <w:lang w:val="es-ES"/>
        </w:rPr>
        <w:br/>
        <w:t xml:space="preserve">Me permito </w:t>
      </w:r>
      <w:r>
        <w:rPr>
          <w:rFonts w:eastAsia="Times New Roman"/>
          <w:b/>
          <w:bCs/>
          <w:sz w:val="30"/>
          <w:szCs w:val="30"/>
          <w:lang w:val="es-ES"/>
        </w:rPr>
        <w:t xml:space="preserve">CERTIFICAR </w:t>
      </w:r>
      <w:r>
        <w:rPr>
          <w:rFonts w:eastAsia="Times New Roman"/>
          <w:sz w:val="30"/>
          <w:szCs w:val="30"/>
          <w:lang w:val="es-ES"/>
        </w:rPr>
        <w:t xml:space="preserve">que la Asamblea Nacional discutió y aprobó el </w:t>
      </w:r>
      <w:r>
        <w:rPr>
          <w:rFonts w:eastAsia="Times New Roman"/>
          <w:b/>
          <w:bCs/>
          <w:sz w:val="30"/>
          <w:szCs w:val="30"/>
          <w:lang w:val="es-ES"/>
        </w:rPr>
        <w:t xml:space="preserve">PROYECTO DE CÓDIGO ORGÁNICO MONETARIO Y FINANCIERO, </w:t>
      </w:r>
      <w:r>
        <w:rPr>
          <w:rFonts w:eastAsia="Times New Roman"/>
          <w:sz w:val="30"/>
          <w:szCs w:val="30"/>
          <w:lang w:val="es-ES"/>
        </w:rPr>
        <w:t>en primer debate de 8 de julio de 2014; en segundo debate el 22 y 24 de julio de 2014; y, su objeción parcial</w:t>
      </w:r>
      <w:r>
        <w:rPr>
          <w:rFonts w:eastAsia="Times New Roman"/>
          <w:sz w:val="30"/>
          <w:szCs w:val="30"/>
          <w:lang w:val="es-ES"/>
        </w:rPr>
        <w:t xml:space="preserve"> el 2 de septiembre de 2014.</w:t>
      </w:r>
      <w:r>
        <w:rPr>
          <w:rFonts w:eastAsia="Times New Roman"/>
          <w:sz w:val="30"/>
          <w:szCs w:val="30"/>
          <w:lang w:val="es-ES"/>
        </w:rPr>
        <w:br/>
      </w:r>
      <w:r>
        <w:rPr>
          <w:rFonts w:eastAsia="Times New Roman"/>
          <w:sz w:val="30"/>
          <w:szCs w:val="30"/>
          <w:lang w:val="es-ES"/>
        </w:rPr>
        <w:br/>
        <w:t>Quito, 2 de septiembre de 2014.</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f.) </w:t>
      </w:r>
      <w:r>
        <w:rPr>
          <w:rFonts w:eastAsia="Times New Roman"/>
          <w:b/>
          <w:bCs/>
          <w:sz w:val="30"/>
          <w:szCs w:val="30"/>
          <w:lang w:val="es-ES"/>
        </w:rPr>
        <w:t xml:space="preserve">DRA. LIBIA RIVAS ORDÓÑEZ, </w:t>
      </w:r>
      <w:r>
        <w:rPr>
          <w:rFonts w:eastAsia="Times New Roman"/>
          <w:sz w:val="30"/>
          <w:szCs w:val="30"/>
          <w:lang w:val="es-ES"/>
        </w:rPr>
        <w:t>Secretaria General.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de conformidad con el artículo 261 numeral 5 de la Constitución de l</w:t>
      </w:r>
      <w:r>
        <w:rPr>
          <w:rFonts w:eastAsia="Times New Roman"/>
          <w:sz w:val="30"/>
          <w:szCs w:val="30"/>
          <w:lang w:val="es-ES"/>
        </w:rPr>
        <w:t>a República, el Estado central tendrá competencias exclusivas sobre las políticas económica y monetaria, entre otras;</w:t>
      </w:r>
      <w:r>
        <w:rPr>
          <w:rFonts w:eastAsia="Times New Roman"/>
          <w:sz w:val="30"/>
          <w:szCs w:val="30"/>
          <w:lang w:val="es-ES"/>
        </w:rPr>
        <w:br/>
      </w:r>
      <w:r>
        <w:rPr>
          <w:rFonts w:eastAsia="Times New Roman"/>
          <w:sz w:val="30"/>
          <w:szCs w:val="30"/>
          <w:lang w:val="es-ES"/>
        </w:rPr>
        <w:br/>
        <w:t>Que, el artículo 283 de la Carta Suprema del Estado establece que el sistema económico es social y solidario; reconoce al ser humano como</w:t>
      </w:r>
      <w:r>
        <w:rPr>
          <w:rFonts w:eastAsia="Times New Roman"/>
          <w:sz w:val="30"/>
          <w:szCs w:val="30"/>
          <w:lang w:val="es-ES"/>
        </w:rPr>
        <w:t xml:space="preserve"> sujeto y fin; propende a una relación dinámica y equilibrada entre sociedad, Estado y Mercado, en armonía con la naturaleza; tiene como objetivo garantizar la producción y reproducción de las condiciones materiales e inmateriales que posibiliten el Buen V</w:t>
      </w:r>
      <w:r>
        <w:rPr>
          <w:rFonts w:eastAsia="Times New Roman"/>
          <w:sz w:val="30"/>
          <w:szCs w:val="30"/>
          <w:lang w:val="es-ES"/>
        </w:rPr>
        <w:t>ivir; y prescribe que el sistema económico se integra por las formas de organización económica, pública, privada, mixta, popular y solidaria, y las demás que la Constitución determine;</w:t>
      </w:r>
      <w:r>
        <w:rPr>
          <w:rFonts w:eastAsia="Times New Roman"/>
          <w:sz w:val="30"/>
          <w:szCs w:val="30"/>
          <w:lang w:val="es-ES"/>
        </w:rPr>
        <w:br/>
      </w:r>
      <w:r>
        <w:rPr>
          <w:rFonts w:eastAsia="Times New Roman"/>
          <w:sz w:val="30"/>
          <w:szCs w:val="30"/>
          <w:lang w:val="es-ES"/>
        </w:rPr>
        <w:br/>
        <w:t>Que, el artículo 284 de la Constitución de la República dispone que la</w:t>
      </w:r>
      <w:r>
        <w:rPr>
          <w:rFonts w:eastAsia="Times New Roman"/>
          <w:sz w:val="30"/>
          <w:szCs w:val="30"/>
          <w:lang w:val="es-ES"/>
        </w:rPr>
        <w:t xml:space="preserve"> política económica tendrá los siguientes objetivos: 1) Asegurar una adecuada distribución del ingreso y de la riqueza nacional; 2) Incentivar la producción nacional, la productividad y competitividad sistémicas, la acumulación del conocimiento científico </w:t>
      </w:r>
      <w:r>
        <w:rPr>
          <w:rFonts w:eastAsia="Times New Roman"/>
          <w:sz w:val="30"/>
          <w:szCs w:val="30"/>
          <w:lang w:val="es-ES"/>
        </w:rPr>
        <w:t>y tecnológico, la inserción estratégica en la economía mundial y las actividades productivas complementarias en la integración regional; 3) Asegurar la soberanía alimentaria y energética; 4) Promocionar la incorporación del valor agregado con máxima eficie</w:t>
      </w:r>
      <w:r>
        <w:rPr>
          <w:rFonts w:eastAsia="Times New Roman"/>
          <w:sz w:val="30"/>
          <w:szCs w:val="30"/>
          <w:lang w:val="es-ES"/>
        </w:rPr>
        <w:t xml:space="preserve">ncia, dentro de los límites biofísicos de la naturaleza y el respeto a la vida y a las culturas; 5) Lograr un desarrollo equilibrado del territorio nacional, la integración entre regiones, en el campo, entre el campo y la ciudad, en lo económico, social y </w:t>
      </w:r>
      <w:r>
        <w:rPr>
          <w:rFonts w:eastAsia="Times New Roman"/>
          <w:sz w:val="30"/>
          <w:szCs w:val="30"/>
          <w:lang w:val="es-ES"/>
        </w:rPr>
        <w:t xml:space="preserve">cultural; 6) Impulsar el pleno empleo y valorar todas las formas de trabajo con respeto a los derechos laborales; 7) </w:t>
      </w:r>
      <w:r>
        <w:rPr>
          <w:rFonts w:eastAsia="Times New Roman"/>
          <w:sz w:val="30"/>
          <w:szCs w:val="30"/>
          <w:lang w:val="es-ES"/>
        </w:rPr>
        <w:lastRenderedPageBreak/>
        <w:t>Mantener la estabilidad económica, entendida como el máximo nivel de producción y empleo sostenibles en el tiempo; 8) Propiciar el intercam</w:t>
      </w:r>
      <w:r>
        <w:rPr>
          <w:rFonts w:eastAsia="Times New Roman"/>
          <w:sz w:val="30"/>
          <w:szCs w:val="30"/>
          <w:lang w:val="es-ES"/>
        </w:rPr>
        <w:t>bio justo y complementario de bienes y servicios en mercados transparentes y eficientes; 9) Impulsar un consumo social y ambientalmente responsable;</w:t>
      </w:r>
      <w:r>
        <w:rPr>
          <w:rFonts w:eastAsia="Times New Roman"/>
          <w:sz w:val="30"/>
          <w:szCs w:val="30"/>
          <w:lang w:val="es-ES"/>
        </w:rPr>
        <w:br/>
      </w:r>
      <w:r>
        <w:rPr>
          <w:rFonts w:eastAsia="Times New Roman"/>
          <w:sz w:val="30"/>
          <w:szCs w:val="30"/>
          <w:lang w:val="es-ES"/>
        </w:rPr>
        <w:br/>
        <w:t>Que, de acuerdo con el artículo 302 numerales 2 y 3 de la Constitución de la República, la política moneta</w:t>
      </w:r>
      <w:r>
        <w:rPr>
          <w:rFonts w:eastAsia="Times New Roman"/>
          <w:sz w:val="30"/>
          <w:szCs w:val="30"/>
          <w:lang w:val="es-ES"/>
        </w:rPr>
        <w:t xml:space="preserve">ria, crediticia, cambiaria y financiera tendrán como objetivos: establecer niveles de liquidez global que garanticen adecuados márgenes de seguridad financiera y orientar los excedentes de liquidez hacia la inversión requerida para el desarrollo del país, </w:t>
      </w:r>
      <w:r>
        <w:rPr>
          <w:rFonts w:eastAsia="Times New Roman"/>
          <w:sz w:val="30"/>
          <w:szCs w:val="30"/>
          <w:lang w:val="es-ES"/>
        </w:rPr>
        <w:t>respectivamente;</w:t>
      </w:r>
      <w:r>
        <w:rPr>
          <w:rFonts w:eastAsia="Times New Roman"/>
          <w:sz w:val="30"/>
          <w:szCs w:val="30"/>
          <w:lang w:val="es-ES"/>
        </w:rPr>
        <w:br/>
      </w:r>
      <w:r>
        <w:rPr>
          <w:rFonts w:eastAsia="Times New Roman"/>
          <w:sz w:val="30"/>
          <w:szCs w:val="30"/>
          <w:lang w:val="es-ES"/>
        </w:rPr>
        <w:br/>
        <w:t>Que, el artículo 303 de la Carta Política del Estado prescribe que la formulación de las políticas monetaria, crediticia, cambiaria y financiera es facultad exclusiva de la Función Ejecutiva que se instrumentará a través del Banco Central</w:t>
      </w:r>
      <w:r>
        <w:rPr>
          <w:rFonts w:eastAsia="Times New Roman"/>
          <w:sz w:val="30"/>
          <w:szCs w:val="30"/>
          <w:lang w:val="es-ES"/>
        </w:rPr>
        <w:t xml:space="preserve"> y que la ejecución de la política crediticia y financiera también se ejercerá a través de la banca pública;</w:t>
      </w:r>
      <w:r>
        <w:rPr>
          <w:rFonts w:eastAsia="Times New Roman"/>
          <w:sz w:val="30"/>
          <w:szCs w:val="30"/>
          <w:lang w:val="es-ES"/>
        </w:rPr>
        <w:br/>
      </w:r>
      <w:r>
        <w:rPr>
          <w:rFonts w:eastAsia="Times New Roman"/>
          <w:sz w:val="30"/>
          <w:szCs w:val="30"/>
          <w:lang w:val="es-ES"/>
        </w:rPr>
        <w:br/>
        <w:t>Que, el artículo 308 de la Constitución de la República ordena que las actividades financieras son un servicio de orden público y podrán ejercerse</w:t>
      </w:r>
      <w:r>
        <w:rPr>
          <w:rFonts w:eastAsia="Times New Roman"/>
          <w:sz w:val="30"/>
          <w:szCs w:val="30"/>
          <w:lang w:val="es-ES"/>
        </w:rPr>
        <w:t xml:space="preserve"> previa autorización del Estado, de acuerdo con la ley;</w:t>
      </w:r>
      <w:r>
        <w:rPr>
          <w:rFonts w:eastAsia="Times New Roman"/>
          <w:sz w:val="30"/>
          <w:szCs w:val="30"/>
          <w:lang w:val="es-ES"/>
        </w:rPr>
        <w:br/>
      </w:r>
      <w:r>
        <w:rPr>
          <w:rFonts w:eastAsia="Times New Roman"/>
          <w:sz w:val="30"/>
          <w:szCs w:val="30"/>
          <w:lang w:val="es-ES"/>
        </w:rPr>
        <w:br/>
        <w:t xml:space="preserve">Que, el artículo 309 de la Constitución de la República dispone que el sistema financiero nacional se compone de los sectores público, privado y del popular y solidario, que intermedian recursos del </w:t>
      </w:r>
      <w:r>
        <w:rPr>
          <w:rFonts w:eastAsia="Times New Roman"/>
          <w:sz w:val="30"/>
          <w:szCs w:val="30"/>
          <w:lang w:val="es-ES"/>
        </w:rPr>
        <w:t>público y prescribe que cada uno de estos sectores contará con normas y entidades de control específicas y diferenciadas, que se encargarán de preservar su seguridad, estabilidad, transparencia y solidez;</w:t>
      </w:r>
      <w:r>
        <w:rPr>
          <w:rFonts w:eastAsia="Times New Roman"/>
          <w:sz w:val="30"/>
          <w:szCs w:val="30"/>
          <w:lang w:val="es-ES"/>
        </w:rPr>
        <w:br/>
      </w:r>
      <w:r>
        <w:rPr>
          <w:rFonts w:eastAsia="Times New Roman"/>
          <w:sz w:val="30"/>
          <w:szCs w:val="30"/>
          <w:lang w:val="es-ES"/>
        </w:rPr>
        <w:br/>
        <w:t>Que, el artículo 312 de la Constitución de la Repú</w:t>
      </w:r>
      <w:r>
        <w:rPr>
          <w:rFonts w:eastAsia="Times New Roman"/>
          <w:sz w:val="30"/>
          <w:szCs w:val="30"/>
          <w:lang w:val="es-ES"/>
        </w:rPr>
        <w:t>blica establece que las instituciones del sistema financiero privado, sus directores y principales accionistas no podrán ser titulares, directa ni indirectamente, de acciones y participaciones en empresas ajenas a la actividad financiera;</w:t>
      </w:r>
      <w:r>
        <w:rPr>
          <w:rFonts w:eastAsia="Times New Roman"/>
          <w:sz w:val="30"/>
          <w:szCs w:val="30"/>
          <w:lang w:val="es-ES"/>
        </w:rPr>
        <w:br/>
      </w:r>
      <w:r>
        <w:rPr>
          <w:rFonts w:eastAsia="Times New Roman"/>
          <w:sz w:val="30"/>
          <w:szCs w:val="30"/>
          <w:lang w:val="es-ES"/>
        </w:rPr>
        <w:br/>
        <w:t xml:space="preserve">Que, de acuerdo </w:t>
      </w:r>
      <w:r>
        <w:rPr>
          <w:rFonts w:eastAsia="Times New Roman"/>
          <w:sz w:val="30"/>
          <w:szCs w:val="30"/>
          <w:lang w:val="es-ES"/>
        </w:rPr>
        <w:t>al artículo 338 de la Constitución de la República, el Estado promoverá y protegerá el ahorro interno como fuente de inversión productiva en el país;</w:t>
      </w:r>
      <w:r>
        <w:rPr>
          <w:rFonts w:eastAsia="Times New Roman"/>
          <w:sz w:val="30"/>
          <w:szCs w:val="30"/>
          <w:lang w:val="es-ES"/>
        </w:rPr>
        <w:br/>
      </w:r>
      <w:r>
        <w:rPr>
          <w:rFonts w:eastAsia="Times New Roman"/>
          <w:sz w:val="30"/>
          <w:szCs w:val="30"/>
          <w:lang w:val="es-ES"/>
        </w:rPr>
        <w:lastRenderedPageBreak/>
        <w:br/>
        <w:t>Que, es necesario sistematizar dentro de un cuerpo legal todas las disposiciones de leyes relacionadas co</w:t>
      </w:r>
      <w:r>
        <w:rPr>
          <w:rFonts w:eastAsia="Times New Roman"/>
          <w:sz w:val="30"/>
          <w:szCs w:val="30"/>
          <w:lang w:val="es-ES"/>
        </w:rPr>
        <w:t>n las políticas monetaria, financiera, crediticia y cambiaria, como parte de la nueva arquitectura financiera ecuatoriana;</w:t>
      </w:r>
      <w:r>
        <w:rPr>
          <w:rFonts w:eastAsia="Times New Roman"/>
          <w:sz w:val="30"/>
          <w:szCs w:val="30"/>
          <w:lang w:val="es-ES"/>
        </w:rPr>
        <w:br/>
      </w:r>
      <w:r>
        <w:rPr>
          <w:rFonts w:eastAsia="Times New Roman"/>
          <w:sz w:val="30"/>
          <w:szCs w:val="30"/>
          <w:lang w:val="es-ES"/>
        </w:rPr>
        <w:br/>
        <w:t>Que, es necesario determinar las instituciones responsables de la formulación de las políticas en los ámbitos monetario, financiero,</w:t>
      </w:r>
      <w:r>
        <w:rPr>
          <w:rFonts w:eastAsia="Times New Roman"/>
          <w:sz w:val="30"/>
          <w:szCs w:val="30"/>
          <w:lang w:val="es-ES"/>
        </w:rPr>
        <w:t xml:space="preserve"> crediticio y cambiario, así como de la regulación de los servicios financieros de orden público y de su control; y,</w:t>
      </w:r>
      <w:r>
        <w:rPr>
          <w:rFonts w:eastAsia="Times New Roman"/>
          <w:sz w:val="30"/>
          <w:szCs w:val="30"/>
          <w:lang w:val="es-ES"/>
        </w:rPr>
        <w:br/>
      </w:r>
      <w:r>
        <w:rPr>
          <w:rFonts w:eastAsia="Times New Roman"/>
          <w:sz w:val="30"/>
          <w:szCs w:val="30"/>
          <w:lang w:val="es-ES"/>
        </w:rPr>
        <w:br/>
        <w:t>En ejercicio de las facultades establecidas en el artículo 120 numeral 6 de la Constitución de la República, expide el siguiente:</w:t>
      </w:r>
      <w:r>
        <w:rPr>
          <w:rFonts w:eastAsia="Times New Roman"/>
          <w:sz w:val="30"/>
          <w:szCs w:val="30"/>
          <w:lang w:val="es-ES"/>
        </w:rPr>
        <w:br/>
      </w:r>
      <w:r>
        <w:rPr>
          <w:rFonts w:eastAsia="Times New Roman"/>
          <w:sz w:val="30"/>
          <w:szCs w:val="30"/>
          <w:lang w:val="es-ES"/>
        </w:rPr>
        <w:br/>
        <w:t xml:space="preserve">CÓDIGO </w:t>
      </w:r>
      <w:r>
        <w:rPr>
          <w:rFonts w:eastAsia="Times New Roman"/>
          <w:sz w:val="30"/>
          <w:szCs w:val="30"/>
          <w:lang w:val="es-ES"/>
        </w:rPr>
        <w:t>ORGÁNICO MONETARIO Y FINANCIERO</w:t>
      </w:r>
    </w:p>
    <w:p w:rsidR="00000000"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LIBRO I</w:t>
      </w:r>
      <w:r>
        <w:rPr>
          <w:rFonts w:eastAsia="Times New Roman"/>
          <w:b/>
          <w:bCs/>
          <w:sz w:val="36"/>
          <w:szCs w:val="36"/>
          <w:lang w:val="es-ES"/>
        </w:rPr>
        <w:br/>
      </w:r>
      <w:r>
        <w:rPr>
          <w:rFonts w:eastAsia="Times New Roman"/>
          <w:b/>
          <w:bCs/>
          <w:sz w:val="36"/>
          <w:szCs w:val="36"/>
          <w:lang w:val="es-ES"/>
        </w:rPr>
        <w:br/>
        <w:t>CÓDIGO ORGÁNICO MONETARIO Y FINANCIERO</w:t>
      </w:r>
    </w:p>
    <w:p w:rsidR="00000000" w:rsidRDefault="0018461E">
      <w:pPr>
        <w:jc w:val="center"/>
        <w:rPr>
          <w:rFonts w:eastAsia="Times New Roman"/>
          <w:sz w:val="36"/>
          <w:szCs w:val="36"/>
          <w:lang w:val="es-ES"/>
        </w:rPr>
      </w:pPr>
      <w:r>
        <w:rPr>
          <w:rFonts w:eastAsia="Times New Roman"/>
          <w:b/>
          <w:bCs/>
          <w:sz w:val="36"/>
          <w:szCs w:val="36"/>
          <w:lang w:val="es-ES"/>
        </w:rPr>
        <w:br/>
        <w:t>Título Preliminar</w:t>
      </w:r>
      <w:r>
        <w:rPr>
          <w:rFonts w:eastAsia="Times New Roman"/>
          <w:b/>
          <w:bCs/>
          <w:sz w:val="36"/>
          <w:szCs w:val="36"/>
          <w:lang w:val="es-ES"/>
        </w:rPr>
        <w:br/>
        <w:t>DISPOSICIONES COMUNES</w:t>
      </w:r>
    </w:p>
    <w:p w:rsidR="00000000" w:rsidRDefault="0018461E">
      <w:pPr>
        <w:jc w:val="center"/>
        <w:rPr>
          <w:rFonts w:eastAsia="Times New Roman"/>
          <w:sz w:val="36"/>
          <w:szCs w:val="36"/>
          <w:lang w:val="es-ES"/>
        </w:rPr>
      </w:pPr>
      <w:r>
        <w:rPr>
          <w:rFonts w:eastAsia="Times New Roman"/>
          <w:b/>
          <w:bCs/>
          <w:sz w:val="36"/>
          <w:szCs w:val="36"/>
          <w:lang w:val="es-ES"/>
        </w:rPr>
        <w:br/>
        <w:t>Capítulo 1</w:t>
      </w:r>
      <w:r>
        <w:rPr>
          <w:rFonts w:eastAsia="Times New Roman"/>
          <w:b/>
          <w:bCs/>
          <w:sz w:val="36"/>
          <w:szCs w:val="36"/>
          <w:lang w:val="es-ES"/>
        </w:rPr>
        <w:br/>
        <w:t>PRINCIPIOS GENERALES</w:t>
      </w:r>
    </w:p>
    <w:p w:rsidR="00000000" w:rsidRDefault="0018461E">
      <w:pPr>
        <w:divId w:val="420218851"/>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 xml:space="preserve">Objeto. </w:t>
      </w:r>
      <w:r>
        <w:rPr>
          <w:rFonts w:eastAsia="Times New Roman"/>
          <w:sz w:val="30"/>
          <w:szCs w:val="30"/>
          <w:lang w:val="es-ES"/>
        </w:rPr>
        <w:t>El Código Orgánico Monetario y Financiero tiene por objeto regular los sistemas monetario y financiero, así como los regímenes de valores y seguros del Ecuador.</w:t>
      </w:r>
    </w:p>
    <w:p w:rsidR="00000000" w:rsidRDefault="0018461E">
      <w:pPr>
        <w:divId w:val="301011081"/>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Ámbito. </w:t>
      </w:r>
      <w:r>
        <w:rPr>
          <w:rFonts w:eastAsia="Times New Roman"/>
          <w:sz w:val="30"/>
          <w:szCs w:val="30"/>
          <w:lang w:val="es-ES"/>
        </w:rPr>
        <w:t>Este Código establece el marco de políticas, regulaciones, supervisión, contro</w:t>
      </w:r>
      <w:r>
        <w:rPr>
          <w:rFonts w:eastAsia="Times New Roman"/>
          <w:sz w:val="30"/>
          <w:szCs w:val="30"/>
          <w:lang w:val="es-ES"/>
        </w:rPr>
        <w:t>l y rendición de cuentas que rige los sistemas monetario y financiero, así como los regímenes de valores y seguros, el ejercicio de sus actividades y la relación con sus usuarios.</w:t>
      </w:r>
    </w:p>
    <w:p w:rsidR="00000000" w:rsidRDefault="0018461E">
      <w:pPr>
        <w:divId w:val="1551650572"/>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Objetivos. </w:t>
      </w:r>
      <w:r>
        <w:rPr>
          <w:rFonts w:eastAsia="Times New Roman"/>
          <w:sz w:val="30"/>
          <w:szCs w:val="30"/>
          <w:lang w:val="es-ES"/>
        </w:rPr>
        <w:t>Los objetivos de este Código son:</w:t>
      </w:r>
      <w:r>
        <w:rPr>
          <w:rFonts w:eastAsia="Times New Roman"/>
          <w:sz w:val="30"/>
          <w:szCs w:val="30"/>
          <w:lang w:val="es-ES"/>
        </w:rPr>
        <w:br/>
      </w:r>
      <w:r>
        <w:rPr>
          <w:rFonts w:eastAsia="Times New Roman"/>
          <w:sz w:val="30"/>
          <w:szCs w:val="30"/>
          <w:lang w:val="es-ES"/>
        </w:rPr>
        <w:br/>
        <w:t>1. Potenciar la gener</w:t>
      </w:r>
      <w:r>
        <w:rPr>
          <w:rFonts w:eastAsia="Times New Roman"/>
          <w:sz w:val="30"/>
          <w:szCs w:val="30"/>
          <w:lang w:val="es-ES"/>
        </w:rPr>
        <w:t>ación de trabajo, la producción de riqueza, su distribución y redistribución;</w:t>
      </w:r>
      <w:r>
        <w:rPr>
          <w:rFonts w:eastAsia="Times New Roman"/>
          <w:sz w:val="30"/>
          <w:szCs w:val="30"/>
          <w:lang w:val="es-ES"/>
        </w:rPr>
        <w:br/>
      </w:r>
      <w:r>
        <w:rPr>
          <w:rFonts w:eastAsia="Times New Roman"/>
          <w:sz w:val="30"/>
          <w:szCs w:val="30"/>
          <w:lang w:val="es-ES"/>
        </w:rPr>
        <w:lastRenderedPageBreak/>
        <w:br/>
        <w:t>2. Asegurar que el ejercicio de las actividades monetarias, financieras, de valores y seguros sea consistente e integrado;</w:t>
      </w:r>
      <w:r>
        <w:rPr>
          <w:rFonts w:eastAsia="Times New Roman"/>
          <w:sz w:val="30"/>
          <w:szCs w:val="30"/>
          <w:lang w:val="es-ES"/>
        </w:rPr>
        <w:br/>
      </w:r>
      <w:r>
        <w:rPr>
          <w:rFonts w:eastAsia="Times New Roman"/>
          <w:sz w:val="30"/>
          <w:szCs w:val="30"/>
          <w:lang w:val="es-ES"/>
        </w:rPr>
        <w:br/>
        <w:t>3. Asegurar los niveles de liquidez de la economía pa</w:t>
      </w:r>
      <w:r>
        <w:rPr>
          <w:rFonts w:eastAsia="Times New Roman"/>
          <w:sz w:val="30"/>
          <w:szCs w:val="30"/>
          <w:lang w:val="es-ES"/>
        </w:rPr>
        <w:t>ra contribuir al cumplimiento del programa económico;</w:t>
      </w:r>
      <w:r>
        <w:rPr>
          <w:rFonts w:eastAsia="Times New Roman"/>
          <w:sz w:val="30"/>
          <w:szCs w:val="30"/>
          <w:lang w:val="es-ES"/>
        </w:rPr>
        <w:br/>
      </w:r>
      <w:r>
        <w:rPr>
          <w:rFonts w:eastAsia="Times New Roman"/>
          <w:sz w:val="30"/>
          <w:szCs w:val="30"/>
          <w:lang w:val="es-ES"/>
        </w:rPr>
        <w:br/>
        <w:t>4. Procurar la sostenibilidad del sistema financiero nacional y de los regímenes de seguros y valores y garantizar el cumplimiento de las obligaciones de cada uno de los sectores y entidades que los co</w:t>
      </w:r>
      <w:r>
        <w:rPr>
          <w:rFonts w:eastAsia="Times New Roman"/>
          <w:sz w:val="30"/>
          <w:szCs w:val="30"/>
          <w:lang w:val="es-ES"/>
        </w:rPr>
        <w:t>nforman;</w:t>
      </w:r>
      <w:r>
        <w:rPr>
          <w:rFonts w:eastAsia="Times New Roman"/>
          <w:sz w:val="30"/>
          <w:szCs w:val="30"/>
          <w:lang w:val="es-ES"/>
        </w:rPr>
        <w:br/>
      </w:r>
      <w:r>
        <w:rPr>
          <w:rFonts w:eastAsia="Times New Roman"/>
          <w:sz w:val="30"/>
          <w:szCs w:val="30"/>
          <w:lang w:val="es-ES"/>
        </w:rPr>
        <w:br/>
        <w:t>5. Mitigar los riesgos sistémicos y reducir las fluctuaciones económicas;</w:t>
      </w:r>
      <w:r>
        <w:rPr>
          <w:rFonts w:eastAsia="Times New Roman"/>
          <w:sz w:val="30"/>
          <w:szCs w:val="30"/>
          <w:lang w:val="es-ES"/>
        </w:rPr>
        <w:br/>
      </w:r>
      <w:r>
        <w:rPr>
          <w:rFonts w:eastAsia="Times New Roman"/>
          <w:sz w:val="30"/>
          <w:szCs w:val="30"/>
          <w:lang w:val="es-ES"/>
        </w:rPr>
        <w:br/>
        <w:t>6. Proteger los derechos de los usuarios de los servicios financieros, de valores y seguros;</w:t>
      </w:r>
      <w:r>
        <w:rPr>
          <w:rFonts w:eastAsia="Times New Roman"/>
          <w:sz w:val="30"/>
          <w:szCs w:val="30"/>
          <w:lang w:val="es-ES"/>
        </w:rPr>
        <w:br/>
      </w:r>
      <w:r>
        <w:rPr>
          <w:rFonts w:eastAsia="Times New Roman"/>
          <w:sz w:val="30"/>
          <w:szCs w:val="30"/>
          <w:lang w:val="es-ES"/>
        </w:rPr>
        <w:br/>
        <w:t>7. Profundizar el proceso de constitución de un sistema económico social y so</w:t>
      </w:r>
      <w:r>
        <w:rPr>
          <w:rFonts w:eastAsia="Times New Roman"/>
          <w:sz w:val="30"/>
          <w:szCs w:val="30"/>
          <w:lang w:val="es-ES"/>
        </w:rPr>
        <w:t>lidario, en el que los seres humanos son el fin de la política pública;</w:t>
      </w:r>
      <w:r>
        <w:rPr>
          <w:rFonts w:eastAsia="Times New Roman"/>
          <w:sz w:val="30"/>
          <w:szCs w:val="30"/>
          <w:lang w:val="es-ES"/>
        </w:rPr>
        <w:br/>
      </w:r>
      <w:r>
        <w:rPr>
          <w:rFonts w:eastAsia="Times New Roman"/>
          <w:sz w:val="30"/>
          <w:szCs w:val="30"/>
          <w:lang w:val="es-ES"/>
        </w:rPr>
        <w:br/>
        <w:t>8. Fortalecer la inserción estratégica a nivel regional e internacional;</w:t>
      </w:r>
      <w:r>
        <w:rPr>
          <w:rFonts w:eastAsia="Times New Roman"/>
          <w:sz w:val="30"/>
          <w:szCs w:val="30"/>
          <w:lang w:val="es-ES"/>
        </w:rPr>
        <w:br/>
      </w:r>
      <w:r>
        <w:rPr>
          <w:rFonts w:eastAsia="Times New Roman"/>
          <w:sz w:val="30"/>
          <w:szCs w:val="30"/>
          <w:lang w:val="es-ES"/>
        </w:rPr>
        <w:br/>
        <w:t>9. Fomentar, promover y generar incentivos a favor de las entidades de la Economía Popular y Solidaria; y,</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0. Promover el acceso al crédito de personas en movilidad humana, con discapacidad, jóvenes, madres solteras y otras personas pertenecientes a los grupos de atención prioritaria.</w:t>
      </w:r>
    </w:p>
    <w:p w:rsidR="00000000" w:rsidRDefault="0018461E">
      <w:pPr>
        <w:divId w:val="322007809"/>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Principios. </w:t>
      </w:r>
      <w:r>
        <w:rPr>
          <w:rFonts w:eastAsia="Times New Roman"/>
          <w:sz w:val="30"/>
          <w:szCs w:val="30"/>
          <w:lang w:val="es-ES"/>
        </w:rPr>
        <w:t>Los principios que inspiran las disposiciones del Código</w:t>
      </w:r>
      <w:r>
        <w:rPr>
          <w:rFonts w:eastAsia="Times New Roman"/>
          <w:sz w:val="30"/>
          <w:szCs w:val="30"/>
          <w:lang w:val="es-ES"/>
        </w:rPr>
        <w:t xml:space="preserve"> Orgánico Monetario y Financiero son:</w:t>
      </w:r>
      <w:r>
        <w:rPr>
          <w:rFonts w:eastAsia="Times New Roman"/>
          <w:sz w:val="30"/>
          <w:szCs w:val="30"/>
          <w:lang w:val="es-ES"/>
        </w:rPr>
        <w:br/>
      </w:r>
      <w:r>
        <w:rPr>
          <w:rFonts w:eastAsia="Times New Roman"/>
          <w:sz w:val="30"/>
          <w:szCs w:val="30"/>
          <w:lang w:val="es-ES"/>
        </w:rPr>
        <w:br/>
        <w:t>1. La prevalencia del ser humano por sobre el capital;</w:t>
      </w:r>
      <w:r>
        <w:rPr>
          <w:rFonts w:eastAsia="Times New Roman"/>
          <w:sz w:val="30"/>
          <w:szCs w:val="30"/>
          <w:lang w:val="es-ES"/>
        </w:rPr>
        <w:br/>
      </w:r>
      <w:r>
        <w:rPr>
          <w:rFonts w:eastAsia="Times New Roman"/>
          <w:sz w:val="30"/>
          <w:szCs w:val="30"/>
          <w:lang w:val="es-ES"/>
        </w:rPr>
        <w:br/>
        <w:t>2. La subordinación del ámbito monetario, financiero, de valores y seguros como instrumento al servicio de la economía real;</w:t>
      </w:r>
      <w:r>
        <w:rPr>
          <w:rFonts w:eastAsia="Times New Roman"/>
          <w:sz w:val="30"/>
          <w:szCs w:val="30"/>
          <w:lang w:val="es-ES"/>
        </w:rPr>
        <w:br/>
      </w:r>
      <w:r>
        <w:rPr>
          <w:rFonts w:eastAsia="Times New Roman"/>
          <w:sz w:val="30"/>
          <w:szCs w:val="30"/>
          <w:lang w:val="es-ES"/>
        </w:rPr>
        <w:br/>
        <w:t>3. El ejercicio de la soberanía mon</w:t>
      </w:r>
      <w:r>
        <w:rPr>
          <w:rFonts w:eastAsia="Times New Roman"/>
          <w:sz w:val="30"/>
          <w:szCs w:val="30"/>
          <w:lang w:val="es-ES"/>
        </w:rPr>
        <w:t>etaria y financiera y la inserción estratégica internacional;</w:t>
      </w:r>
      <w:r>
        <w:rPr>
          <w:rFonts w:eastAsia="Times New Roman"/>
          <w:sz w:val="30"/>
          <w:szCs w:val="30"/>
          <w:lang w:val="es-ES"/>
        </w:rPr>
        <w:br/>
      </w:r>
      <w:r>
        <w:rPr>
          <w:rFonts w:eastAsia="Times New Roman"/>
          <w:sz w:val="30"/>
          <w:szCs w:val="30"/>
          <w:lang w:val="es-ES"/>
        </w:rPr>
        <w:lastRenderedPageBreak/>
        <w:br/>
        <w:t>4. La inclusión y equidad;</w:t>
      </w:r>
      <w:r>
        <w:rPr>
          <w:rFonts w:eastAsia="Times New Roman"/>
          <w:sz w:val="30"/>
          <w:szCs w:val="30"/>
          <w:lang w:val="es-ES"/>
        </w:rPr>
        <w:br/>
      </w:r>
      <w:r>
        <w:rPr>
          <w:rFonts w:eastAsia="Times New Roman"/>
          <w:sz w:val="30"/>
          <w:szCs w:val="30"/>
          <w:lang w:val="es-ES"/>
        </w:rPr>
        <w:br/>
        <w:t>5. El fortalecimiento de la confianza; y,</w:t>
      </w:r>
      <w:r>
        <w:rPr>
          <w:rFonts w:eastAsia="Times New Roman"/>
          <w:sz w:val="30"/>
          <w:szCs w:val="30"/>
          <w:lang w:val="es-ES"/>
        </w:rPr>
        <w:br/>
      </w:r>
      <w:r>
        <w:rPr>
          <w:rFonts w:eastAsia="Times New Roman"/>
          <w:sz w:val="30"/>
          <w:szCs w:val="30"/>
          <w:lang w:val="es-ES"/>
        </w:rPr>
        <w:br/>
        <w:t>6. La protección de los derechos ciudadanos.</w:t>
      </w:r>
    </w:p>
    <w:p w:rsidR="00000000" w:rsidRDefault="0018461E">
      <w:pPr>
        <w:divId w:val="218783988"/>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Política. </w:t>
      </w:r>
      <w:r>
        <w:rPr>
          <w:rFonts w:eastAsia="Times New Roman"/>
          <w:sz w:val="30"/>
          <w:szCs w:val="30"/>
          <w:lang w:val="es-ES"/>
        </w:rPr>
        <w:t xml:space="preserve">La formulación de las políticas y regulaciones en materia </w:t>
      </w:r>
      <w:r>
        <w:rPr>
          <w:rFonts w:eastAsia="Times New Roman"/>
          <w:sz w:val="30"/>
          <w:szCs w:val="30"/>
          <w:lang w:val="es-ES"/>
        </w:rPr>
        <w:t>monetaria, crediticia, cambiaria, financiera, así como de seguros y valores, es facultad privativa de la Función Ejecutiva y tiene como objetivos los determinados en los artículos 284 y 302 de la Constitución de la República y los establecidos en el Plan N</w:t>
      </w:r>
      <w:r>
        <w:rPr>
          <w:rFonts w:eastAsia="Times New Roman"/>
          <w:sz w:val="30"/>
          <w:szCs w:val="30"/>
          <w:lang w:val="es-ES"/>
        </w:rPr>
        <w:t>acional de Desarrollo.</w:t>
      </w:r>
    </w:p>
    <w:p w:rsidR="00000000" w:rsidRDefault="0018461E">
      <w:pPr>
        <w:jc w:val="center"/>
        <w:rPr>
          <w:rFonts w:eastAsia="Times New Roman"/>
          <w:sz w:val="36"/>
          <w:szCs w:val="36"/>
          <w:lang w:val="es-ES"/>
        </w:rPr>
      </w:pPr>
      <w:r>
        <w:rPr>
          <w:rFonts w:eastAsia="Times New Roman"/>
          <w:b/>
          <w:bCs/>
          <w:sz w:val="36"/>
          <w:szCs w:val="36"/>
          <w:lang w:val="es-ES"/>
        </w:rPr>
        <w:br/>
        <w:t>Capítulo 2</w:t>
      </w:r>
      <w:r>
        <w:rPr>
          <w:rFonts w:eastAsia="Times New Roman"/>
          <w:b/>
          <w:bCs/>
          <w:sz w:val="36"/>
          <w:szCs w:val="36"/>
          <w:lang w:val="es-ES"/>
        </w:rPr>
        <w:br/>
        <w:t>DE LAS ENTIDADES</w:t>
      </w:r>
    </w:p>
    <w:p w:rsidR="00000000" w:rsidRDefault="0018461E">
      <w:pPr>
        <w:divId w:val="316955814"/>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Integración. </w:t>
      </w:r>
      <w:r>
        <w:rPr>
          <w:rFonts w:eastAsia="Times New Roman"/>
          <w:sz w:val="30"/>
          <w:szCs w:val="30"/>
          <w:lang w:val="es-ES"/>
        </w:rPr>
        <w:t>Integran los sistemas monetario y financiero nacional las entidades responsables de la formulación de las políticas, regulación, implementación, supervisión, control y seguridad fina</w:t>
      </w:r>
      <w:r>
        <w:rPr>
          <w:rFonts w:eastAsia="Times New Roman"/>
          <w:sz w:val="30"/>
          <w:szCs w:val="30"/>
          <w:lang w:val="es-ES"/>
        </w:rPr>
        <w:t>nciera y las entidades públicas, privadas y populares y solidarias que ejercen actividades monetarias y financieras.</w:t>
      </w:r>
      <w:r>
        <w:rPr>
          <w:rFonts w:eastAsia="Times New Roman"/>
          <w:sz w:val="30"/>
          <w:szCs w:val="30"/>
          <w:lang w:val="es-ES"/>
        </w:rPr>
        <w:br/>
      </w:r>
      <w:r>
        <w:rPr>
          <w:rFonts w:eastAsia="Times New Roman"/>
          <w:sz w:val="30"/>
          <w:szCs w:val="30"/>
          <w:lang w:val="es-ES"/>
        </w:rPr>
        <w:br/>
        <w:t>Integran los regímenes de valores y seguros las entidades responsables de la formulación de las políticas, regulación, implementación, sup</w:t>
      </w:r>
      <w:r>
        <w:rPr>
          <w:rFonts w:eastAsia="Times New Roman"/>
          <w:sz w:val="30"/>
          <w:szCs w:val="30"/>
          <w:lang w:val="es-ES"/>
        </w:rPr>
        <w:t>ervisión y control, además de las entidades públicas y privadas que ejercen operaciones con valores y efectúen actividades de seguros.</w:t>
      </w:r>
    </w:p>
    <w:p w:rsidR="00000000" w:rsidRDefault="0018461E">
      <w:pPr>
        <w:divId w:val="1672178614"/>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Conflicto de intereses. </w:t>
      </w:r>
      <w:r>
        <w:rPr>
          <w:rFonts w:eastAsia="Times New Roman"/>
          <w:sz w:val="30"/>
          <w:szCs w:val="30"/>
          <w:lang w:val="es-ES"/>
        </w:rPr>
        <w:t>No podrán ser funcionarios ni miembros de las entidades de regulación o control del sist</w:t>
      </w:r>
      <w:r>
        <w:rPr>
          <w:rFonts w:eastAsia="Times New Roman"/>
          <w:sz w:val="30"/>
          <w:szCs w:val="30"/>
          <w:lang w:val="es-ES"/>
        </w:rPr>
        <w:t>ema financiero nacional ni de los regímenes de seguros y valores quienes tengan intereses de carácter patrimonial en las áreas a ser reguladas, supervisadas o controladas, o representen o asesoren a terceros que los tengan, en el ámbito de este Código.</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s y los servidores públicos de las entidades de regulación o control se abstendrán de actuar en los casos en los que sus intereses entren en conflicto con los del organismo o entidad en los que presten sus servicios o se evidencie o sobrevenga un hecho que</w:t>
      </w:r>
      <w:r>
        <w:rPr>
          <w:rFonts w:eastAsia="Times New Roman"/>
          <w:sz w:val="30"/>
          <w:szCs w:val="30"/>
          <w:lang w:val="es-ES"/>
        </w:rPr>
        <w:t xml:space="preserve"> cause conflicto de intereses.</w:t>
      </w:r>
      <w:r>
        <w:rPr>
          <w:rFonts w:eastAsia="Times New Roman"/>
          <w:sz w:val="30"/>
          <w:szCs w:val="30"/>
          <w:lang w:val="es-ES"/>
        </w:rPr>
        <w:br/>
      </w:r>
      <w:r>
        <w:rPr>
          <w:rFonts w:eastAsia="Times New Roman"/>
          <w:sz w:val="30"/>
          <w:szCs w:val="30"/>
          <w:lang w:val="es-ES"/>
        </w:rPr>
        <w:br/>
        <w:t xml:space="preserve">Las y los miembros de la Junta de Política y Regulación Monetaria y </w:t>
      </w:r>
      <w:r>
        <w:rPr>
          <w:rFonts w:eastAsia="Times New Roman"/>
          <w:sz w:val="30"/>
          <w:szCs w:val="30"/>
          <w:lang w:val="es-ES"/>
        </w:rPr>
        <w:lastRenderedPageBreak/>
        <w:t>Financiera y las y los superintendentes a cargo del control del sistema financiero nacional y de los regímenes de seguros y valores señalados en este Código</w:t>
      </w:r>
      <w:r>
        <w:rPr>
          <w:rFonts w:eastAsia="Times New Roman"/>
          <w:sz w:val="30"/>
          <w:szCs w:val="30"/>
          <w:lang w:val="es-ES"/>
        </w:rPr>
        <w:t>, antes de asumir sus cargos, deberán declarar en instrumento público, bajo juramento, que ni él o ella, su cónyuge o conviviente se encuentran incursos en conflicto de intereses ni tienen relación de parentesco dentro del segundo grado de consanguinidad y</w:t>
      </w:r>
      <w:r>
        <w:rPr>
          <w:rFonts w:eastAsia="Times New Roman"/>
          <w:sz w:val="30"/>
          <w:szCs w:val="30"/>
          <w:lang w:val="es-ES"/>
        </w:rPr>
        <w:t xml:space="preserve"> segundo de afinidad con personas con propiedad patrimonial con influencia y con administradores de las entidades financieras privadas y populares y solidarias, de seguros y valores privados, en el ámbito de su respectiva competencia. En el caso de las ent</w:t>
      </w:r>
      <w:r>
        <w:rPr>
          <w:rFonts w:eastAsia="Times New Roman"/>
          <w:sz w:val="30"/>
          <w:szCs w:val="30"/>
          <w:lang w:val="es-ES"/>
        </w:rPr>
        <w:t>idades cuya participación sea mayor al 3% del total de activos del sistema financiero nacional, se encuentran incursas en conflicto de interés aquellas personas que tienen relación de parentesco dentro del cuarto grado de consanguinidad y segundo de afinid</w:t>
      </w:r>
      <w:r>
        <w:rPr>
          <w:rFonts w:eastAsia="Times New Roman"/>
          <w:sz w:val="30"/>
          <w:szCs w:val="30"/>
          <w:lang w:val="es-ES"/>
        </w:rPr>
        <w:t>ad con personas con propiedad patrimonial con influencia y con administradores de las entidades financieras privadas y populares y solidarias, de seguros y valores privados, en el ámbito de su respectiva competencia.</w:t>
      </w:r>
      <w:r>
        <w:rPr>
          <w:rFonts w:eastAsia="Times New Roman"/>
          <w:sz w:val="30"/>
          <w:szCs w:val="30"/>
          <w:lang w:val="es-ES"/>
        </w:rPr>
        <w:br/>
      </w:r>
      <w:r>
        <w:rPr>
          <w:rFonts w:eastAsia="Times New Roman"/>
          <w:sz w:val="30"/>
          <w:szCs w:val="30"/>
          <w:lang w:val="es-ES"/>
        </w:rPr>
        <w:br/>
        <w:t>Antes del inicio de una sesión en la q</w:t>
      </w:r>
      <w:r>
        <w:rPr>
          <w:rFonts w:eastAsia="Times New Roman"/>
          <w:sz w:val="30"/>
          <w:szCs w:val="30"/>
          <w:lang w:val="es-ES"/>
        </w:rPr>
        <w:t xml:space="preserve">ue se vayan a tratar temas regulatorios o de control, los miembros de la Junta de Política y Regulación Monetaria y Financiera y los superintendentes señalados en este artículo, deberán informar sobre la existencia de conflicto de intereses superviniente, </w:t>
      </w:r>
      <w:r>
        <w:rPr>
          <w:rFonts w:eastAsia="Times New Roman"/>
          <w:sz w:val="30"/>
          <w:szCs w:val="30"/>
          <w:lang w:val="es-ES"/>
        </w:rPr>
        <w:t>hecho que deberá ser incorporado en la correspondiente acta, y excusarse de actuar.</w:t>
      </w:r>
      <w:r>
        <w:rPr>
          <w:rFonts w:eastAsia="Times New Roman"/>
          <w:sz w:val="30"/>
          <w:szCs w:val="30"/>
          <w:lang w:val="es-ES"/>
        </w:rPr>
        <w:br/>
      </w:r>
      <w:r>
        <w:rPr>
          <w:rFonts w:eastAsia="Times New Roman"/>
          <w:sz w:val="30"/>
          <w:szCs w:val="30"/>
          <w:lang w:val="es-ES"/>
        </w:rPr>
        <w:br/>
        <w:t>Ningún miembro de la Junta de Política y Regulación Monetaria y Financiera podrá intervenir ni votar en aquellos asuntos en los que él, su cónyuge o conviviente, sus parie</w:t>
      </w:r>
      <w:r>
        <w:rPr>
          <w:rFonts w:eastAsia="Times New Roman"/>
          <w:sz w:val="30"/>
          <w:szCs w:val="30"/>
          <w:lang w:val="es-ES"/>
        </w:rPr>
        <w:t>ntes hasta el tercer grado de consanguinidad o segundo de afinidad, o su socio o socios de hecho o de derecho tengan intereses de carácter patrimonial. En estos casos, el miembro deberá retirarse de la sesión mientras se trate el asunto sobre el cual tenga</w:t>
      </w:r>
      <w:r>
        <w:rPr>
          <w:rFonts w:eastAsia="Times New Roman"/>
          <w:sz w:val="30"/>
          <w:szCs w:val="30"/>
          <w:lang w:val="es-ES"/>
        </w:rPr>
        <w:t xml:space="preserve"> conflicto de intereses.</w:t>
      </w:r>
      <w:r>
        <w:rPr>
          <w:rFonts w:eastAsia="Times New Roman"/>
          <w:sz w:val="30"/>
          <w:szCs w:val="30"/>
          <w:lang w:val="es-ES"/>
        </w:rPr>
        <w:br/>
      </w:r>
      <w:r>
        <w:rPr>
          <w:rFonts w:eastAsia="Times New Roman"/>
          <w:sz w:val="30"/>
          <w:szCs w:val="30"/>
          <w:lang w:val="es-ES"/>
        </w:rPr>
        <w:br/>
        <w:t>Los superintendentes señalados en este Código no podrán resolver ni intervenir en aquellos asuntos en los que él, su cónyuge o conviviente o sus parientes hasta el tercer grado de consanguinidad o segundo de afinidad, o su socio o</w:t>
      </w:r>
      <w:r>
        <w:rPr>
          <w:rFonts w:eastAsia="Times New Roman"/>
          <w:sz w:val="30"/>
          <w:szCs w:val="30"/>
          <w:lang w:val="es-ES"/>
        </w:rPr>
        <w:t xml:space="preserve"> socios de hecho o de derecho tengan intereses de carácter patrimonial.</w:t>
      </w:r>
      <w:r>
        <w:rPr>
          <w:rFonts w:eastAsia="Times New Roman"/>
          <w:sz w:val="30"/>
          <w:szCs w:val="30"/>
          <w:lang w:val="es-ES"/>
        </w:rPr>
        <w:br/>
      </w:r>
      <w:r>
        <w:rPr>
          <w:rFonts w:eastAsia="Times New Roman"/>
          <w:sz w:val="30"/>
          <w:szCs w:val="30"/>
          <w:lang w:val="es-ES"/>
        </w:rPr>
        <w:br/>
        <w:t xml:space="preserve">El conflicto de intereses de carácter patrimonial referido en el presente </w:t>
      </w:r>
      <w:r>
        <w:rPr>
          <w:rFonts w:eastAsia="Times New Roman"/>
          <w:sz w:val="30"/>
          <w:szCs w:val="30"/>
          <w:lang w:val="es-ES"/>
        </w:rPr>
        <w:lastRenderedPageBreak/>
        <w:t xml:space="preserve">artículo se configurará por la titularidad del 1% o más del capital suscrito y pagado de la entidad regulada </w:t>
      </w:r>
      <w:r>
        <w:rPr>
          <w:rFonts w:eastAsia="Times New Roman"/>
          <w:sz w:val="30"/>
          <w:szCs w:val="30"/>
          <w:lang w:val="es-ES"/>
        </w:rPr>
        <w:t>o controlada o el equivalente a mil salarios básicos unificados, el que sea mayor. En este caso el miembro, funcionario o servidor de los organismos de regulación y control deberá desprenderse de los títulos que originen el conflicto de intereses de caráct</w:t>
      </w:r>
      <w:r>
        <w:rPr>
          <w:rFonts w:eastAsia="Times New Roman"/>
          <w:sz w:val="30"/>
          <w:szCs w:val="30"/>
          <w:lang w:val="es-ES"/>
        </w:rPr>
        <w:t>er patrimonial.</w:t>
      </w:r>
      <w:r>
        <w:rPr>
          <w:rFonts w:eastAsia="Times New Roman"/>
          <w:sz w:val="30"/>
          <w:szCs w:val="30"/>
          <w:lang w:val="es-ES"/>
        </w:rPr>
        <w:br/>
      </w:r>
      <w:r>
        <w:rPr>
          <w:rFonts w:eastAsia="Times New Roman"/>
          <w:sz w:val="30"/>
          <w:szCs w:val="30"/>
          <w:lang w:val="es-ES"/>
        </w:rPr>
        <w:br/>
        <w:t>Si algún miembro, funcionario o servidor de los organismos de regulación y control fuere propietario de acciones en alguna de las entidades reguladas o controladas por un monto inferior al determinado en el inciso precedente, está obligado</w:t>
      </w:r>
      <w:r>
        <w:rPr>
          <w:rFonts w:eastAsia="Times New Roman"/>
          <w:sz w:val="30"/>
          <w:szCs w:val="30"/>
          <w:lang w:val="es-ES"/>
        </w:rPr>
        <w:t xml:space="preserve"> a dar a conocer el hecho por escrito a su autoridad nominadora. De igual manera, informará si tuviese cónyuge o pariente dentro del tercer grado de consanguinidad o segundo de afinidad, o padre o hijo adoptivo, que se encuentren trabajando en dichas entid</w:t>
      </w:r>
      <w:r>
        <w:rPr>
          <w:rFonts w:eastAsia="Times New Roman"/>
          <w:sz w:val="30"/>
          <w:szCs w:val="30"/>
          <w:lang w:val="es-ES"/>
        </w:rPr>
        <w:t>ades. La inobservancia de esta disposición será causal de remoción.</w:t>
      </w:r>
      <w:r>
        <w:rPr>
          <w:rFonts w:eastAsia="Times New Roman"/>
          <w:sz w:val="30"/>
          <w:szCs w:val="30"/>
          <w:lang w:val="es-ES"/>
        </w:rPr>
        <w:br/>
      </w:r>
      <w:r>
        <w:rPr>
          <w:rFonts w:eastAsia="Times New Roman"/>
          <w:sz w:val="30"/>
          <w:szCs w:val="30"/>
          <w:lang w:val="es-ES"/>
        </w:rPr>
        <w:br/>
        <w:t>No existe conflicto de intereses cuando se decidan y voten asuntos con efectos de carácter general.</w:t>
      </w:r>
      <w:r>
        <w:rPr>
          <w:rFonts w:eastAsia="Times New Roman"/>
          <w:sz w:val="30"/>
          <w:szCs w:val="30"/>
          <w:lang w:val="es-ES"/>
        </w:rPr>
        <w:br/>
      </w:r>
      <w:r>
        <w:rPr>
          <w:rFonts w:eastAsia="Times New Roman"/>
          <w:sz w:val="30"/>
          <w:szCs w:val="30"/>
          <w:lang w:val="es-ES"/>
        </w:rPr>
        <w:br/>
        <w:t>Será causal de separación del cargo el incurrir en conflicto de intereses.</w:t>
      </w:r>
      <w:r>
        <w:rPr>
          <w:rFonts w:eastAsia="Times New Roman"/>
          <w:sz w:val="30"/>
          <w:szCs w:val="30"/>
          <w:lang w:val="es-ES"/>
        </w:rPr>
        <w:br/>
      </w:r>
      <w:r>
        <w:rPr>
          <w:rFonts w:eastAsia="Times New Roman"/>
          <w:sz w:val="30"/>
          <w:szCs w:val="30"/>
          <w:lang w:val="es-ES"/>
        </w:rPr>
        <w:br/>
        <w:t>Las dispos</w:t>
      </w:r>
      <w:r>
        <w:rPr>
          <w:rFonts w:eastAsia="Times New Roman"/>
          <w:sz w:val="30"/>
          <w:szCs w:val="30"/>
          <w:lang w:val="es-ES"/>
        </w:rPr>
        <w:t>iciones de este artículo no son aplicables en la regulación y control de las sociedades referidas en la Ley de Compañías.</w:t>
      </w:r>
    </w:p>
    <w:p w:rsidR="00000000" w:rsidRDefault="0018461E">
      <w:pPr>
        <w:divId w:val="1069235310"/>
        <w:rPr>
          <w:rFonts w:eastAsia="Times New Roman"/>
          <w:sz w:val="30"/>
          <w:szCs w:val="30"/>
          <w:lang w:val="es-ES"/>
        </w:rPr>
      </w:pPr>
      <w:r>
        <w:rPr>
          <w:rFonts w:eastAsia="Times New Roman"/>
          <w:sz w:val="30"/>
          <w:szCs w:val="30"/>
          <w:lang w:val="es-ES"/>
        </w:rPr>
        <w:t>Art. 8.-</w:t>
      </w:r>
      <w:r>
        <w:rPr>
          <w:rFonts w:eastAsia="Times New Roman"/>
          <w:sz w:val="30"/>
          <w:szCs w:val="30"/>
          <w:lang w:val="es-ES"/>
        </w:rPr>
        <w:t xml:space="preserve"> </w:t>
      </w:r>
      <w:r>
        <w:rPr>
          <w:rFonts w:eastAsia="Times New Roman"/>
          <w:b/>
          <w:bCs/>
          <w:noProof/>
          <w:sz w:val="30"/>
          <w:szCs w:val="30"/>
        </w:rPr>
        <w:drawing>
          <wp:inline distT="0" distB="0" distL="0" distR="0">
            <wp:extent cx="228600" cy="228600"/>
            <wp:effectExtent l="0" t="0" r="0" b="0"/>
            <wp:docPr id="1" name="Imagen 1"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 xml:space="preserve">Funcionarios de los organismos de regulación y control.- </w:t>
      </w:r>
      <w:r>
        <w:rPr>
          <w:rFonts w:eastAsia="Times New Roman"/>
          <w:sz w:val="30"/>
          <w:szCs w:val="30"/>
          <w:lang w:val="es-ES"/>
        </w:rPr>
        <w:t xml:space="preserve">(Reformado por el num. 1 de la Disposción </w:t>
      </w:r>
      <w:r>
        <w:rPr>
          <w:rFonts w:eastAsia="Times New Roman"/>
          <w:sz w:val="30"/>
          <w:szCs w:val="30"/>
          <w:lang w:val="es-ES"/>
        </w:rPr>
        <w:t>Reformatoria Segunda de la Ley s/n, R.O. 986-S, 18-IV-2017).- Ningún miembro, funcionario o servidor de los organismos de regulación y control sobre materia monetaria, financiera, de seguros y valores, mientras se encuentre en el ejercicio de sus funciones</w:t>
      </w:r>
      <w:r>
        <w:rPr>
          <w:rFonts w:eastAsia="Times New Roman"/>
          <w:sz w:val="30"/>
          <w:szCs w:val="30"/>
          <w:lang w:val="es-ES"/>
        </w:rPr>
        <w:t>, podrá ser director, funcionario o empleado de ninguna de las entidades financieras privadas o de la economía popular y solidaria ni de las entidades privadas de valores y seguros.</w:t>
      </w:r>
      <w:r>
        <w:rPr>
          <w:rFonts w:eastAsia="Times New Roman"/>
          <w:sz w:val="30"/>
          <w:szCs w:val="30"/>
          <w:lang w:val="es-ES"/>
        </w:rPr>
        <w:br/>
      </w:r>
      <w:r>
        <w:rPr>
          <w:rFonts w:eastAsia="Times New Roman"/>
          <w:sz w:val="30"/>
          <w:szCs w:val="30"/>
          <w:lang w:val="es-ES"/>
        </w:rPr>
        <w:br/>
        <w:t xml:space="preserve">Los servidores y funcionarios de los organismos indicados, con excepción </w:t>
      </w:r>
      <w:r>
        <w:rPr>
          <w:rFonts w:eastAsia="Times New Roman"/>
          <w:sz w:val="30"/>
          <w:szCs w:val="30"/>
          <w:lang w:val="es-ES"/>
        </w:rPr>
        <w:t>de aquellos que estén sometidos al Código del Trabajo, no podrán otorgar garantías ni contratar créditos con las entidades del sistema financiero nacional, salvo que cuenten con la autorización expresa de su máxima autoridad.</w:t>
      </w:r>
      <w:r>
        <w:rPr>
          <w:rFonts w:eastAsia="Times New Roman"/>
          <w:sz w:val="30"/>
          <w:szCs w:val="30"/>
          <w:lang w:val="es-ES"/>
        </w:rPr>
        <w:br/>
      </w:r>
      <w:r>
        <w:rPr>
          <w:rFonts w:eastAsia="Times New Roman"/>
          <w:sz w:val="30"/>
          <w:szCs w:val="30"/>
          <w:lang w:val="es-ES"/>
        </w:rPr>
        <w:lastRenderedPageBreak/>
        <w:br/>
        <w:t>Los miembros de los organismo</w:t>
      </w:r>
      <w:r>
        <w:rPr>
          <w:rFonts w:eastAsia="Times New Roman"/>
          <w:sz w:val="30"/>
          <w:szCs w:val="30"/>
          <w:lang w:val="es-ES"/>
        </w:rPr>
        <w:t>s de regulación y los titulares de los organismos de control harán público en la página web de su institución el saldo de los créditos que mantengan vigentes, con periodicidad trimestral.</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2" name="Imagen 2"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Los miembros, servidores y funcionarios que formen parte de los organismos que realicen actividades de regulació</w:t>
      </w:r>
      <w:r>
        <w:rPr>
          <w:rFonts w:eastAsia="Times New Roman"/>
          <w:sz w:val="30"/>
          <w:szCs w:val="30"/>
          <w:lang w:val="es-ES"/>
        </w:rPr>
        <w:t>n, supervisión y control, estarán impedidos de prestar sus servicios en las entidades financieras privadas, de la economía popular y solidaria o en las entidades privadas de valores y seguros, que sean reguladas o controladas, según su caso, bajo cualquier</w:t>
      </w:r>
      <w:r>
        <w:rPr>
          <w:rFonts w:eastAsia="Times New Roman"/>
          <w:sz w:val="30"/>
          <w:szCs w:val="30"/>
          <w:lang w:val="es-ES"/>
        </w:rPr>
        <w:t xml:space="preserve"> modalidad contractual, y de intervenir o gestionar directa o indirectamente ante estos órganos, en beneficio de tales entidades reguladas y controladas hasta después de dos (2) años de terminar sus funciones, sin perjuicio de las limitaciones que el artíc</w:t>
      </w:r>
      <w:r>
        <w:rPr>
          <w:rFonts w:eastAsia="Times New Roman"/>
          <w:sz w:val="30"/>
          <w:szCs w:val="30"/>
          <w:lang w:val="es-ES"/>
        </w:rPr>
        <w:t>ulo 153 de la Constitución determina. La infracción a este impedimento constituirá infracción grave por parte de la entidad regulada o controlada, que se sancionará conforme a la Sección 11 del Capítulo 3 de este Código, al artículo 208 de la Ley de Mercad</w:t>
      </w:r>
      <w:r>
        <w:rPr>
          <w:rFonts w:eastAsia="Times New Roman"/>
          <w:sz w:val="30"/>
          <w:szCs w:val="30"/>
          <w:lang w:val="es-ES"/>
        </w:rPr>
        <w:t>o de Valores o al artículo 40 de la Ley General de Seguros, según corresponda de acuerdo con la naturaleza de la entidad infractora. Esta prohibición aplica exclusivamente para el caso de las entidades reguladas, controladas o supervisadas conforme al ámbi</w:t>
      </w:r>
      <w:r>
        <w:rPr>
          <w:rFonts w:eastAsia="Times New Roman"/>
          <w:sz w:val="30"/>
          <w:szCs w:val="30"/>
          <w:lang w:val="es-ES"/>
        </w:rPr>
        <w:t>to de este Código. Los trabajadores sujetos al Código del Trabajo de los organismos de regulación, supervisión o control no están sujetos a esta prohibición.</w:t>
      </w:r>
    </w:p>
    <w:p w:rsidR="00000000" w:rsidRDefault="0018461E">
      <w:pPr>
        <w:divId w:val="1506550911"/>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 xml:space="preserve">Coordinación. </w:t>
      </w:r>
      <w:r>
        <w:rPr>
          <w:rFonts w:eastAsia="Times New Roman"/>
          <w:sz w:val="30"/>
          <w:szCs w:val="30"/>
          <w:lang w:val="es-ES"/>
        </w:rPr>
        <w:t>Los organismos de regulación y control y la Corporación de Seguro de Depósi</w:t>
      </w:r>
      <w:r>
        <w:rPr>
          <w:rFonts w:eastAsia="Times New Roman"/>
          <w:sz w:val="30"/>
          <w:szCs w:val="30"/>
          <w:lang w:val="es-ES"/>
        </w:rPr>
        <w:t>tos, Fondo de Liquidez y Fondo de Seguros Privados, tendrán el deber de coordinar acciones para el cumplimiento de sus fines y hacer efectivo el goce y ejercicio de los derechos reconocidos en la Constitución, para cuyo efecto intercambiarán datos o inform</w:t>
      </w:r>
      <w:r>
        <w:rPr>
          <w:rFonts w:eastAsia="Times New Roman"/>
          <w:sz w:val="30"/>
          <w:szCs w:val="30"/>
          <w:lang w:val="es-ES"/>
        </w:rPr>
        <w:t>es relacionados a las entidades sujetas a su regulación y control. La información sometida a sigilo y reserva será tratada de conformidad con las disposiciones de este Código.</w:t>
      </w:r>
    </w:p>
    <w:p w:rsidR="00000000" w:rsidRDefault="0018461E">
      <w:pPr>
        <w:divId w:val="807474992"/>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 xml:space="preserve">Jurisdicción coactiva. </w:t>
      </w:r>
      <w:r>
        <w:rPr>
          <w:rFonts w:eastAsia="Times New Roman"/>
          <w:sz w:val="30"/>
          <w:szCs w:val="30"/>
          <w:lang w:val="es-ES"/>
        </w:rPr>
        <w:t>Concédase a las superintendencias, a la Corpora</w:t>
      </w:r>
      <w:r>
        <w:rPr>
          <w:rFonts w:eastAsia="Times New Roman"/>
          <w:sz w:val="30"/>
          <w:szCs w:val="30"/>
          <w:lang w:val="es-ES"/>
        </w:rPr>
        <w:t>ción de Seguro de Depósitos, Fondo de Liquidez y Fondo de Seguros Privados, al Banco Central del Ecuador, a las entidades del sector financiero público, la jurisdicción coactiva para el cobro de los créditos y cualquier tipo de obligaciones a su favor o de</w:t>
      </w:r>
      <w:r>
        <w:rPr>
          <w:rFonts w:eastAsia="Times New Roman"/>
          <w:sz w:val="30"/>
          <w:szCs w:val="30"/>
          <w:lang w:val="es-ES"/>
        </w:rPr>
        <w:t xml:space="preserve"> terceros, que será ejercida por el representante legal de dichas entidades.</w:t>
      </w:r>
      <w:r>
        <w:rPr>
          <w:rFonts w:eastAsia="Times New Roman"/>
          <w:sz w:val="30"/>
          <w:szCs w:val="30"/>
          <w:lang w:val="es-ES"/>
        </w:rPr>
        <w:br/>
      </w:r>
      <w:r>
        <w:rPr>
          <w:rFonts w:eastAsia="Times New Roman"/>
          <w:sz w:val="30"/>
          <w:szCs w:val="30"/>
          <w:lang w:val="es-ES"/>
        </w:rPr>
        <w:lastRenderedPageBreak/>
        <w:br/>
        <w:t>El ejercicio de la jurisdicción coactiva podrá ser delegado a cualquier servidor de la entidad mediante el acto correspondiente.</w:t>
      </w:r>
      <w:r>
        <w:rPr>
          <w:rFonts w:eastAsia="Times New Roman"/>
          <w:sz w:val="30"/>
          <w:szCs w:val="30"/>
          <w:lang w:val="es-ES"/>
        </w:rPr>
        <w:br/>
      </w:r>
      <w:r>
        <w:rPr>
          <w:rFonts w:eastAsia="Times New Roman"/>
          <w:sz w:val="30"/>
          <w:szCs w:val="30"/>
          <w:lang w:val="es-ES"/>
        </w:rPr>
        <w:br/>
        <w:t>La coactiva se ejercerá aparejando cualquier tít</w:t>
      </w:r>
      <w:r>
        <w:rPr>
          <w:rFonts w:eastAsia="Times New Roman"/>
          <w:sz w:val="30"/>
          <w:szCs w:val="30"/>
          <w:lang w:val="es-ES"/>
        </w:rPr>
        <w:t>ulo de crédito de los determinados en la ley.</w:t>
      </w:r>
      <w:r>
        <w:rPr>
          <w:rFonts w:eastAsia="Times New Roman"/>
          <w:sz w:val="30"/>
          <w:szCs w:val="30"/>
          <w:lang w:val="es-ES"/>
        </w:rPr>
        <w:br/>
      </w:r>
      <w:r>
        <w:rPr>
          <w:rFonts w:eastAsia="Times New Roman"/>
          <w:sz w:val="30"/>
          <w:szCs w:val="30"/>
          <w:lang w:val="es-ES"/>
        </w:rPr>
        <w:br/>
        <w:t>El procedimiento de coactiva a seguirse será el determinado en la ley.</w:t>
      </w:r>
    </w:p>
    <w:p w:rsidR="00000000" w:rsidRDefault="0018461E">
      <w:pPr>
        <w:divId w:val="138034189"/>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 xml:space="preserve">Apoyo de la Fuerza Pública. </w:t>
      </w:r>
      <w:r>
        <w:rPr>
          <w:rFonts w:eastAsia="Times New Roman"/>
          <w:sz w:val="30"/>
          <w:szCs w:val="30"/>
          <w:lang w:val="es-ES"/>
        </w:rPr>
        <w:t xml:space="preserve">Las superintendencias a las que se refiere este Código, como parte de sus acciones de control a las </w:t>
      </w:r>
      <w:r>
        <w:rPr>
          <w:rFonts w:eastAsia="Times New Roman"/>
          <w:sz w:val="30"/>
          <w:szCs w:val="30"/>
          <w:lang w:val="es-ES"/>
        </w:rPr>
        <w:t>actividades financieras, de seguros y valores, con el fin de salvaguardar el valor de los activos de dichas entidades y para preservar la integridad de la información correspondiente, solicitarán directa y motivadamente a la Fuerza Pública el apoyo para qu</w:t>
      </w:r>
      <w:r>
        <w:rPr>
          <w:rFonts w:eastAsia="Times New Roman"/>
          <w:sz w:val="30"/>
          <w:szCs w:val="30"/>
          <w:lang w:val="es-ES"/>
        </w:rPr>
        <w:t>e los funcionarios delegados ingresen a una entidad, permanezcan en ella y la custodien, siendo obligatorio para la Fuerza Pública prestar el auxilio inmediato que se le solicite.</w:t>
      </w:r>
    </w:p>
    <w:p w:rsidR="00000000" w:rsidRDefault="0018461E">
      <w:pPr>
        <w:divId w:val="1520006730"/>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 xml:space="preserve">Veeduría y control social. </w:t>
      </w:r>
      <w:r>
        <w:rPr>
          <w:rFonts w:eastAsia="Times New Roman"/>
          <w:sz w:val="30"/>
          <w:szCs w:val="30"/>
          <w:lang w:val="es-ES"/>
        </w:rPr>
        <w:t>Las superintendencias, el Banco Central</w:t>
      </w:r>
      <w:r>
        <w:rPr>
          <w:rFonts w:eastAsia="Times New Roman"/>
          <w:sz w:val="30"/>
          <w:szCs w:val="30"/>
          <w:lang w:val="es-ES"/>
        </w:rPr>
        <w:t xml:space="preserve"> del Ecuador, la Corporación de Seguro de Depósitos, Fondo de Liquidez y Fondo de Seguros Privados, las entidades del sector financiero público y de valores y seguros públicos estarán sometidas a la veeduría ciudadana y al control social, a través de los m</w:t>
      </w:r>
      <w:r>
        <w:rPr>
          <w:rFonts w:eastAsia="Times New Roman"/>
          <w:sz w:val="30"/>
          <w:szCs w:val="30"/>
          <w:lang w:val="es-ES"/>
        </w:rPr>
        <w:t>ecanismos de control previstos en la legislación vigente.</w:t>
      </w:r>
    </w:p>
    <w:p w:rsidR="00000000" w:rsidRDefault="0018461E">
      <w:pPr>
        <w:jc w:val="center"/>
        <w:rPr>
          <w:rFonts w:eastAsia="Times New Roman"/>
          <w:sz w:val="36"/>
          <w:szCs w:val="36"/>
          <w:lang w:val="es-ES"/>
        </w:rPr>
      </w:pPr>
      <w:r>
        <w:rPr>
          <w:rFonts w:eastAsia="Times New Roman"/>
          <w:b/>
          <w:bCs/>
          <w:sz w:val="36"/>
          <w:szCs w:val="36"/>
          <w:lang w:val="es-ES"/>
        </w:rPr>
        <w:br/>
        <w:t>Sección 1</w:t>
      </w:r>
      <w:r>
        <w:rPr>
          <w:rFonts w:eastAsia="Times New Roman"/>
          <w:b/>
          <w:bCs/>
          <w:sz w:val="36"/>
          <w:szCs w:val="36"/>
          <w:lang w:val="es-ES"/>
        </w:rPr>
        <w:br/>
        <w:t>DE LA JUNTA DE POLÍTICA Y REGULACIÓN MONETARIA Y FINANCIERA</w:t>
      </w:r>
    </w:p>
    <w:p w:rsidR="00000000" w:rsidRDefault="0018461E">
      <w:pPr>
        <w:divId w:val="343823432"/>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Conformación. </w:t>
      </w:r>
      <w:r>
        <w:rPr>
          <w:rFonts w:eastAsia="Times New Roman"/>
          <w:sz w:val="30"/>
          <w:szCs w:val="30"/>
          <w:lang w:val="es-ES"/>
        </w:rPr>
        <w:t>Créase la Junta de Política y Regulación Monetaria y Financiera , parte de la Función Ejecutiva, respon</w:t>
      </w:r>
      <w:r>
        <w:rPr>
          <w:rFonts w:eastAsia="Times New Roman"/>
          <w:sz w:val="30"/>
          <w:szCs w:val="30"/>
          <w:lang w:val="es-ES"/>
        </w:rPr>
        <w:t>sable de la formulación de las políticas públicas y la regulación y supervisión monetaria, crediticia, cambiaria, financiera, de seguros y valores.</w:t>
      </w:r>
      <w:r>
        <w:rPr>
          <w:rFonts w:eastAsia="Times New Roman"/>
          <w:sz w:val="30"/>
          <w:szCs w:val="30"/>
          <w:lang w:val="es-ES"/>
        </w:rPr>
        <w:br/>
      </w:r>
      <w:r>
        <w:rPr>
          <w:rFonts w:eastAsia="Times New Roman"/>
          <w:sz w:val="30"/>
          <w:szCs w:val="30"/>
          <w:lang w:val="es-ES"/>
        </w:rPr>
        <w:br/>
        <w:t xml:space="preserve">La Junta estará conformada con plenos derechos por los titulares de los ministerios de Estado responsables </w:t>
      </w:r>
      <w:r>
        <w:rPr>
          <w:rFonts w:eastAsia="Times New Roman"/>
          <w:sz w:val="30"/>
          <w:szCs w:val="30"/>
          <w:lang w:val="es-ES"/>
        </w:rPr>
        <w:t>de la política económica, de la producción, de las finanzas públicas, el titular de la planificación del Estado y un delegado del Presidente de la República. Participarán en las deliberaciones de la Junta, con voz pero sin voto, el Superintendente de Banco</w:t>
      </w:r>
      <w:r>
        <w:rPr>
          <w:rFonts w:eastAsia="Times New Roman"/>
          <w:sz w:val="30"/>
          <w:szCs w:val="30"/>
          <w:lang w:val="es-ES"/>
        </w:rPr>
        <w:t xml:space="preserve">s, el Superintendente de Compañías, Valores y Seguros, el Superintendente de Economía Popular y </w:t>
      </w:r>
      <w:r>
        <w:rPr>
          <w:rFonts w:eastAsia="Times New Roman"/>
          <w:sz w:val="30"/>
          <w:szCs w:val="30"/>
          <w:lang w:val="es-ES"/>
        </w:rPr>
        <w:lastRenderedPageBreak/>
        <w:t>Solidaria, el Gerente General del Banco Central del Ecuador y el Presidente del Directorio de la Corporación de Seguro de Depósitos, Fondo de Liquidez y Fondo d</w:t>
      </w:r>
      <w:r>
        <w:rPr>
          <w:rFonts w:eastAsia="Times New Roman"/>
          <w:sz w:val="30"/>
          <w:szCs w:val="30"/>
          <w:lang w:val="es-ES"/>
        </w:rPr>
        <w:t>e Seguros Privados.</w:t>
      </w:r>
      <w:r>
        <w:rPr>
          <w:rFonts w:eastAsia="Times New Roman"/>
          <w:sz w:val="30"/>
          <w:szCs w:val="30"/>
          <w:lang w:val="es-ES"/>
        </w:rPr>
        <w:br/>
      </w:r>
      <w:r>
        <w:rPr>
          <w:rFonts w:eastAsia="Times New Roman"/>
          <w:sz w:val="30"/>
          <w:szCs w:val="30"/>
          <w:lang w:val="es-ES"/>
        </w:rPr>
        <w:br/>
        <w:t>La Junta de Política y Regulación Monetaria y Financiera podrá invitar a participar en sus sesiones a cualquier otra autoridad pública, entidad privada o popular y solidaria que considere necesaria para sus deliberaciones.</w:t>
      </w:r>
    </w:p>
    <w:p w:rsidR="00000000" w:rsidRDefault="0018461E">
      <w:pPr>
        <w:divId w:val="20785561"/>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Fu</w:t>
      </w:r>
      <w:r>
        <w:rPr>
          <w:rFonts w:eastAsia="Times New Roman"/>
          <w:b/>
          <w:bCs/>
          <w:sz w:val="30"/>
          <w:szCs w:val="30"/>
          <w:lang w:val="es-ES"/>
        </w:rPr>
        <w:t xml:space="preserve">nciones. </w:t>
      </w:r>
      <w:r>
        <w:rPr>
          <w:rFonts w:eastAsia="Times New Roman"/>
          <w:sz w:val="30"/>
          <w:szCs w:val="30"/>
          <w:lang w:val="es-ES"/>
        </w:rPr>
        <w:t>La Junta tiene las siguientes funciones:</w:t>
      </w:r>
      <w:r>
        <w:rPr>
          <w:rFonts w:eastAsia="Times New Roman"/>
          <w:sz w:val="30"/>
          <w:szCs w:val="30"/>
          <w:lang w:val="es-ES"/>
        </w:rPr>
        <w:br/>
      </w:r>
      <w:r>
        <w:rPr>
          <w:rFonts w:eastAsia="Times New Roman"/>
          <w:sz w:val="30"/>
          <w:szCs w:val="30"/>
          <w:lang w:val="es-ES"/>
        </w:rPr>
        <w:br/>
        <w:t>1. Formular y dirigir las políticas monetaria, crediticia, cambiaria y financiera, incluyendo la política de seguros y de valores;</w:t>
      </w:r>
      <w:r>
        <w:rPr>
          <w:rFonts w:eastAsia="Times New Roman"/>
          <w:sz w:val="30"/>
          <w:szCs w:val="30"/>
          <w:lang w:val="es-ES"/>
        </w:rPr>
        <w:br/>
      </w:r>
      <w:r>
        <w:rPr>
          <w:rFonts w:eastAsia="Times New Roman"/>
          <w:sz w:val="30"/>
          <w:szCs w:val="30"/>
          <w:lang w:val="es-ES"/>
        </w:rPr>
        <w:br/>
        <w:t xml:space="preserve">2. Regular mediante normas la implementación de las políticas monetaria, </w:t>
      </w:r>
      <w:r>
        <w:rPr>
          <w:rFonts w:eastAsia="Times New Roman"/>
          <w:sz w:val="30"/>
          <w:szCs w:val="30"/>
          <w:lang w:val="es-ES"/>
        </w:rPr>
        <w:t>crediticia, cambiaria y financiera, incluyendo la política de seguros y de valores, y vigilar su aplicación;</w:t>
      </w:r>
      <w:r>
        <w:rPr>
          <w:rFonts w:eastAsia="Times New Roman"/>
          <w:sz w:val="30"/>
          <w:szCs w:val="30"/>
          <w:lang w:val="es-ES"/>
        </w:rPr>
        <w:br/>
      </w:r>
      <w:r>
        <w:rPr>
          <w:rFonts w:eastAsia="Times New Roman"/>
          <w:sz w:val="30"/>
          <w:szCs w:val="30"/>
          <w:lang w:val="es-ES"/>
        </w:rPr>
        <w:br/>
        <w:t>3. Regular mediante normas las actividades financieras que ejercen las entidades del sistema financiero nacional y las actividades de las entidade</w:t>
      </w:r>
      <w:r>
        <w:rPr>
          <w:rFonts w:eastAsia="Times New Roman"/>
          <w:sz w:val="30"/>
          <w:szCs w:val="30"/>
          <w:lang w:val="es-ES"/>
        </w:rPr>
        <w:t>s de seguros y valores;</w:t>
      </w:r>
      <w:r>
        <w:rPr>
          <w:rFonts w:eastAsia="Times New Roman"/>
          <w:sz w:val="30"/>
          <w:szCs w:val="30"/>
          <w:lang w:val="es-ES"/>
        </w:rPr>
        <w:br/>
      </w:r>
      <w:r>
        <w:rPr>
          <w:rFonts w:eastAsia="Times New Roman"/>
          <w:sz w:val="30"/>
          <w:szCs w:val="30"/>
          <w:lang w:val="es-ES"/>
        </w:rPr>
        <w:br/>
        <w:t>4. Regular la creación, constitución, organización, operación y liquidación de las entidades financieras, de seguros y de valores;</w:t>
      </w:r>
      <w:r>
        <w:rPr>
          <w:rFonts w:eastAsia="Times New Roman"/>
          <w:sz w:val="30"/>
          <w:szCs w:val="30"/>
          <w:lang w:val="es-ES"/>
        </w:rPr>
        <w:br/>
      </w:r>
      <w:r>
        <w:rPr>
          <w:rFonts w:eastAsia="Times New Roman"/>
          <w:sz w:val="30"/>
          <w:szCs w:val="30"/>
          <w:lang w:val="es-ES"/>
        </w:rPr>
        <w:br/>
        <w:t>5. Conocer sobre los resultados del control efectuado por las superintendencias referidas en este C</w:t>
      </w:r>
      <w:r>
        <w:rPr>
          <w:rFonts w:eastAsia="Times New Roman"/>
          <w:sz w:val="30"/>
          <w:szCs w:val="30"/>
          <w:lang w:val="es-ES"/>
        </w:rPr>
        <w:t>ódigo, de la supervisión y vigilancia a cargo del Banco Central del Ecuador y sobre los informes que presente la Corporación de Seguro de Depósitos, Fondo de Liquidez y Fondo de Seguros Privados, en el ámbito de sus competencias;</w:t>
      </w:r>
      <w:r>
        <w:rPr>
          <w:rFonts w:eastAsia="Times New Roman"/>
          <w:sz w:val="30"/>
          <w:szCs w:val="30"/>
          <w:lang w:val="es-ES"/>
        </w:rPr>
        <w:br/>
      </w:r>
      <w:r>
        <w:rPr>
          <w:rFonts w:eastAsia="Times New Roman"/>
          <w:sz w:val="30"/>
          <w:szCs w:val="30"/>
          <w:lang w:val="es-ES"/>
        </w:rPr>
        <w:br/>
        <w:t>6. Aplicar las disposicio</w:t>
      </w:r>
      <w:r>
        <w:rPr>
          <w:rFonts w:eastAsia="Times New Roman"/>
          <w:sz w:val="30"/>
          <w:szCs w:val="30"/>
          <w:lang w:val="es-ES"/>
        </w:rPr>
        <w:t>nes de este Código, la normativa regulatoria y resolver los casos no previstos;</w:t>
      </w:r>
      <w:r>
        <w:rPr>
          <w:rFonts w:eastAsia="Times New Roman"/>
          <w:sz w:val="30"/>
          <w:szCs w:val="30"/>
          <w:lang w:val="es-ES"/>
        </w:rPr>
        <w:br/>
      </w:r>
      <w:r>
        <w:rPr>
          <w:rFonts w:eastAsia="Times New Roman"/>
          <w:sz w:val="30"/>
          <w:szCs w:val="30"/>
          <w:lang w:val="es-ES"/>
        </w:rPr>
        <w:br/>
        <w:t>7. Aprobar la programación monetaria, crediticia, cambiaria y financiera, que se alineará al programa económico del gobierno;</w:t>
      </w:r>
      <w:r>
        <w:rPr>
          <w:rFonts w:eastAsia="Times New Roman"/>
          <w:sz w:val="30"/>
          <w:szCs w:val="30"/>
          <w:lang w:val="es-ES"/>
        </w:rPr>
        <w:br/>
      </w:r>
      <w:r>
        <w:rPr>
          <w:rFonts w:eastAsia="Times New Roman"/>
          <w:sz w:val="30"/>
          <w:szCs w:val="30"/>
          <w:lang w:val="es-ES"/>
        </w:rPr>
        <w:br/>
        <w:t>8. Autorizar la política de inversiones de los e</w:t>
      </w:r>
      <w:r>
        <w:rPr>
          <w:rFonts w:eastAsia="Times New Roman"/>
          <w:sz w:val="30"/>
          <w:szCs w:val="30"/>
          <w:lang w:val="es-ES"/>
        </w:rPr>
        <w:t>xcedentes de liquidez y de las reservas internacionales;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Conocer y resolver las impugnaciones que se presenten a los actos de la propia Junta, con arreglo al Estatuto del Régimen Jurídico Administrativo de la Función Ejecutiva;</w:t>
      </w:r>
      <w:r>
        <w:rPr>
          <w:rFonts w:eastAsia="Times New Roman"/>
          <w:sz w:val="30"/>
          <w:szCs w:val="30"/>
          <w:lang w:val="es-ES"/>
        </w:rPr>
        <w:br/>
      </w:r>
      <w:r>
        <w:rPr>
          <w:rFonts w:eastAsia="Times New Roman"/>
          <w:sz w:val="30"/>
          <w:szCs w:val="30"/>
          <w:lang w:val="es-ES"/>
        </w:rPr>
        <w:br/>
        <w:t>10. Presentar al Presid</w:t>
      </w:r>
      <w:r>
        <w:rPr>
          <w:rFonts w:eastAsia="Times New Roman"/>
          <w:sz w:val="30"/>
          <w:szCs w:val="30"/>
          <w:lang w:val="es-ES"/>
        </w:rPr>
        <w:t>ente de la República propuestas de modificación de la legislación monetaria, crediticia, cambiaria, financiera, de seguros y valores;</w:t>
      </w:r>
      <w:r>
        <w:rPr>
          <w:rFonts w:eastAsia="Times New Roman"/>
          <w:sz w:val="30"/>
          <w:szCs w:val="30"/>
          <w:lang w:val="es-ES"/>
        </w:rPr>
        <w:br/>
      </w:r>
      <w:r>
        <w:rPr>
          <w:rFonts w:eastAsia="Times New Roman"/>
          <w:sz w:val="30"/>
          <w:szCs w:val="30"/>
          <w:lang w:val="es-ES"/>
        </w:rPr>
        <w:br/>
        <w:t>11. Establecer, en el marco de sus competencias, cualquier medida que coadyuve a:</w:t>
      </w:r>
      <w:r>
        <w:rPr>
          <w:rFonts w:eastAsia="Times New Roman"/>
          <w:sz w:val="30"/>
          <w:szCs w:val="30"/>
          <w:lang w:val="es-ES"/>
        </w:rPr>
        <w:br/>
      </w:r>
      <w:r>
        <w:rPr>
          <w:rFonts w:eastAsia="Times New Roman"/>
          <w:sz w:val="30"/>
          <w:szCs w:val="30"/>
          <w:lang w:val="es-ES"/>
        </w:rPr>
        <w:br/>
        <w:t xml:space="preserve">a) Prevenir y desincentivar prácticas </w:t>
      </w:r>
      <w:r>
        <w:rPr>
          <w:rFonts w:eastAsia="Times New Roman"/>
          <w:sz w:val="30"/>
          <w:szCs w:val="30"/>
          <w:lang w:val="es-ES"/>
        </w:rPr>
        <w:t>fraudulentas, incluidos el lavado de activos y el financiamiento de delitos como el terrorismo;</w:t>
      </w:r>
      <w:r>
        <w:rPr>
          <w:rFonts w:eastAsia="Times New Roman"/>
          <w:sz w:val="30"/>
          <w:szCs w:val="30"/>
          <w:lang w:val="es-ES"/>
        </w:rPr>
        <w:br/>
      </w:r>
      <w:r>
        <w:rPr>
          <w:rFonts w:eastAsia="Times New Roman"/>
          <w:sz w:val="30"/>
          <w:szCs w:val="30"/>
          <w:lang w:val="es-ES"/>
        </w:rPr>
        <w:br/>
        <w:t>b) Proteger la privacidad de los individuos en relación con la difusión de su información personal, así como la información de seguridad nacional;</w:t>
      </w:r>
      <w:r>
        <w:rPr>
          <w:rFonts w:eastAsia="Times New Roman"/>
          <w:sz w:val="30"/>
          <w:szCs w:val="30"/>
          <w:lang w:val="es-ES"/>
        </w:rPr>
        <w:br/>
      </w:r>
      <w:r>
        <w:rPr>
          <w:rFonts w:eastAsia="Times New Roman"/>
          <w:sz w:val="30"/>
          <w:szCs w:val="30"/>
          <w:lang w:val="es-ES"/>
        </w:rPr>
        <w:br/>
        <w:t>c) Proteger</w:t>
      </w:r>
      <w:r>
        <w:rPr>
          <w:rFonts w:eastAsia="Times New Roman"/>
          <w:sz w:val="30"/>
          <w:szCs w:val="30"/>
          <w:lang w:val="es-ES"/>
        </w:rPr>
        <w:t xml:space="preserve"> la integridad y estabilidad del sistema financiero nacional y la sostenibilidad del régimen monetario y de los regímenes de valores y seguros;</w:t>
      </w:r>
      <w:r>
        <w:rPr>
          <w:rFonts w:eastAsia="Times New Roman"/>
          <w:sz w:val="30"/>
          <w:szCs w:val="30"/>
          <w:lang w:val="es-ES"/>
        </w:rPr>
        <w:br/>
      </w:r>
      <w:r>
        <w:rPr>
          <w:rFonts w:eastAsia="Times New Roman"/>
          <w:sz w:val="30"/>
          <w:szCs w:val="30"/>
          <w:lang w:val="es-ES"/>
        </w:rPr>
        <w:br/>
        <w:t>d) Salvaguardar el desempeño económico en situaciones de emergencia;</w:t>
      </w:r>
      <w:r>
        <w:rPr>
          <w:rFonts w:eastAsia="Times New Roman"/>
          <w:sz w:val="30"/>
          <w:szCs w:val="30"/>
          <w:lang w:val="es-ES"/>
        </w:rPr>
        <w:br/>
      </w:r>
      <w:r>
        <w:rPr>
          <w:rFonts w:eastAsia="Times New Roman"/>
          <w:sz w:val="30"/>
          <w:szCs w:val="30"/>
          <w:lang w:val="es-ES"/>
        </w:rPr>
        <w:br/>
        <w:t xml:space="preserve">e) Incentivar los procesos regionales de </w:t>
      </w:r>
      <w:r>
        <w:rPr>
          <w:rFonts w:eastAsia="Times New Roman"/>
          <w:sz w:val="30"/>
          <w:szCs w:val="30"/>
          <w:lang w:val="es-ES"/>
        </w:rPr>
        <w:t>integración;</w:t>
      </w:r>
      <w:r>
        <w:rPr>
          <w:rFonts w:eastAsia="Times New Roman"/>
          <w:sz w:val="30"/>
          <w:szCs w:val="30"/>
          <w:lang w:val="es-ES"/>
        </w:rPr>
        <w:br/>
      </w:r>
      <w:r>
        <w:rPr>
          <w:rFonts w:eastAsia="Times New Roman"/>
          <w:sz w:val="30"/>
          <w:szCs w:val="30"/>
          <w:lang w:val="es-ES"/>
        </w:rPr>
        <w:br/>
        <w:t>f) Precautelar la sostenibilidad de la balanza de pagos, la planificación económica para el Buen Vivir y la defensa de la industria naciente;</w:t>
      </w:r>
      <w:r>
        <w:rPr>
          <w:rFonts w:eastAsia="Times New Roman"/>
          <w:sz w:val="30"/>
          <w:szCs w:val="30"/>
          <w:lang w:val="es-ES"/>
        </w:rPr>
        <w:br/>
      </w:r>
      <w:r>
        <w:rPr>
          <w:rFonts w:eastAsia="Times New Roman"/>
          <w:sz w:val="30"/>
          <w:szCs w:val="30"/>
          <w:lang w:val="es-ES"/>
        </w:rPr>
        <w:br/>
        <w:t>g) Generar incentivos a las instituciones del sistema financiero por la creación de productos orien</w:t>
      </w:r>
      <w:r>
        <w:rPr>
          <w:rFonts w:eastAsia="Times New Roman"/>
          <w:sz w:val="30"/>
          <w:szCs w:val="30"/>
          <w:lang w:val="es-ES"/>
        </w:rPr>
        <w:t>tados a promover y facilitar la inclusión económica de grupos de atención prioritaria tales como las personas en movilidad humana, con discapacidad, jóvenes y madres solteras.</w:t>
      </w:r>
      <w:r>
        <w:rPr>
          <w:rFonts w:eastAsia="Times New Roman"/>
          <w:sz w:val="30"/>
          <w:szCs w:val="30"/>
          <w:lang w:val="es-ES"/>
        </w:rPr>
        <w:br/>
      </w:r>
      <w:r>
        <w:rPr>
          <w:rFonts w:eastAsia="Times New Roman"/>
          <w:sz w:val="30"/>
          <w:szCs w:val="30"/>
          <w:lang w:val="es-ES"/>
        </w:rPr>
        <w:br/>
        <w:t>12. Determinar para la economía nacional el nivel de liquidez global consistent</w:t>
      </w:r>
      <w:r>
        <w:rPr>
          <w:rFonts w:eastAsia="Times New Roman"/>
          <w:sz w:val="30"/>
          <w:szCs w:val="30"/>
          <w:lang w:val="es-ES"/>
        </w:rPr>
        <w:t>e con los objetivos estratégicos definidos para el ejercicio de la política económica;</w:t>
      </w:r>
      <w:r>
        <w:rPr>
          <w:rFonts w:eastAsia="Times New Roman"/>
          <w:sz w:val="30"/>
          <w:szCs w:val="30"/>
          <w:lang w:val="es-ES"/>
        </w:rPr>
        <w:br/>
      </w:r>
      <w:r>
        <w:rPr>
          <w:rFonts w:eastAsia="Times New Roman"/>
          <w:sz w:val="30"/>
          <w:szCs w:val="30"/>
          <w:lang w:val="es-ES"/>
        </w:rPr>
        <w:br/>
        <w:t xml:space="preserve">13. Planificar, regular y monitorear los niveles de liquidez de la </w:t>
      </w:r>
      <w:r>
        <w:rPr>
          <w:rFonts w:eastAsia="Times New Roman"/>
          <w:sz w:val="30"/>
          <w:szCs w:val="30"/>
          <w:lang w:val="es-ES"/>
        </w:rPr>
        <w:lastRenderedPageBreak/>
        <w:t>economía;</w:t>
      </w:r>
      <w:r>
        <w:rPr>
          <w:rFonts w:eastAsia="Times New Roman"/>
          <w:sz w:val="30"/>
          <w:szCs w:val="30"/>
          <w:lang w:val="es-ES"/>
        </w:rPr>
        <w:br/>
      </w:r>
      <w:r>
        <w:rPr>
          <w:rFonts w:eastAsia="Times New Roman"/>
          <w:sz w:val="30"/>
          <w:szCs w:val="30"/>
          <w:lang w:val="es-ES"/>
        </w:rPr>
        <w:br/>
        <w:t>14. Definir los criterios a seguir para la gestión de los excedentes de liquidez, con el f</w:t>
      </w:r>
      <w:r>
        <w:rPr>
          <w:rFonts w:eastAsia="Times New Roman"/>
          <w:sz w:val="30"/>
          <w:szCs w:val="30"/>
          <w:lang w:val="es-ES"/>
        </w:rPr>
        <w:t>in de estimular la inversión doméstica, su sostenibilidad, su consistencia con los objetivos de crecimiento económico, generación de trabajo, sostenibilidad de la balanza de pagos, reducción de la desigualdad y la distribución y redistribución del ingreso;</w:t>
      </w:r>
      <w:r>
        <w:rPr>
          <w:rFonts w:eastAsia="Times New Roman"/>
          <w:sz w:val="30"/>
          <w:szCs w:val="30"/>
          <w:lang w:val="es-ES"/>
        </w:rPr>
        <w:br/>
      </w:r>
      <w:r>
        <w:rPr>
          <w:rFonts w:eastAsia="Times New Roman"/>
          <w:sz w:val="30"/>
          <w:szCs w:val="30"/>
          <w:lang w:val="es-ES"/>
        </w:rPr>
        <w:br/>
        <w:t>15. Emitir el marco regulatorio de gestión, solvencia y prudencia al que deben sujetarse las entidades financieras, de valores y seguros, en línea con los objetivos macroeconómicos;</w:t>
      </w:r>
      <w:r>
        <w:rPr>
          <w:rFonts w:eastAsia="Times New Roman"/>
          <w:sz w:val="30"/>
          <w:szCs w:val="30"/>
          <w:lang w:val="es-ES"/>
        </w:rPr>
        <w:br/>
      </w:r>
      <w:r>
        <w:rPr>
          <w:rFonts w:eastAsia="Times New Roman"/>
          <w:sz w:val="30"/>
          <w:szCs w:val="30"/>
          <w:lang w:val="es-ES"/>
        </w:rPr>
        <w:br/>
        <w:t>16. Establecer los niveles de reservas de liquidez, de liquidez domésti</w:t>
      </w:r>
      <w:r>
        <w:rPr>
          <w:rFonts w:eastAsia="Times New Roman"/>
          <w:sz w:val="30"/>
          <w:szCs w:val="30"/>
          <w:lang w:val="es-ES"/>
        </w:rPr>
        <w:t>ca, de patrimonio, patrimonio técnico y las ponderaciones por riesgo de los activos, su composición, forma de cálculo y modificaciones, a los que deben someterse las entidades financieras, de valores y seguros;</w:t>
      </w:r>
      <w:r>
        <w:rPr>
          <w:rFonts w:eastAsia="Times New Roman"/>
          <w:sz w:val="30"/>
          <w:szCs w:val="30"/>
          <w:lang w:val="es-ES"/>
        </w:rPr>
        <w:br/>
      </w:r>
      <w:r>
        <w:rPr>
          <w:rFonts w:eastAsia="Times New Roman"/>
          <w:sz w:val="30"/>
          <w:szCs w:val="30"/>
          <w:lang w:val="es-ES"/>
        </w:rPr>
        <w:br/>
        <w:t>17. Determinar los cupos de las entidades de</w:t>
      </w:r>
      <w:r>
        <w:rPr>
          <w:rFonts w:eastAsia="Times New Roman"/>
          <w:sz w:val="30"/>
          <w:szCs w:val="30"/>
          <w:lang w:val="es-ES"/>
        </w:rPr>
        <w:t xml:space="preserve"> los sectores financiero privado y popular y solidario que podrán contratar con el Banco Central del Ecuador para operaciones de ventanilla de redescuento o de inversión doméstica, con sujeción a este Código, sobre la base de su solvencia, relaciones patri</w:t>
      </w:r>
      <w:r>
        <w:rPr>
          <w:rFonts w:eastAsia="Times New Roman"/>
          <w:sz w:val="30"/>
          <w:szCs w:val="30"/>
          <w:lang w:val="es-ES"/>
        </w:rPr>
        <w:t>moniales y la política económica que se determine para el efecto;</w:t>
      </w:r>
      <w:r>
        <w:rPr>
          <w:rFonts w:eastAsia="Times New Roman"/>
          <w:sz w:val="30"/>
          <w:szCs w:val="30"/>
          <w:lang w:val="es-ES"/>
        </w:rPr>
        <w:br/>
      </w:r>
      <w:r>
        <w:rPr>
          <w:rFonts w:eastAsia="Times New Roman"/>
          <w:sz w:val="30"/>
          <w:szCs w:val="30"/>
          <w:lang w:val="es-ES"/>
        </w:rPr>
        <w:br/>
        <w:t>18. Establecer para las personas jurídicas no financieras que realicen operaciones de crédito por sobre los límites que determine la Junta, requisitos de reservas mínimas, requerimientos pa</w:t>
      </w:r>
      <w:r>
        <w:rPr>
          <w:rFonts w:eastAsia="Times New Roman"/>
          <w:sz w:val="30"/>
          <w:szCs w:val="30"/>
          <w:lang w:val="es-ES"/>
        </w:rPr>
        <w:t>trimoniales y de liquidez y otros que garanticen su adecuada gestión y solvencia, así como su forma de cálculo, en el marco de la política económica;</w:t>
      </w:r>
      <w:r>
        <w:rPr>
          <w:rFonts w:eastAsia="Times New Roman"/>
          <w:sz w:val="30"/>
          <w:szCs w:val="30"/>
          <w:lang w:val="es-ES"/>
        </w:rPr>
        <w:br/>
      </w:r>
      <w:r>
        <w:rPr>
          <w:rFonts w:eastAsia="Times New Roman"/>
          <w:sz w:val="30"/>
          <w:szCs w:val="30"/>
          <w:lang w:val="es-ES"/>
        </w:rPr>
        <w:br/>
        <w:t>19. Establecer medios de pago;</w:t>
      </w:r>
      <w:r>
        <w:rPr>
          <w:rFonts w:eastAsia="Times New Roman"/>
          <w:sz w:val="30"/>
          <w:szCs w:val="30"/>
          <w:lang w:val="es-ES"/>
        </w:rPr>
        <w:br/>
      </w:r>
      <w:r>
        <w:rPr>
          <w:rFonts w:eastAsia="Times New Roman"/>
          <w:sz w:val="30"/>
          <w:szCs w:val="30"/>
          <w:lang w:val="es-ES"/>
        </w:rPr>
        <w:br/>
        <w:t>20. Normar el sistema nacional de pagos;</w:t>
      </w:r>
      <w:r>
        <w:rPr>
          <w:rFonts w:eastAsia="Times New Roman"/>
          <w:sz w:val="30"/>
          <w:szCs w:val="30"/>
          <w:lang w:val="es-ES"/>
        </w:rPr>
        <w:br/>
      </w:r>
      <w:r>
        <w:rPr>
          <w:rFonts w:eastAsia="Times New Roman"/>
          <w:sz w:val="30"/>
          <w:szCs w:val="30"/>
          <w:lang w:val="es-ES"/>
        </w:rPr>
        <w:br/>
        <w:t>21. Regular la gestión de moned</w:t>
      </w:r>
      <w:r>
        <w:rPr>
          <w:rFonts w:eastAsia="Times New Roman"/>
          <w:sz w:val="30"/>
          <w:szCs w:val="30"/>
          <w:lang w:val="es-ES"/>
        </w:rPr>
        <w:t>a electrónica y disponer al Banco Central del Ecuador su implementación, monitoreo y evaluación, así como de la moneda nacional metálica, de acuerdo con lo dispuesto en este Código;</w:t>
      </w:r>
      <w:r>
        <w:rPr>
          <w:rFonts w:eastAsia="Times New Roman"/>
          <w:sz w:val="30"/>
          <w:szCs w:val="30"/>
          <w:lang w:val="es-ES"/>
        </w:rPr>
        <w:br/>
      </w:r>
      <w:r>
        <w:rPr>
          <w:rFonts w:eastAsia="Times New Roman"/>
          <w:sz w:val="30"/>
          <w:szCs w:val="30"/>
          <w:lang w:val="es-ES"/>
        </w:rPr>
        <w:lastRenderedPageBreak/>
        <w:br/>
        <w:t>22. Determinar los requerimientos aplicables a las entidades financieras,</w:t>
      </w:r>
      <w:r>
        <w:rPr>
          <w:rFonts w:eastAsia="Times New Roman"/>
          <w:sz w:val="30"/>
          <w:szCs w:val="30"/>
          <w:lang w:val="es-ES"/>
        </w:rPr>
        <w:t xml:space="preserve"> de valores y seguros, en consistencia con los objetivos de política económica;</w:t>
      </w:r>
      <w:r>
        <w:rPr>
          <w:rFonts w:eastAsia="Times New Roman"/>
          <w:sz w:val="30"/>
          <w:szCs w:val="30"/>
          <w:lang w:val="es-ES"/>
        </w:rPr>
        <w:br/>
      </w:r>
      <w:r>
        <w:rPr>
          <w:rFonts w:eastAsia="Times New Roman"/>
          <w:sz w:val="30"/>
          <w:szCs w:val="30"/>
          <w:lang w:val="es-ES"/>
        </w:rPr>
        <w:br/>
        <w:t>23. Establecer niveles de crédito, tasas de interés, reservas de liquidez, encaje y provisiones aplicables a las operaciones crediticias, financieras, mercantiles y otras, que</w:t>
      </w:r>
      <w:r>
        <w:rPr>
          <w:rFonts w:eastAsia="Times New Roman"/>
          <w:sz w:val="30"/>
          <w:szCs w:val="30"/>
          <w:lang w:val="es-ES"/>
        </w:rPr>
        <w:t xml:space="preserve"> podrán definirse por segmentos, actividades económicas y otros criterios;</w:t>
      </w:r>
      <w:r>
        <w:rPr>
          <w:rFonts w:eastAsia="Times New Roman"/>
          <w:sz w:val="30"/>
          <w:szCs w:val="30"/>
          <w:lang w:val="es-ES"/>
        </w:rPr>
        <w:br/>
      </w:r>
      <w:r>
        <w:rPr>
          <w:rFonts w:eastAsia="Times New Roman"/>
          <w:sz w:val="30"/>
          <w:szCs w:val="30"/>
          <w:lang w:val="es-ES"/>
        </w:rPr>
        <w:br/>
        <w:t>24. Regular el crecimiento de las entidades financieras, de valores y seguros, para reducir la vulnerabilidad de la economía;</w:t>
      </w:r>
      <w:r>
        <w:rPr>
          <w:rFonts w:eastAsia="Times New Roman"/>
          <w:sz w:val="30"/>
          <w:szCs w:val="30"/>
          <w:lang w:val="es-ES"/>
        </w:rPr>
        <w:br/>
      </w:r>
      <w:r>
        <w:rPr>
          <w:rFonts w:eastAsia="Times New Roman"/>
          <w:sz w:val="30"/>
          <w:szCs w:val="30"/>
          <w:lang w:val="es-ES"/>
        </w:rPr>
        <w:br/>
        <w:t>25. Establecer normas para el funcionamiento de los p</w:t>
      </w:r>
      <w:r>
        <w:rPr>
          <w:rFonts w:eastAsia="Times New Roman"/>
          <w:sz w:val="30"/>
          <w:szCs w:val="30"/>
          <w:lang w:val="es-ES"/>
        </w:rPr>
        <w:t>agos y transferencias desde y hacia el Ecuador;</w:t>
      </w:r>
      <w:r>
        <w:rPr>
          <w:rFonts w:eastAsia="Times New Roman"/>
          <w:sz w:val="30"/>
          <w:szCs w:val="30"/>
          <w:lang w:val="es-ES"/>
        </w:rPr>
        <w:br/>
      </w:r>
      <w:r>
        <w:rPr>
          <w:rFonts w:eastAsia="Times New Roman"/>
          <w:sz w:val="30"/>
          <w:szCs w:val="30"/>
          <w:lang w:val="es-ES"/>
        </w:rPr>
        <w:br/>
        <w:t>26. Establecer moratorias para la constitución de nuevas entidades financieras, de valores y seguros;</w:t>
      </w:r>
      <w:r>
        <w:rPr>
          <w:rFonts w:eastAsia="Times New Roman"/>
          <w:sz w:val="30"/>
          <w:szCs w:val="30"/>
          <w:lang w:val="es-ES"/>
        </w:rPr>
        <w:br/>
      </w:r>
      <w:r>
        <w:rPr>
          <w:rFonts w:eastAsia="Times New Roman"/>
          <w:sz w:val="30"/>
          <w:szCs w:val="30"/>
          <w:lang w:val="es-ES"/>
        </w:rPr>
        <w:br/>
        <w:t>27. Cumplir con las funciones que la Ley de Mercado de Valores le otorga, así como regular la constituci</w:t>
      </w:r>
      <w:r>
        <w:rPr>
          <w:rFonts w:eastAsia="Times New Roman"/>
          <w:sz w:val="30"/>
          <w:szCs w:val="30"/>
          <w:lang w:val="es-ES"/>
        </w:rPr>
        <w:t>ón, operación y liquidación de fondos y negocios fiduciarios;</w:t>
      </w:r>
      <w:r>
        <w:rPr>
          <w:rFonts w:eastAsia="Times New Roman"/>
          <w:sz w:val="30"/>
          <w:szCs w:val="30"/>
          <w:lang w:val="es-ES"/>
        </w:rPr>
        <w:br/>
      </w:r>
      <w:r>
        <w:rPr>
          <w:rFonts w:eastAsia="Times New Roman"/>
          <w:sz w:val="30"/>
          <w:szCs w:val="30"/>
          <w:lang w:val="es-ES"/>
        </w:rPr>
        <w:br/>
        <w:t>28. Establecer los cargos por los servicios que presten las entidades financieras, de valores y seguros así como de las entidades no financieras que otorguen crédito y los gastos con terceros d</w:t>
      </w:r>
      <w:r>
        <w:rPr>
          <w:rFonts w:eastAsia="Times New Roman"/>
          <w:sz w:val="30"/>
          <w:szCs w:val="30"/>
          <w:lang w:val="es-ES"/>
        </w:rPr>
        <w:t>erivados de las operaciones activas en que incurran los usuarios de estas entidades;</w:t>
      </w:r>
      <w:r>
        <w:rPr>
          <w:rFonts w:eastAsia="Times New Roman"/>
          <w:sz w:val="30"/>
          <w:szCs w:val="30"/>
          <w:lang w:val="es-ES"/>
        </w:rPr>
        <w:br/>
      </w:r>
      <w:r>
        <w:rPr>
          <w:rFonts w:eastAsia="Times New Roman"/>
          <w:sz w:val="30"/>
          <w:szCs w:val="30"/>
          <w:lang w:val="es-ES"/>
        </w:rPr>
        <w:br/>
        <w:t>29. Establecer el límite máximo de costos y comisiones que se puedan pactar por el uso del servicio de cobro con tarjeta de crédito, débito y otros medios de similar natu</w:t>
      </w:r>
      <w:r>
        <w:rPr>
          <w:rFonts w:eastAsia="Times New Roman"/>
          <w:sz w:val="30"/>
          <w:szCs w:val="30"/>
          <w:lang w:val="es-ES"/>
        </w:rPr>
        <w:t>raleza a los establecimientos comerciales.</w:t>
      </w:r>
      <w:r>
        <w:rPr>
          <w:rFonts w:eastAsia="Times New Roman"/>
          <w:sz w:val="30"/>
          <w:szCs w:val="30"/>
          <w:lang w:val="es-ES"/>
        </w:rPr>
        <w:br/>
      </w:r>
      <w:r>
        <w:rPr>
          <w:rFonts w:eastAsia="Times New Roman"/>
          <w:sz w:val="30"/>
          <w:szCs w:val="30"/>
          <w:lang w:val="es-ES"/>
        </w:rPr>
        <w:br/>
        <w:t>Estos costos y comisiones no podrán superar los límites máximos que establezca la Junta, considerando además de otros factores de carácter operativo, la tasa efectiva máxima emitida por el Banco Central del Ecuad</w:t>
      </w:r>
      <w:r>
        <w:rPr>
          <w:rFonts w:eastAsia="Times New Roman"/>
          <w:sz w:val="30"/>
          <w:szCs w:val="30"/>
          <w:lang w:val="es-ES"/>
        </w:rPr>
        <w:t>or;</w:t>
      </w:r>
      <w:r>
        <w:rPr>
          <w:rFonts w:eastAsia="Times New Roman"/>
          <w:sz w:val="30"/>
          <w:szCs w:val="30"/>
          <w:lang w:val="es-ES"/>
        </w:rPr>
        <w:br/>
      </w:r>
      <w:r>
        <w:rPr>
          <w:rFonts w:eastAsia="Times New Roman"/>
          <w:sz w:val="30"/>
          <w:szCs w:val="30"/>
          <w:lang w:val="es-ES"/>
        </w:rPr>
        <w:br/>
        <w:t xml:space="preserve">30. Regular los niveles máximos de remuneración y otros beneficios económicos, sociales y compensaciones de los administradores de las entidades financieras, de valores y seguros, considerando la </w:t>
      </w:r>
      <w:r>
        <w:rPr>
          <w:rFonts w:eastAsia="Times New Roman"/>
          <w:sz w:val="30"/>
          <w:szCs w:val="30"/>
          <w:lang w:val="es-ES"/>
        </w:rPr>
        <w:lastRenderedPageBreak/>
        <w:t>rentabilidad, el riesgo, activos y el capital de la ent</w:t>
      </w:r>
      <w:r>
        <w:rPr>
          <w:rFonts w:eastAsia="Times New Roman"/>
          <w:sz w:val="30"/>
          <w:szCs w:val="30"/>
          <w:lang w:val="es-ES"/>
        </w:rPr>
        <w:t>idad en comparación con el resto del sistema;</w:t>
      </w:r>
      <w:r>
        <w:rPr>
          <w:rFonts w:eastAsia="Times New Roman"/>
          <w:sz w:val="30"/>
          <w:szCs w:val="30"/>
          <w:lang w:val="es-ES"/>
        </w:rPr>
        <w:br/>
      </w:r>
      <w:r>
        <w:rPr>
          <w:rFonts w:eastAsia="Times New Roman"/>
          <w:sz w:val="30"/>
          <w:szCs w:val="30"/>
          <w:lang w:val="es-ES"/>
        </w:rPr>
        <w:br/>
        <w:t>31. Establecer directrices de política de crédito e inversión y, en general, sobre activos, pasivos y operaciones contingentes de las entidades del sistema financiero nacional, de conformidad con este Código;</w:t>
      </w:r>
      <w:r>
        <w:rPr>
          <w:rFonts w:eastAsia="Times New Roman"/>
          <w:sz w:val="30"/>
          <w:szCs w:val="30"/>
          <w:lang w:val="es-ES"/>
        </w:rPr>
        <w:br/>
      </w:r>
      <w:r>
        <w:rPr>
          <w:rFonts w:eastAsia="Times New Roman"/>
          <w:sz w:val="30"/>
          <w:szCs w:val="30"/>
          <w:lang w:val="es-ES"/>
        </w:rPr>
        <w:br/>
        <w:t>32. Determinar el tipo de entidades que pueden tener cuentas corrientes y de valores en el Banco Central del Ecuador;</w:t>
      </w:r>
      <w:r>
        <w:rPr>
          <w:rFonts w:eastAsia="Times New Roman"/>
          <w:sz w:val="30"/>
          <w:szCs w:val="30"/>
          <w:lang w:val="es-ES"/>
        </w:rPr>
        <w:br/>
      </w:r>
      <w:r>
        <w:rPr>
          <w:rFonts w:eastAsia="Times New Roman"/>
          <w:sz w:val="30"/>
          <w:szCs w:val="30"/>
          <w:lang w:val="es-ES"/>
        </w:rPr>
        <w:br/>
        <w:t>33. Dictar las normas que regulan los seguros y reaseguros;</w:t>
      </w:r>
      <w:r>
        <w:rPr>
          <w:rFonts w:eastAsia="Times New Roman"/>
          <w:sz w:val="30"/>
          <w:szCs w:val="30"/>
          <w:lang w:val="es-ES"/>
        </w:rPr>
        <w:br/>
      </w:r>
      <w:r>
        <w:rPr>
          <w:rFonts w:eastAsia="Times New Roman"/>
          <w:sz w:val="30"/>
          <w:szCs w:val="30"/>
          <w:lang w:val="es-ES"/>
        </w:rPr>
        <w:br/>
        <w:t>34. Regular la gestión fiduciaria de las entidades del sector financiero pú</w:t>
      </w:r>
      <w:r>
        <w:rPr>
          <w:rFonts w:eastAsia="Times New Roman"/>
          <w:sz w:val="30"/>
          <w:szCs w:val="30"/>
          <w:lang w:val="es-ES"/>
        </w:rPr>
        <w:t>blico;</w:t>
      </w:r>
      <w:r>
        <w:rPr>
          <w:rFonts w:eastAsia="Times New Roman"/>
          <w:sz w:val="30"/>
          <w:szCs w:val="30"/>
          <w:lang w:val="es-ES"/>
        </w:rPr>
        <w:br/>
      </w:r>
      <w:r>
        <w:rPr>
          <w:rFonts w:eastAsia="Times New Roman"/>
          <w:sz w:val="30"/>
          <w:szCs w:val="30"/>
          <w:lang w:val="es-ES"/>
        </w:rPr>
        <w:br/>
        <w:t>35. Establecer la segmentación de las entidades del sector financiero popular y solidario;</w:t>
      </w:r>
      <w:r>
        <w:rPr>
          <w:rFonts w:eastAsia="Times New Roman"/>
          <w:sz w:val="30"/>
          <w:szCs w:val="30"/>
          <w:lang w:val="es-ES"/>
        </w:rPr>
        <w:br/>
      </w:r>
      <w:r>
        <w:rPr>
          <w:rFonts w:eastAsia="Times New Roman"/>
          <w:sz w:val="30"/>
          <w:szCs w:val="30"/>
          <w:lang w:val="es-ES"/>
        </w:rPr>
        <w:br/>
        <w:t>36. Determinar las operaciones de índole bancaria del Banco Central del Ecuador sujetas al control de la Superintendencia de Bancos y las operaciones de los</w:t>
      </w:r>
      <w:r>
        <w:rPr>
          <w:rFonts w:eastAsia="Times New Roman"/>
          <w:sz w:val="30"/>
          <w:szCs w:val="30"/>
          <w:lang w:val="es-ES"/>
        </w:rPr>
        <w:t xml:space="preserve"> fideicomisos de la Corporación de Seguro de Depósitos, Fondo de Liquidez y Fondo de Seguros Privados sujetas al control de las respectivas superintendencias;</w:t>
      </w:r>
      <w:r>
        <w:rPr>
          <w:rFonts w:eastAsia="Times New Roman"/>
          <w:sz w:val="30"/>
          <w:szCs w:val="30"/>
          <w:lang w:val="es-ES"/>
        </w:rPr>
        <w:br/>
      </w:r>
      <w:r>
        <w:rPr>
          <w:rFonts w:eastAsia="Times New Roman"/>
          <w:sz w:val="30"/>
          <w:szCs w:val="30"/>
          <w:lang w:val="es-ES"/>
        </w:rPr>
        <w:br/>
        <w:t xml:space="preserve">37. Autorizar al Banco Central del Ecuador y a las entidades financieras, de valores y seguros, </w:t>
      </w:r>
      <w:r>
        <w:rPr>
          <w:rFonts w:eastAsia="Times New Roman"/>
          <w:sz w:val="30"/>
          <w:szCs w:val="30"/>
          <w:lang w:val="es-ES"/>
        </w:rPr>
        <w:t>nuevas actividades que, sin estar prohibidas, sean necesarias para el cumplimiento de los objetivos de la política monetaria, financiera, crediticia, cambiaria, de valores y seguros, de acuerdo con las regulaciones que se dicte para el efecto;</w:t>
      </w:r>
      <w:r>
        <w:rPr>
          <w:rFonts w:eastAsia="Times New Roman"/>
          <w:sz w:val="30"/>
          <w:szCs w:val="30"/>
          <w:lang w:val="es-ES"/>
        </w:rPr>
        <w:br/>
      </w:r>
      <w:r>
        <w:rPr>
          <w:rFonts w:eastAsia="Times New Roman"/>
          <w:sz w:val="30"/>
          <w:szCs w:val="30"/>
          <w:lang w:val="es-ES"/>
        </w:rPr>
        <w:br/>
        <w:t>38. Requeri</w:t>
      </w:r>
      <w:r>
        <w:rPr>
          <w:rFonts w:eastAsia="Times New Roman"/>
          <w:sz w:val="30"/>
          <w:szCs w:val="30"/>
          <w:lang w:val="es-ES"/>
        </w:rPr>
        <w:t>r la suspensión de la aplicación de las normas emitidas por los organismos de control;</w:t>
      </w:r>
      <w:r>
        <w:rPr>
          <w:rFonts w:eastAsia="Times New Roman"/>
          <w:sz w:val="30"/>
          <w:szCs w:val="30"/>
          <w:lang w:val="es-ES"/>
        </w:rPr>
        <w:br/>
      </w:r>
      <w:r>
        <w:rPr>
          <w:rFonts w:eastAsia="Times New Roman"/>
          <w:sz w:val="30"/>
          <w:szCs w:val="30"/>
          <w:lang w:val="es-ES"/>
        </w:rPr>
        <w:br/>
        <w:t>39. Establecer unidades de cuenta;</w:t>
      </w:r>
      <w:r>
        <w:rPr>
          <w:rFonts w:eastAsia="Times New Roman"/>
          <w:sz w:val="30"/>
          <w:szCs w:val="30"/>
          <w:lang w:val="es-ES"/>
        </w:rPr>
        <w:br/>
      </w:r>
      <w:r>
        <w:rPr>
          <w:rFonts w:eastAsia="Times New Roman"/>
          <w:sz w:val="30"/>
          <w:szCs w:val="30"/>
          <w:lang w:val="es-ES"/>
        </w:rPr>
        <w:br/>
        <w:t xml:space="preserve">40. Conocer los informes que presenten, en el ámbito de sus competencias, el Banco Central del Ecuador, los organismos de control y </w:t>
      </w:r>
      <w:r>
        <w:rPr>
          <w:rFonts w:eastAsia="Times New Roman"/>
          <w:sz w:val="30"/>
          <w:szCs w:val="30"/>
          <w:lang w:val="es-ES"/>
        </w:rPr>
        <w:t xml:space="preserve">la Corporación de Seguro de Depósitos, Fondo de Liquidez y Fondo de Seguros Privados, sobre el estado de los sistemas monetario </w:t>
      </w:r>
      <w:r>
        <w:rPr>
          <w:rFonts w:eastAsia="Times New Roman"/>
          <w:sz w:val="30"/>
          <w:szCs w:val="30"/>
          <w:lang w:val="es-ES"/>
        </w:rPr>
        <w:lastRenderedPageBreak/>
        <w:t>y financiero y sobre las entidades financieras, de seguros y valores;</w:t>
      </w:r>
      <w:r>
        <w:rPr>
          <w:rFonts w:eastAsia="Times New Roman"/>
          <w:sz w:val="30"/>
          <w:szCs w:val="30"/>
          <w:lang w:val="es-ES"/>
        </w:rPr>
        <w:br/>
      </w:r>
      <w:r>
        <w:rPr>
          <w:rFonts w:eastAsia="Times New Roman"/>
          <w:sz w:val="30"/>
          <w:szCs w:val="30"/>
          <w:lang w:val="es-ES"/>
        </w:rPr>
        <w:br/>
        <w:t>41. Regular la constitución, organización, funcionamiento</w:t>
      </w:r>
      <w:r>
        <w:rPr>
          <w:rFonts w:eastAsia="Times New Roman"/>
          <w:sz w:val="30"/>
          <w:szCs w:val="30"/>
          <w:lang w:val="es-ES"/>
        </w:rPr>
        <w:t>, liquidación y registro de los fondos complementarios previsionales y sus inversiones, así como los requisitos mínimos para ejercer el cargo de administradores;</w:t>
      </w:r>
      <w:r>
        <w:rPr>
          <w:rFonts w:eastAsia="Times New Roman"/>
          <w:sz w:val="30"/>
          <w:szCs w:val="30"/>
          <w:lang w:val="es-ES"/>
        </w:rPr>
        <w:br/>
      </w:r>
      <w:r>
        <w:rPr>
          <w:rFonts w:eastAsia="Times New Roman"/>
          <w:sz w:val="30"/>
          <w:szCs w:val="30"/>
          <w:lang w:val="es-ES"/>
        </w:rPr>
        <w:br/>
        <w:t>42. Nombrar al secretario administrativo de la Junta;</w:t>
      </w:r>
      <w:r>
        <w:rPr>
          <w:rFonts w:eastAsia="Times New Roman"/>
          <w:sz w:val="30"/>
          <w:szCs w:val="30"/>
          <w:lang w:val="es-ES"/>
        </w:rPr>
        <w:br/>
      </w:r>
      <w:r>
        <w:rPr>
          <w:rFonts w:eastAsia="Times New Roman"/>
          <w:sz w:val="30"/>
          <w:szCs w:val="30"/>
          <w:lang w:val="es-ES"/>
        </w:rPr>
        <w:br/>
        <w:t>43. Nombrar al Gerente General del Ban</w:t>
      </w:r>
      <w:r>
        <w:rPr>
          <w:rFonts w:eastAsia="Times New Roman"/>
          <w:sz w:val="30"/>
          <w:szCs w:val="30"/>
          <w:lang w:val="es-ES"/>
        </w:rPr>
        <w:t>co Central del Ecuador;</w:t>
      </w:r>
      <w:r>
        <w:rPr>
          <w:rFonts w:eastAsia="Times New Roman"/>
          <w:sz w:val="30"/>
          <w:szCs w:val="30"/>
          <w:lang w:val="es-ES"/>
        </w:rPr>
        <w:br/>
      </w:r>
      <w:r>
        <w:rPr>
          <w:rFonts w:eastAsia="Times New Roman"/>
          <w:sz w:val="30"/>
          <w:szCs w:val="30"/>
          <w:lang w:val="es-ES"/>
        </w:rPr>
        <w:br/>
        <w:t>44. Aprobar el Estatuto del Banco Central del Ecuador y sus reformas, previo el cumplimiento de los requisitos determinados en la Ley Orgánica del Servicio Público;</w:t>
      </w:r>
      <w:r>
        <w:rPr>
          <w:rFonts w:eastAsia="Times New Roman"/>
          <w:sz w:val="30"/>
          <w:szCs w:val="30"/>
          <w:lang w:val="es-ES"/>
        </w:rPr>
        <w:br/>
      </w:r>
      <w:r>
        <w:rPr>
          <w:rFonts w:eastAsia="Times New Roman"/>
          <w:sz w:val="30"/>
          <w:szCs w:val="30"/>
          <w:lang w:val="es-ES"/>
        </w:rPr>
        <w:br/>
        <w:t>45. Aprobar anualmente el presupuesto del Banco Central del Ecuad</w:t>
      </w:r>
      <w:r>
        <w:rPr>
          <w:rFonts w:eastAsia="Times New Roman"/>
          <w:sz w:val="30"/>
          <w:szCs w:val="30"/>
          <w:lang w:val="es-ES"/>
        </w:rPr>
        <w:t>or y de las entidades del sector financiero público, de seguros y valores públicas, sus reformas, así como regular su ejecución;</w:t>
      </w:r>
      <w:r>
        <w:rPr>
          <w:rFonts w:eastAsia="Times New Roman"/>
          <w:sz w:val="30"/>
          <w:szCs w:val="30"/>
          <w:lang w:val="es-ES"/>
        </w:rPr>
        <w:br/>
      </w:r>
      <w:r>
        <w:rPr>
          <w:rFonts w:eastAsia="Times New Roman"/>
          <w:sz w:val="30"/>
          <w:szCs w:val="30"/>
          <w:lang w:val="es-ES"/>
        </w:rPr>
        <w:br/>
        <w:t>46. Aprobar anualmente los estados financieros del Banco Central del Ecuador y de la Corporación del Seguro de Depósitos, Fond</w:t>
      </w:r>
      <w:r>
        <w:rPr>
          <w:rFonts w:eastAsia="Times New Roman"/>
          <w:sz w:val="30"/>
          <w:szCs w:val="30"/>
          <w:lang w:val="es-ES"/>
        </w:rPr>
        <w:t>o de Liquidez y Fondo de Seguros Privados;</w:t>
      </w:r>
      <w:r>
        <w:rPr>
          <w:rFonts w:eastAsia="Times New Roman"/>
          <w:sz w:val="30"/>
          <w:szCs w:val="30"/>
          <w:lang w:val="es-ES"/>
        </w:rPr>
        <w:br/>
      </w:r>
      <w:r>
        <w:rPr>
          <w:rFonts w:eastAsia="Times New Roman"/>
          <w:sz w:val="30"/>
          <w:szCs w:val="30"/>
          <w:lang w:val="es-ES"/>
        </w:rPr>
        <w:br/>
        <w:t>47. Regular la participación como accionistas en entidades del sistema financiero nacional, de personas naturales o jurídicas domiciliadas en paraísos fiscales;</w:t>
      </w:r>
      <w:r>
        <w:rPr>
          <w:rFonts w:eastAsia="Times New Roman"/>
          <w:sz w:val="30"/>
          <w:szCs w:val="30"/>
          <w:lang w:val="es-ES"/>
        </w:rPr>
        <w:br/>
      </w:r>
      <w:r>
        <w:rPr>
          <w:rFonts w:eastAsia="Times New Roman"/>
          <w:sz w:val="30"/>
          <w:szCs w:val="30"/>
          <w:lang w:val="es-ES"/>
        </w:rPr>
        <w:br/>
        <w:t>48. Presentar al Presidente de la República un inf</w:t>
      </w:r>
      <w:r>
        <w:rPr>
          <w:rFonts w:eastAsia="Times New Roman"/>
          <w:sz w:val="30"/>
          <w:szCs w:val="30"/>
          <w:lang w:val="es-ES"/>
        </w:rPr>
        <w:t>orme de rendición de cuentas durante el primer trimestre de cada año con respecto al ejercicio económico anterior, cuando lo requiera el Primer Mandatario o cuando la Junta lo considere relevante;</w:t>
      </w:r>
      <w:r>
        <w:rPr>
          <w:rFonts w:eastAsia="Times New Roman"/>
          <w:sz w:val="30"/>
          <w:szCs w:val="30"/>
          <w:lang w:val="es-ES"/>
        </w:rPr>
        <w:br/>
      </w:r>
      <w:r>
        <w:rPr>
          <w:rFonts w:eastAsia="Times New Roman"/>
          <w:sz w:val="30"/>
          <w:szCs w:val="30"/>
          <w:lang w:val="es-ES"/>
        </w:rPr>
        <w:br/>
        <w:t>49. Expedir las normas de carácter general para el pago de</w:t>
      </w:r>
      <w:r>
        <w:rPr>
          <w:rFonts w:eastAsia="Times New Roman"/>
          <w:sz w:val="30"/>
          <w:szCs w:val="30"/>
          <w:lang w:val="es-ES"/>
        </w:rPr>
        <w:t xml:space="preserve"> la cobertura del Fondo de Seguros Privados;</w:t>
      </w:r>
      <w:r>
        <w:rPr>
          <w:rFonts w:eastAsia="Times New Roman"/>
          <w:sz w:val="30"/>
          <w:szCs w:val="30"/>
          <w:lang w:val="es-ES"/>
        </w:rPr>
        <w:br/>
      </w:r>
      <w:r>
        <w:rPr>
          <w:rFonts w:eastAsia="Times New Roman"/>
          <w:sz w:val="30"/>
          <w:szCs w:val="30"/>
          <w:lang w:val="es-ES"/>
        </w:rPr>
        <w:br/>
        <w:t>50. Determinar los porcentajes y destino en los que se dividirá la contribución sobre las primas netas de seguros directos establecida en la ley al momento de contratar las pólizas de seguros privados;</w:t>
      </w:r>
      <w:r>
        <w:rPr>
          <w:rFonts w:eastAsia="Times New Roman"/>
          <w:sz w:val="30"/>
          <w:szCs w:val="30"/>
          <w:lang w:val="es-ES"/>
        </w:rPr>
        <w:br/>
      </w:r>
      <w:r>
        <w:rPr>
          <w:rFonts w:eastAsia="Times New Roman"/>
          <w:sz w:val="30"/>
          <w:szCs w:val="30"/>
          <w:lang w:val="es-ES"/>
        </w:rPr>
        <w:br/>
        <w:t>51. Dic</w:t>
      </w:r>
      <w:r>
        <w:rPr>
          <w:rFonts w:eastAsia="Times New Roman"/>
          <w:sz w:val="30"/>
          <w:szCs w:val="30"/>
          <w:lang w:val="es-ES"/>
        </w:rPr>
        <w:t xml:space="preserve">tar normas de transparencia y divulgación de información para </w:t>
      </w:r>
      <w:r>
        <w:rPr>
          <w:rFonts w:eastAsia="Times New Roman"/>
          <w:sz w:val="30"/>
          <w:szCs w:val="30"/>
          <w:lang w:val="es-ES"/>
        </w:rPr>
        <w:lastRenderedPageBreak/>
        <w:t>todas las entidades del sistema financiero nacional y de los regímenes de valores y seguros;</w:t>
      </w:r>
      <w:r>
        <w:rPr>
          <w:rFonts w:eastAsia="Times New Roman"/>
          <w:sz w:val="30"/>
          <w:szCs w:val="30"/>
          <w:lang w:val="es-ES"/>
        </w:rPr>
        <w:br/>
      </w:r>
      <w:r>
        <w:rPr>
          <w:rFonts w:eastAsia="Times New Roman"/>
          <w:sz w:val="30"/>
          <w:szCs w:val="30"/>
          <w:lang w:val="es-ES"/>
        </w:rPr>
        <w:br/>
        <w:t>52. Requerir de los auditores externos y calificadoras de riesgo la información necesaria;</w:t>
      </w:r>
      <w:r>
        <w:rPr>
          <w:rFonts w:eastAsia="Times New Roman"/>
          <w:sz w:val="30"/>
          <w:szCs w:val="30"/>
          <w:lang w:val="es-ES"/>
        </w:rPr>
        <w:br/>
      </w:r>
      <w:r>
        <w:rPr>
          <w:rFonts w:eastAsia="Times New Roman"/>
          <w:sz w:val="30"/>
          <w:szCs w:val="30"/>
          <w:lang w:val="es-ES"/>
        </w:rPr>
        <w:br/>
        <w:t>53. Dete</w:t>
      </w:r>
      <w:r>
        <w:rPr>
          <w:rFonts w:eastAsia="Times New Roman"/>
          <w:sz w:val="30"/>
          <w:szCs w:val="30"/>
          <w:lang w:val="es-ES"/>
        </w:rPr>
        <w:t>rminar el valor de la cobertura que se pague con cargo al Fondo de Seguro Privado;</w:t>
      </w:r>
      <w:r>
        <w:rPr>
          <w:rFonts w:eastAsia="Times New Roman"/>
          <w:sz w:val="30"/>
          <w:szCs w:val="30"/>
          <w:lang w:val="es-ES"/>
        </w:rPr>
        <w:br/>
      </w:r>
      <w:r>
        <w:rPr>
          <w:rFonts w:eastAsia="Times New Roman"/>
          <w:sz w:val="30"/>
          <w:szCs w:val="30"/>
          <w:lang w:val="es-ES"/>
        </w:rPr>
        <w:br/>
        <w:t>54. Regular la instrumentación de la alternabilidad de los administradores de las entidades del sector financiero popular y solidario; y,</w:t>
      </w:r>
      <w:r>
        <w:rPr>
          <w:rFonts w:eastAsia="Times New Roman"/>
          <w:sz w:val="30"/>
          <w:szCs w:val="30"/>
          <w:lang w:val="es-ES"/>
        </w:rPr>
        <w:br/>
      </w:r>
      <w:r>
        <w:rPr>
          <w:rFonts w:eastAsia="Times New Roman"/>
          <w:sz w:val="30"/>
          <w:szCs w:val="30"/>
          <w:lang w:val="es-ES"/>
        </w:rPr>
        <w:br/>
        <w:t>55. Ejercer las demás funciones q</w:t>
      </w:r>
      <w:r>
        <w:rPr>
          <w:rFonts w:eastAsia="Times New Roman"/>
          <w:sz w:val="30"/>
          <w:szCs w:val="30"/>
          <w:lang w:val="es-ES"/>
        </w:rPr>
        <w:t>ue le asigne la ley.</w:t>
      </w:r>
      <w:r>
        <w:rPr>
          <w:rFonts w:eastAsia="Times New Roman"/>
          <w:sz w:val="30"/>
          <w:szCs w:val="30"/>
          <w:lang w:val="es-ES"/>
        </w:rPr>
        <w:br/>
      </w:r>
      <w:r>
        <w:rPr>
          <w:rFonts w:eastAsia="Times New Roman"/>
          <w:sz w:val="30"/>
          <w:szCs w:val="30"/>
          <w:lang w:val="es-ES"/>
        </w:rPr>
        <w:br/>
        <w:t>Para el cumplimiento de estas funciones, la Junta expedirá las normas en las materias propias de su competencia, sin que puedan alterar las disposiciones legales. La Junta podrá emitir normativa por segmentos, actividades económicas y</w:t>
      </w:r>
      <w:r>
        <w:rPr>
          <w:rFonts w:eastAsia="Times New Roman"/>
          <w:sz w:val="30"/>
          <w:szCs w:val="30"/>
          <w:lang w:val="es-ES"/>
        </w:rPr>
        <w:t xml:space="preserve"> otros criterios.</w:t>
      </w:r>
      <w:r>
        <w:rPr>
          <w:rFonts w:eastAsia="Times New Roman"/>
          <w:sz w:val="30"/>
          <w:szCs w:val="30"/>
          <w:lang w:val="es-ES"/>
        </w:rPr>
        <w:br/>
      </w:r>
      <w:r>
        <w:rPr>
          <w:rFonts w:eastAsia="Times New Roman"/>
          <w:sz w:val="30"/>
          <w:szCs w:val="30"/>
          <w:lang w:val="es-ES"/>
        </w:rPr>
        <w:br/>
        <w:t xml:space="preserve">La Junta podrá requerir directamente la información que considere necesaria, sin restricción alguna, al Banco Central del Ecuador, a las superintendencias descritas en este Código, al Servicio de Rentas Internas, al Servicio Nacional de </w:t>
      </w:r>
      <w:r>
        <w:rPr>
          <w:rFonts w:eastAsia="Times New Roman"/>
          <w:sz w:val="30"/>
          <w:szCs w:val="30"/>
          <w:lang w:val="es-ES"/>
        </w:rPr>
        <w:t>Aduanas, a la cartera de Estado a cargo de las finanzas públicas, a la Corporación de Seguro de Depósitos, Fondo de Liquidez y Fondo de Seguros Privados y a la Unidad de Análisis Financiero.</w:t>
      </w:r>
      <w:r>
        <w:rPr>
          <w:rFonts w:eastAsia="Times New Roman"/>
          <w:sz w:val="30"/>
          <w:szCs w:val="30"/>
          <w:lang w:val="es-ES"/>
        </w:rPr>
        <w:br/>
      </w:r>
      <w:r>
        <w:rPr>
          <w:rFonts w:eastAsia="Times New Roman"/>
          <w:sz w:val="30"/>
          <w:szCs w:val="30"/>
          <w:lang w:val="es-ES"/>
        </w:rPr>
        <w:br/>
        <w:t>La Junta podrá, por intermedio de los respectivos órganos de con</w:t>
      </w:r>
      <w:r>
        <w:rPr>
          <w:rFonts w:eastAsia="Times New Roman"/>
          <w:sz w:val="30"/>
          <w:szCs w:val="30"/>
          <w:lang w:val="es-ES"/>
        </w:rPr>
        <w:t>trol, requerir información de las entidades del sistema financiero nacional, de valores y de seguros y de toda entidad no financiera que otorgue crédito por sobre los límites que establezca la Junta, siendo obligación de estas entidades proporcionarla dent</w:t>
      </w:r>
      <w:r>
        <w:rPr>
          <w:rFonts w:eastAsia="Times New Roman"/>
          <w:sz w:val="30"/>
          <w:szCs w:val="30"/>
          <w:lang w:val="es-ES"/>
        </w:rPr>
        <w:t>ro de los plazos que se establezcan para el efecto.</w:t>
      </w:r>
      <w:r>
        <w:rPr>
          <w:rFonts w:eastAsia="Times New Roman"/>
          <w:sz w:val="30"/>
          <w:szCs w:val="30"/>
          <w:lang w:val="es-ES"/>
        </w:rPr>
        <w:br/>
      </w:r>
      <w:r>
        <w:rPr>
          <w:rFonts w:eastAsia="Times New Roman"/>
          <w:sz w:val="30"/>
          <w:szCs w:val="30"/>
          <w:lang w:val="es-ES"/>
        </w:rPr>
        <w:br/>
        <w:t>La Junta podrá contar con las asesorías y consultorías que estime necesarias para el eficaz cumplimiento de sus funciones.</w:t>
      </w:r>
    </w:p>
    <w:p w:rsidR="00000000" w:rsidRDefault="0018461E">
      <w:pPr>
        <w:divId w:val="2040280890"/>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 xml:space="preserve">Facultades macroeconómicas. </w:t>
      </w:r>
      <w:r>
        <w:rPr>
          <w:rFonts w:eastAsia="Times New Roman"/>
          <w:sz w:val="30"/>
          <w:szCs w:val="30"/>
          <w:lang w:val="es-ES"/>
        </w:rPr>
        <w:t>La Junta de Política y Regulación Monetari</w:t>
      </w:r>
      <w:r>
        <w:rPr>
          <w:rFonts w:eastAsia="Times New Roman"/>
          <w:sz w:val="30"/>
          <w:szCs w:val="30"/>
          <w:lang w:val="es-ES"/>
        </w:rPr>
        <w:t xml:space="preserve">a y Financiera podrá establecer condiciones y límites a la posición en activos externos que las entidades financieras, </w:t>
      </w:r>
      <w:r>
        <w:rPr>
          <w:rFonts w:eastAsia="Times New Roman"/>
          <w:sz w:val="30"/>
          <w:szCs w:val="30"/>
          <w:lang w:val="es-ES"/>
        </w:rPr>
        <w:lastRenderedPageBreak/>
        <w:t>de valores y seguros, así como las entidades no financieras que otorguen crédito por sobre los límites que establezca la Junta, mantengan</w:t>
      </w:r>
      <w:r>
        <w:rPr>
          <w:rFonts w:eastAsia="Times New Roman"/>
          <w:sz w:val="30"/>
          <w:szCs w:val="30"/>
          <w:lang w:val="es-ES"/>
        </w:rPr>
        <w:t xml:space="preserve"> en el exterior.</w:t>
      </w:r>
      <w:r>
        <w:rPr>
          <w:rFonts w:eastAsia="Times New Roman"/>
          <w:sz w:val="30"/>
          <w:szCs w:val="30"/>
          <w:lang w:val="es-ES"/>
        </w:rPr>
        <w:br/>
      </w:r>
      <w:r>
        <w:rPr>
          <w:rFonts w:eastAsia="Times New Roman"/>
          <w:sz w:val="30"/>
          <w:szCs w:val="30"/>
          <w:lang w:val="es-ES"/>
        </w:rPr>
        <w:br/>
        <w:t>La Junta de Política y Regulación Monetaria y Financiera podrá establecer condiciones y límites al endeudamiento externo que las entidades financieras, de valores y seguros y las entidades no financieras que otorguen crédito por sobre los</w:t>
      </w:r>
      <w:r>
        <w:rPr>
          <w:rFonts w:eastAsia="Times New Roman"/>
          <w:sz w:val="30"/>
          <w:szCs w:val="30"/>
          <w:lang w:val="es-ES"/>
        </w:rPr>
        <w:t xml:space="preserve"> límites que establezca la Junta, del país contraten en el exterior. Además, podrá establecer condiciones y límites a los montos de fianzas, avales, garantías o cualquier otro contingente que otorguen las entidades del sistema financiero nacional a cualqui</w:t>
      </w:r>
      <w:r>
        <w:rPr>
          <w:rFonts w:eastAsia="Times New Roman"/>
          <w:sz w:val="30"/>
          <w:szCs w:val="30"/>
          <w:lang w:val="es-ES"/>
        </w:rPr>
        <w:t>er persona natural o jurídica.</w:t>
      </w:r>
      <w:r>
        <w:rPr>
          <w:rFonts w:eastAsia="Times New Roman"/>
          <w:sz w:val="30"/>
          <w:szCs w:val="30"/>
          <w:lang w:val="es-ES"/>
        </w:rPr>
        <w:br/>
      </w:r>
      <w:r>
        <w:rPr>
          <w:rFonts w:eastAsia="Times New Roman"/>
          <w:sz w:val="30"/>
          <w:szCs w:val="30"/>
          <w:lang w:val="es-ES"/>
        </w:rPr>
        <w:br/>
        <w:t>La Junta de Política y Regulación Monetaria y Financiera podrá disponer que las divisas provenientes de las operaciones que ella determine, ingresen de manera obligatoria al país y establecerá multas hasta por el monto de la</w:t>
      </w:r>
      <w:r>
        <w:rPr>
          <w:rFonts w:eastAsia="Times New Roman"/>
          <w:sz w:val="30"/>
          <w:szCs w:val="30"/>
          <w:lang w:val="es-ES"/>
        </w:rPr>
        <w:t>s divisas no ingresadas, en caso de incumplimiento de tal obligación. Dichas multas serán impuestas por el Banco Central del Ecuador. En caso de no poder cobrar estas obligaciones mediante débitos bancarios, se procederá al cobro a través de la vía coactiv</w:t>
      </w:r>
      <w:r>
        <w:rPr>
          <w:rFonts w:eastAsia="Times New Roman"/>
          <w:sz w:val="30"/>
          <w:szCs w:val="30"/>
          <w:lang w:val="es-ES"/>
        </w:rPr>
        <w:t>a.</w:t>
      </w:r>
    </w:p>
    <w:p w:rsidR="00000000" w:rsidRDefault="0018461E">
      <w:pPr>
        <w:divId w:val="1166898150"/>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 xml:space="preserve">Propuestas a la Junta. </w:t>
      </w:r>
      <w:r>
        <w:rPr>
          <w:rFonts w:eastAsia="Times New Roman"/>
          <w:sz w:val="30"/>
          <w:szCs w:val="30"/>
          <w:lang w:val="es-ES"/>
        </w:rPr>
        <w:t>Los organismos de control, el Banco Central del Ecuador y la Corporación de Seguro de Depósitos, Fondo de Liquidez y Fondo de Seguros Privados, en el ámbito de sus respectivas competencias, podrán preparar y proponer a l</w:t>
      </w:r>
      <w:r>
        <w:rPr>
          <w:rFonts w:eastAsia="Times New Roman"/>
          <w:sz w:val="30"/>
          <w:szCs w:val="30"/>
          <w:lang w:val="es-ES"/>
        </w:rPr>
        <w:t>a Junta o a pedido de ésta, planes, estudios, análisis, informes y propuestas de políticas y regulaciones.</w:t>
      </w:r>
    </w:p>
    <w:p w:rsidR="00000000" w:rsidRDefault="0018461E">
      <w:pPr>
        <w:divId w:val="1648171704"/>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 xml:space="preserve">Información reservada. </w:t>
      </w:r>
      <w:r>
        <w:rPr>
          <w:rFonts w:eastAsia="Times New Roman"/>
          <w:sz w:val="30"/>
          <w:szCs w:val="30"/>
          <w:lang w:val="es-ES"/>
        </w:rPr>
        <w:t>Con el objeto de precautelar la sostenibilidad monetaria, financiera, de seguros y valores, la Junta podrá calificar</w:t>
      </w:r>
      <w:r>
        <w:rPr>
          <w:rFonts w:eastAsia="Times New Roman"/>
          <w:sz w:val="30"/>
          <w:szCs w:val="30"/>
          <w:lang w:val="es-ES"/>
        </w:rPr>
        <w:t xml:space="preserve"> motivadamente como reservada la información relacionada con los ámbitos de su gestión, de conformidad con el procedimiento que establezca para el efecto.</w:t>
      </w:r>
      <w:r>
        <w:rPr>
          <w:rFonts w:eastAsia="Times New Roman"/>
          <w:sz w:val="30"/>
          <w:szCs w:val="30"/>
          <w:lang w:val="es-ES"/>
        </w:rPr>
        <w:br/>
      </w:r>
      <w:r>
        <w:rPr>
          <w:rFonts w:eastAsia="Times New Roman"/>
          <w:sz w:val="30"/>
          <w:szCs w:val="30"/>
          <w:lang w:val="es-ES"/>
        </w:rPr>
        <w:br/>
        <w:t>El Secretario Administrativo de la Junta llevará un listado ordenado de todos los archivos e informa</w:t>
      </w:r>
      <w:r>
        <w:rPr>
          <w:rFonts w:eastAsia="Times New Roman"/>
          <w:sz w:val="30"/>
          <w:szCs w:val="30"/>
          <w:lang w:val="es-ES"/>
        </w:rPr>
        <w:t>ción reservada, en el que constará la fecha de calificación y período de reserva y los motivos que la fundamentan. La persona que difunda información reservada será sancionada de acuerdo con la ley.</w:t>
      </w:r>
    </w:p>
    <w:p w:rsidR="00000000" w:rsidRDefault="0018461E">
      <w:pPr>
        <w:divId w:val="191649388"/>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Consejo Consultivo. </w:t>
      </w:r>
      <w:r>
        <w:rPr>
          <w:rFonts w:eastAsia="Times New Roman"/>
          <w:sz w:val="30"/>
          <w:szCs w:val="30"/>
          <w:lang w:val="es-ES"/>
        </w:rPr>
        <w:t>Es la instancia de carácter</w:t>
      </w:r>
      <w:r>
        <w:rPr>
          <w:rFonts w:eastAsia="Times New Roman"/>
          <w:sz w:val="30"/>
          <w:szCs w:val="30"/>
          <w:lang w:val="es-ES"/>
        </w:rPr>
        <w:t xml:space="preserve"> consultivo para la retroalimentación de la política pública.</w:t>
      </w:r>
      <w:r>
        <w:rPr>
          <w:rFonts w:eastAsia="Times New Roman"/>
          <w:sz w:val="30"/>
          <w:szCs w:val="30"/>
          <w:lang w:val="es-ES"/>
        </w:rPr>
        <w:br/>
      </w:r>
      <w:r>
        <w:rPr>
          <w:rFonts w:eastAsia="Times New Roman"/>
          <w:sz w:val="30"/>
          <w:szCs w:val="30"/>
          <w:lang w:val="es-ES"/>
        </w:rPr>
        <w:lastRenderedPageBreak/>
        <w:br/>
        <w:t>Esta instancia tendrá representación de la sociedad civil; de los sectores productivos; de los sectores popular y solidario y privado del sistema financiero nacional, cuya elección, participaci</w:t>
      </w:r>
      <w:r>
        <w:rPr>
          <w:rFonts w:eastAsia="Times New Roman"/>
          <w:sz w:val="30"/>
          <w:szCs w:val="30"/>
          <w:lang w:val="es-ES"/>
        </w:rPr>
        <w:t>ón y requisitos de las personas y organizaciones serán determinados en la normativa que expida la Junta.</w:t>
      </w:r>
    </w:p>
    <w:p w:rsidR="00000000" w:rsidRDefault="0018461E">
      <w:pPr>
        <w:divId w:val="356664999"/>
        <w:rPr>
          <w:rFonts w:eastAsia="Times New Roman"/>
          <w:sz w:val="30"/>
          <w:szCs w:val="30"/>
          <w:lang w:val="es-ES"/>
        </w:rPr>
      </w:pPr>
      <w:r>
        <w:rPr>
          <w:rFonts w:eastAsia="Times New Roman"/>
          <w:sz w:val="30"/>
          <w:szCs w:val="30"/>
          <w:lang w:val="es-ES"/>
        </w:rPr>
        <w:t xml:space="preserve">Art. 19.- </w:t>
      </w:r>
      <w:r>
        <w:rPr>
          <w:rFonts w:eastAsia="Times New Roman"/>
          <w:b/>
          <w:bCs/>
          <w:sz w:val="30"/>
          <w:szCs w:val="30"/>
          <w:lang w:val="es-ES"/>
        </w:rPr>
        <w:t xml:space="preserve">Funcionamiento. </w:t>
      </w:r>
      <w:r>
        <w:rPr>
          <w:rFonts w:eastAsia="Times New Roman"/>
          <w:sz w:val="30"/>
          <w:szCs w:val="30"/>
          <w:lang w:val="es-ES"/>
        </w:rPr>
        <w:t>La Junta se reunirá de manera ordinaria cada mes y de manera extraordinaria cuando lo convoque su presidente, de oficio o a pedido de al menos dos de sus miembros, para tratar temas específicos.</w:t>
      </w:r>
      <w:r>
        <w:rPr>
          <w:rFonts w:eastAsia="Times New Roman"/>
          <w:sz w:val="30"/>
          <w:szCs w:val="30"/>
          <w:lang w:val="es-ES"/>
        </w:rPr>
        <w:br/>
      </w:r>
      <w:r>
        <w:rPr>
          <w:rFonts w:eastAsia="Times New Roman"/>
          <w:sz w:val="30"/>
          <w:szCs w:val="30"/>
          <w:lang w:val="es-ES"/>
        </w:rPr>
        <w:br/>
        <w:t>El quórum requerido para la instalación de la Junta es de tr</w:t>
      </w:r>
      <w:r>
        <w:rPr>
          <w:rFonts w:eastAsia="Times New Roman"/>
          <w:sz w:val="30"/>
          <w:szCs w:val="30"/>
          <w:lang w:val="es-ES"/>
        </w:rPr>
        <w:t>es miembros con derecho a voto.</w:t>
      </w:r>
      <w:r>
        <w:rPr>
          <w:rFonts w:eastAsia="Times New Roman"/>
          <w:sz w:val="30"/>
          <w:szCs w:val="30"/>
          <w:lang w:val="es-ES"/>
        </w:rPr>
        <w:br/>
      </w:r>
      <w:r>
        <w:rPr>
          <w:rFonts w:eastAsia="Times New Roman"/>
          <w:sz w:val="30"/>
          <w:szCs w:val="30"/>
          <w:lang w:val="es-ES"/>
        </w:rPr>
        <w:br/>
        <w:t>Las decisiones de la Junta se tomarán por mayoría simple, a menos que la ley establezca, para ciertas materias, tratamientos diferentes. En caso de empate, el Presidente de la Junta tendrá voto dirimente.</w:t>
      </w:r>
      <w:r>
        <w:rPr>
          <w:rFonts w:eastAsia="Times New Roman"/>
          <w:sz w:val="30"/>
          <w:szCs w:val="30"/>
          <w:lang w:val="es-ES"/>
        </w:rPr>
        <w:br/>
      </w:r>
      <w:r>
        <w:rPr>
          <w:rFonts w:eastAsia="Times New Roman"/>
          <w:sz w:val="30"/>
          <w:szCs w:val="30"/>
          <w:lang w:val="es-ES"/>
        </w:rPr>
        <w:br/>
        <w:t xml:space="preserve">Los votos de los </w:t>
      </w:r>
      <w:r>
        <w:rPr>
          <w:rFonts w:eastAsia="Times New Roman"/>
          <w:sz w:val="30"/>
          <w:szCs w:val="30"/>
          <w:lang w:val="es-ES"/>
        </w:rPr>
        <w:t>miembros de la Junta se expresarán en forma positiva o negativa y no se permite la abstención. Los votos representarán el punto de vista institucional.</w:t>
      </w:r>
      <w:r>
        <w:rPr>
          <w:rFonts w:eastAsia="Times New Roman"/>
          <w:sz w:val="30"/>
          <w:szCs w:val="30"/>
          <w:lang w:val="es-ES"/>
        </w:rPr>
        <w:br/>
      </w:r>
      <w:r>
        <w:rPr>
          <w:rFonts w:eastAsia="Times New Roman"/>
          <w:sz w:val="30"/>
          <w:szCs w:val="30"/>
          <w:lang w:val="es-ES"/>
        </w:rPr>
        <w:br/>
        <w:t xml:space="preserve">La Junta expedirá las normas que regulen su funcionamiento, sobre la base de las disposiciones de este </w:t>
      </w:r>
      <w:r>
        <w:rPr>
          <w:rFonts w:eastAsia="Times New Roman"/>
          <w:sz w:val="30"/>
          <w:szCs w:val="30"/>
          <w:lang w:val="es-ES"/>
        </w:rPr>
        <w:t>Código.</w:t>
      </w:r>
    </w:p>
    <w:p w:rsidR="00000000" w:rsidRDefault="0018461E">
      <w:pPr>
        <w:divId w:val="244187938"/>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 xml:space="preserve">Fuero. </w:t>
      </w:r>
      <w:r>
        <w:rPr>
          <w:rFonts w:eastAsia="Times New Roman"/>
          <w:sz w:val="30"/>
          <w:szCs w:val="30"/>
          <w:lang w:val="es-ES"/>
        </w:rPr>
        <w:t>Los miembros de la Junta gozarán de Fuero de Corte Nacional de Justicia por los actos y decisiones administrativas tomadas en el ejercicio de sus funciones.</w:t>
      </w:r>
    </w:p>
    <w:p w:rsidR="00000000" w:rsidRDefault="0018461E">
      <w:pPr>
        <w:divId w:val="837813305"/>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 xml:space="preserve">Actos de la Junta. </w:t>
      </w:r>
      <w:r>
        <w:rPr>
          <w:rFonts w:eastAsia="Times New Roman"/>
          <w:sz w:val="30"/>
          <w:szCs w:val="30"/>
          <w:lang w:val="es-ES"/>
        </w:rPr>
        <w:t xml:space="preserve">Los actos de la Junta gozan de la presunción </w:t>
      </w:r>
      <w:r>
        <w:rPr>
          <w:rFonts w:eastAsia="Times New Roman"/>
          <w:sz w:val="30"/>
          <w:szCs w:val="30"/>
          <w:lang w:val="es-ES"/>
        </w:rPr>
        <w:t>de legalidad y se expresarán mediante resoluciones que tendrán fuerza obligatoria y empezarán a regir desde la fecha de su publicación en el Registro Oficial, salvo aquellas respecto de las cuales la propia Junta, en razón de la materia, disponga que rijan</w:t>
      </w:r>
      <w:r>
        <w:rPr>
          <w:rFonts w:eastAsia="Times New Roman"/>
          <w:sz w:val="30"/>
          <w:szCs w:val="30"/>
          <w:lang w:val="es-ES"/>
        </w:rPr>
        <w:t xml:space="preserve"> desde la fecha de su expedición, sin perjuicio de su publicación posterior en el Registro Oficial. En estos casos, esas resoluciones serán publicadas en el sitio web de la Junta de Política y Regulación Monetaria y Financiera, en el plazo máximo de veinti</w:t>
      </w:r>
      <w:r>
        <w:rPr>
          <w:rFonts w:eastAsia="Times New Roman"/>
          <w:sz w:val="30"/>
          <w:szCs w:val="30"/>
          <w:lang w:val="es-ES"/>
        </w:rPr>
        <w:t>cuatro horas desde su expedición, excepto aquellas calificadas como reservadas.</w:t>
      </w:r>
      <w:r>
        <w:rPr>
          <w:rFonts w:eastAsia="Times New Roman"/>
          <w:sz w:val="30"/>
          <w:szCs w:val="30"/>
          <w:lang w:val="es-ES"/>
        </w:rPr>
        <w:br/>
      </w:r>
      <w:r>
        <w:rPr>
          <w:rFonts w:eastAsia="Times New Roman"/>
          <w:sz w:val="30"/>
          <w:szCs w:val="30"/>
          <w:lang w:val="es-ES"/>
        </w:rPr>
        <w:br/>
        <w:t xml:space="preserve">La Junta, para la formación y expresión de su voluntad política y administrativa, no requiere del concurso de un ente distinto ni de la </w:t>
      </w:r>
      <w:r>
        <w:rPr>
          <w:rFonts w:eastAsia="Times New Roman"/>
          <w:sz w:val="30"/>
          <w:szCs w:val="30"/>
          <w:lang w:val="es-ES"/>
        </w:rPr>
        <w:lastRenderedPageBreak/>
        <w:t>aprobación de sus actos por parte de ot</w:t>
      </w:r>
      <w:r>
        <w:rPr>
          <w:rFonts w:eastAsia="Times New Roman"/>
          <w:sz w:val="30"/>
          <w:szCs w:val="30"/>
          <w:lang w:val="es-ES"/>
        </w:rPr>
        <w:t>ros órganos o instituciones del Estado.</w:t>
      </w:r>
    </w:p>
    <w:p w:rsidR="00000000" w:rsidRDefault="0018461E">
      <w:pPr>
        <w:divId w:val="99184270"/>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 xml:space="preserve">Reclamos y recursos. </w:t>
      </w:r>
      <w:r>
        <w:rPr>
          <w:rFonts w:eastAsia="Times New Roman"/>
          <w:sz w:val="30"/>
          <w:szCs w:val="30"/>
          <w:lang w:val="es-ES"/>
        </w:rPr>
        <w:t xml:space="preserve">Los actos administrativos o normativos de la Junta podrán ser objeto de impugnación, modificación, revocatoria o derogatoria, de conformidad con las normas y procedimiento determinados </w:t>
      </w:r>
      <w:r>
        <w:rPr>
          <w:rFonts w:eastAsia="Times New Roman"/>
          <w:sz w:val="30"/>
          <w:szCs w:val="30"/>
          <w:lang w:val="es-ES"/>
        </w:rPr>
        <w:t>en el Estatuto del Régimen Jurídico Administrativo de la Función Ejecutiva, de acuerdo a la naturaleza del acto.</w:t>
      </w:r>
    </w:p>
    <w:p w:rsidR="00000000" w:rsidRDefault="0018461E">
      <w:pPr>
        <w:divId w:val="1693993766"/>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 xml:space="preserve">Presidente de la Junta. </w:t>
      </w:r>
      <w:r>
        <w:rPr>
          <w:rFonts w:eastAsia="Times New Roman"/>
          <w:sz w:val="30"/>
          <w:szCs w:val="30"/>
          <w:lang w:val="es-ES"/>
        </w:rPr>
        <w:t>Actuará como Presidente de la Junta de Política y Regulación Monetaria y Financiera el titular del ministerio</w:t>
      </w:r>
      <w:r>
        <w:rPr>
          <w:rFonts w:eastAsia="Times New Roman"/>
          <w:sz w:val="30"/>
          <w:szCs w:val="30"/>
          <w:lang w:val="es-ES"/>
        </w:rPr>
        <w:t xml:space="preserve"> de Estado a cargo de la política económica, ente estratégico responsable de los procesos necesarios para la organización y gestión de la política económica y la programación macroeconómica y su consistencia.</w:t>
      </w:r>
      <w:r>
        <w:rPr>
          <w:rFonts w:eastAsia="Times New Roman"/>
          <w:sz w:val="30"/>
          <w:szCs w:val="30"/>
          <w:lang w:val="es-ES"/>
        </w:rPr>
        <w:br/>
      </w:r>
      <w:r>
        <w:rPr>
          <w:rFonts w:eastAsia="Times New Roman"/>
          <w:sz w:val="30"/>
          <w:szCs w:val="30"/>
          <w:lang w:val="es-ES"/>
        </w:rPr>
        <w:br/>
        <w:t>En caso de ausencia del Presidente de la Junta</w:t>
      </w:r>
      <w:r>
        <w:rPr>
          <w:rFonts w:eastAsia="Times New Roman"/>
          <w:sz w:val="30"/>
          <w:szCs w:val="30"/>
          <w:lang w:val="es-ES"/>
        </w:rPr>
        <w:t>, asumirá la presidencia el delegado del Presidente de la República.</w:t>
      </w:r>
    </w:p>
    <w:p w:rsidR="00000000" w:rsidRDefault="0018461E">
      <w:pPr>
        <w:divId w:val="293020371"/>
        <w:rPr>
          <w:rFonts w:eastAsia="Times New Roman"/>
          <w:sz w:val="30"/>
          <w:szCs w:val="30"/>
          <w:lang w:val="es-ES"/>
        </w:rPr>
      </w:pPr>
      <w:r>
        <w:rPr>
          <w:rFonts w:eastAsia="Times New Roman"/>
          <w:sz w:val="30"/>
          <w:szCs w:val="30"/>
          <w:lang w:val="es-ES"/>
        </w:rPr>
        <w:t xml:space="preserve">Art. 24.- </w:t>
      </w:r>
      <w:r>
        <w:rPr>
          <w:rFonts w:eastAsia="Times New Roman"/>
          <w:b/>
          <w:bCs/>
          <w:sz w:val="30"/>
          <w:szCs w:val="30"/>
          <w:lang w:val="es-ES"/>
        </w:rPr>
        <w:t xml:space="preserve">Funciones del Presidente de la Junta. </w:t>
      </w:r>
      <w:r>
        <w:rPr>
          <w:rFonts w:eastAsia="Times New Roman"/>
          <w:sz w:val="30"/>
          <w:szCs w:val="30"/>
          <w:lang w:val="es-ES"/>
        </w:rPr>
        <w:t>El Presidente de la Junta tendrá las siguientes funciones:</w:t>
      </w:r>
      <w:r>
        <w:rPr>
          <w:rFonts w:eastAsia="Times New Roman"/>
          <w:sz w:val="30"/>
          <w:szCs w:val="30"/>
          <w:lang w:val="es-ES"/>
        </w:rPr>
        <w:br/>
      </w:r>
      <w:r>
        <w:rPr>
          <w:rFonts w:eastAsia="Times New Roman"/>
          <w:sz w:val="30"/>
          <w:szCs w:val="30"/>
          <w:lang w:val="es-ES"/>
        </w:rPr>
        <w:br/>
        <w:t>1. Ejercer la representación de la Junta;</w:t>
      </w:r>
      <w:r>
        <w:rPr>
          <w:rFonts w:eastAsia="Times New Roman"/>
          <w:sz w:val="30"/>
          <w:szCs w:val="30"/>
          <w:lang w:val="es-ES"/>
        </w:rPr>
        <w:br/>
      </w:r>
      <w:r>
        <w:rPr>
          <w:rFonts w:eastAsia="Times New Roman"/>
          <w:sz w:val="30"/>
          <w:szCs w:val="30"/>
          <w:lang w:val="es-ES"/>
        </w:rPr>
        <w:br/>
      </w:r>
      <w:r>
        <w:rPr>
          <w:rFonts w:eastAsia="Times New Roman"/>
          <w:sz w:val="30"/>
          <w:szCs w:val="30"/>
          <w:lang w:val="es-ES"/>
        </w:rPr>
        <w:t>2. Ejecutar y dar cumplimiento a las decisiones de la Junta;</w:t>
      </w:r>
      <w:r>
        <w:rPr>
          <w:rFonts w:eastAsia="Times New Roman"/>
          <w:sz w:val="30"/>
          <w:szCs w:val="30"/>
          <w:lang w:val="es-ES"/>
        </w:rPr>
        <w:br/>
      </w:r>
      <w:r>
        <w:rPr>
          <w:rFonts w:eastAsia="Times New Roman"/>
          <w:sz w:val="30"/>
          <w:szCs w:val="30"/>
          <w:lang w:val="es-ES"/>
        </w:rPr>
        <w:br/>
        <w:t>3. Convocar, presidir y dirigir las sesiones de la Junta;</w:t>
      </w:r>
      <w:r>
        <w:rPr>
          <w:rFonts w:eastAsia="Times New Roman"/>
          <w:sz w:val="30"/>
          <w:szCs w:val="30"/>
          <w:lang w:val="es-ES"/>
        </w:rPr>
        <w:br/>
      </w:r>
      <w:r>
        <w:rPr>
          <w:rFonts w:eastAsia="Times New Roman"/>
          <w:sz w:val="30"/>
          <w:szCs w:val="30"/>
          <w:lang w:val="es-ES"/>
        </w:rPr>
        <w:br/>
        <w:t>4. Informar a la Junta sobre la ejecución y aplicación de las políticas y regulaciones; y,</w:t>
      </w:r>
      <w:r>
        <w:rPr>
          <w:rFonts w:eastAsia="Times New Roman"/>
          <w:sz w:val="30"/>
          <w:szCs w:val="30"/>
          <w:lang w:val="es-ES"/>
        </w:rPr>
        <w:br/>
      </w:r>
      <w:r>
        <w:rPr>
          <w:rFonts w:eastAsia="Times New Roman"/>
          <w:sz w:val="30"/>
          <w:szCs w:val="30"/>
          <w:lang w:val="es-ES"/>
        </w:rPr>
        <w:br/>
        <w:t>5. Las demás que le encomiende la Junta.</w:t>
      </w:r>
    </w:p>
    <w:p w:rsidR="00000000" w:rsidRDefault="0018461E">
      <w:pPr>
        <w:divId w:val="143401340"/>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25.- </w:t>
      </w:r>
      <w:r>
        <w:rPr>
          <w:rFonts w:eastAsia="Times New Roman"/>
          <w:b/>
          <w:bCs/>
          <w:sz w:val="30"/>
          <w:szCs w:val="30"/>
          <w:lang w:val="es-ES"/>
        </w:rPr>
        <w:t xml:space="preserve">Secretario Administrativo de la Junta. </w:t>
      </w:r>
      <w:r>
        <w:rPr>
          <w:rFonts w:eastAsia="Times New Roman"/>
          <w:sz w:val="30"/>
          <w:szCs w:val="30"/>
          <w:lang w:val="es-ES"/>
        </w:rPr>
        <w:t>El Secretario Administrativo será designado por la Junta y tendrá como funciones las siguientes:</w:t>
      </w:r>
      <w:r>
        <w:rPr>
          <w:rFonts w:eastAsia="Times New Roman"/>
          <w:sz w:val="30"/>
          <w:szCs w:val="30"/>
          <w:lang w:val="es-ES"/>
        </w:rPr>
        <w:br/>
      </w:r>
      <w:r>
        <w:rPr>
          <w:rFonts w:eastAsia="Times New Roman"/>
          <w:sz w:val="30"/>
          <w:szCs w:val="30"/>
          <w:lang w:val="es-ES"/>
        </w:rPr>
        <w:br/>
        <w:t>1. Realizar las convocatorias a las sesiones de la Junta;</w:t>
      </w:r>
      <w:r>
        <w:rPr>
          <w:rFonts w:eastAsia="Times New Roman"/>
          <w:sz w:val="30"/>
          <w:szCs w:val="30"/>
          <w:lang w:val="es-ES"/>
        </w:rPr>
        <w:br/>
      </w:r>
      <w:r>
        <w:rPr>
          <w:rFonts w:eastAsia="Times New Roman"/>
          <w:sz w:val="30"/>
          <w:szCs w:val="30"/>
          <w:lang w:val="es-ES"/>
        </w:rPr>
        <w:br/>
        <w:t>2. Llevar las actas de las sesiones;</w:t>
      </w:r>
      <w:r>
        <w:rPr>
          <w:rFonts w:eastAsia="Times New Roman"/>
          <w:sz w:val="30"/>
          <w:szCs w:val="30"/>
          <w:lang w:val="es-ES"/>
        </w:rPr>
        <w:br/>
      </w:r>
      <w:r>
        <w:rPr>
          <w:rFonts w:eastAsia="Times New Roman"/>
          <w:sz w:val="30"/>
          <w:szCs w:val="30"/>
          <w:lang w:val="es-ES"/>
        </w:rPr>
        <w:br/>
        <w:t>3. Dar fe de l</w:t>
      </w:r>
      <w:r>
        <w:rPr>
          <w:rFonts w:eastAsia="Times New Roman"/>
          <w:sz w:val="30"/>
          <w:szCs w:val="30"/>
          <w:lang w:val="es-ES"/>
        </w:rPr>
        <w:t>as resoluciones de la Junta;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Mantener los archivos de la Junta; y,</w:t>
      </w:r>
      <w:r>
        <w:rPr>
          <w:rFonts w:eastAsia="Times New Roman"/>
          <w:sz w:val="30"/>
          <w:szCs w:val="30"/>
          <w:lang w:val="es-ES"/>
        </w:rPr>
        <w:br/>
      </w:r>
      <w:r>
        <w:rPr>
          <w:rFonts w:eastAsia="Times New Roman"/>
          <w:sz w:val="30"/>
          <w:szCs w:val="30"/>
          <w:lang w:val="es-ES"/>
        </w:rPr>
        <w:br/>
        <w:t>5. Las demás que le asigne la Junta y este Código.</w:t>
      </w:r>
      <w:r>
        <w:rPr>
          <w:rFonts w:eastAsia="Times New Roman"/>
          <w:sz w:val="30"/>
          <w:szCs w:val="30"/>
          <w:lang w:val="es-ES"/>
        </w:rPr>
        <w:br/>
      </w:r>
      <w:r>
        <w:rPr>
          <w:rFonts w:eastAsia="Times New Roman"/>
          <w:sz w:val="30"/>
          <w:szCs w:val="30"/>
          <w:lang w:val="es-ES"/>
        </w:rPr>
        <w:br/>
        <w:t xml:space="preserve">Para ser Secretario de la Junta se requerirá tener título profesional de al menos tercer nivel en las materias relacionadas con las </w:t>
      </w:r>
      <w:r>
        <w:rPr>
          <w:rFonts w:eastAsia="Times New Roman"/>
          <w:sz w:val="30"/>
          <w:szCs w:val="30"/>
          <w:lang w:val="es-ES"/>
        </w:rPr>
        <w:t>funciones de la Junta.</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DEL BANCO CENTRAL DEL ECUADOR</w:t>
      </w:r>
    </w:p>
    <w:p w:rsidR="00000000" w:rsidRDefault="0018461E">
      <w:pPr>
        <w:divId w:val="808086725"/>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 xml:space="preserve">Naturaleza. </w:t>
      </w:r>
      <w:r>
        <w:rPr>
          <w:rFonts w:eastAsia="Times New Roman"/>
          <w:sz w:val="30"/>
          <w:szCs w:val="30"/>
          <w:lang w:val="es-ES"/>
        </w:rPr>
        <w:t>El Banco Central del Ecuador es una persona jurídica de derecho público, parte de la Función Ejecutiva, de duración indefinida, con autonomía administrativa y presupuest</w:t>
      </w:r>
      <w:r>
        <w:rPr>
          <w:rFonts w:eastAsia="Times New Roman"/>
          <w:sz w:val="30"/>
          <w:szCs w:val="30"/>
          <w:lang w:val="es-ES"/>
        </w:rPr>
        <w:t>aria, cuya organización y funciones están determinadas en la Constitución de la República, este Código, su estatuto, las regulaciones expedidas por la Junta de Política y Regulación Monetaria y Financiera y los reglamentos internos.</w:t>
      </w:r>
    </w:p>
    <w:p w:rsidR="00000000" w:rsidRDefault="0018461E">
      <w:pPr>
        <w:divId w:val="1599486848"/>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 xml:space="preserve">Finalidad. </w:t>
      </w:r>
      <w:r>
        <w:rPr>
          <w:rFonts w:eastAsia="Times New Roman"/>
          <w:sz w:val="30"/>
          <w:szCs w:val="30"/>
          <w:lang w:val="es-ES"/>
        </w:rPr>
        <w:t>El</w:t>
      </w:r>
      <w:r>
        <w:rPr>
          <w:rFonts w:eastAsia="Times New Roman"/>
          <w:sz w:val="30"/>
          <w:szCs w:val="30"/>
          <w:lang w:val="es-ES"/>
        </w:rPr>
        <w:t xml:space="preserve"> Banco Central del Ecuador tiene por finalidad la instrumentación de las políticas monetaria, crediticia, cambiaria y financiera del Estado, mediante el uso de los instrumentos determinados en este Código y la ley.</w:t>
      </w:r>
    </w:p>
    <w:p w:rsidR="00000000" w:rsidRDefault="0018461E">
      <w:pPr>
        <w:divId w:val="837383042"/>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 xml:space="preserve">Patrimonio. </w:t>
      </w:r>
      <w:r>
        <w:rPr>
          <w:rFonts w:eastAsia="Times New Roman"/>
          <w:sz w:val="30"/>
          <w:szCs w:val="30"/>
          <w:lang w:val="es-ES"/>
        </w:rPr>
        <w:t>El Banco Central de</w:t>
      </w:r>
      <w:r>
        <w:rPr>
          <w:rFonts w:eastAsia="Times New Roman"/>
          <w:sz w:val="30"/>
          <w:szCs w:val="30"/>
          <w:lang w:val="es-ES"/>
        </w:rPr>
        <w:t>l Ecuador tendrá patrimonio propio, que estará constituido por el capital, el fondo de reserva general, las reservas especiales, la reserva por revalorización del patrimonio, la reserva operativa, el superávit por valuaciones y los resultados de la gestión</w:t>
      </w:r>
      <w:r>
        <w:rPr>
          <w:rFonts w:eastAsia="Times New Roman"/>
          <w:sz w:val="30"/>
          <w:szCs w:val="30"/>
          <w:lang w:val="es-ES"/>
        </w:rPr>
        <w:t xml:space="preserve"> del banco.</w:t>
      </w:r>
      <w:r>
        <w:rPr>
          <w:rFonts w:eastAsia="Times New Roman"/>
          <w:sz w:val="30"/>
          <w:szCs w:val="30"/>
          <w:lang w:val="es-ES"/>
        </w:rPr>
        <w:br/>
      </w:r>
      <w:r>
        <w:rPr>
          <w:rFonts w:eastAsia="Times New Roman"/>
          <w:sz w:val="30"/>
          <w:szCs w:val="30"/>
          <w:lang w:val="es-ES"/>
        </w:rPr>
        <w:br/>
        <w:t>La Junta de Política y Regulación Monetaria y Financiera podrá establecer, en coordinación con el ente rector de las finanzas públicas, la inclusión de otras partidas patrimoniales.</w:t>
      </w:r>
    </w:p>
    <w:p w:rsidR="00000000" w:rsidRDefault="0018461E">
      <w:pPr>
        <w:divId w:val="1535073204"/>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 xml:space="preserve">Capital. </w:t>
      </w:r>
      <w:r>
        <w:rPr>
          <w:rFonts w:eastAsia="Times New Roman"/>
          <w:sz w:val="30"/>
          <w:szCs w:val="30"/>
          <w:lang w:val="es-ES"/>
        </w:rPr>
        <w:t>El capital del Banco Central del Ecuador e</w:t>
      </w:r>
      <w:r>
        <w:rPr>
          <w:rFonts w:eastAsia="Times New Roman"/>
          <w:sz w:val="30"/>
          <w:szCs w:val="30"/>
          <w:lang w:val="es-ES"/>
        </w:rPr>
        <w:t>s propiedad exclusiva, intransferible e inembargable de la República del Ecuador y está constituido por los aportes en dinero o especie que efectúe el ente rector de las finanzas públicas.</w:t>
      </w:r>
    </w:p>
    <w:p w:rsidR="00000000" w:rsidRDefault="0018461E">
      <w:pPr>
        <w:divId w:val="706491155"/>
        <w:rPr>
          <w:rFonts w:eastAsia="Times New Roman"/>
          <w:sz w:val="30"/>
          <w:szCs w:val="30"/>
          <w:lang w:val="es-ES"/>
        </w:rPr>
      </w:pPr>
      <w:r>
        <w:rPr>
          <w:rFonts w:eastAsia="Times New Roman"/>
          <w:sz w:val="30"/>
          <w:szCs w:val="30"/>
          <w:lang w:val="es-ES"/>
        </w:rPr>
        <w:t xml:space="preserve">Art. 30.- </w:t>
      </w:r>
      <w:r>
        <w:rPr>
          <w:rFonts w:eastAsia="Times New Roman"/>
          <w:b/>
          <w:bCs/>
          <w:sz w:val="30"/>
          <w:szCs w:val="30"/>
          <w:lang w:val="es-ES"/>
        </w:rPr>
        <w:t xml:space="preserve">Utilidades. </w:t>
      </w:r>
      <w:r>
        <w:rPr>
          <w:rFonts w:eastAsia="Times New Roman"/>
          <w:sz w:val="30"/>
          <w:szCs w:val="30"/>
          <w:lang w:val="es-ES"/>
        </w:rPr>
        <w:t>La utilidad o pérdida del Banco Central del E</w:t>
      </w:r>
      <w:r>
        <w:rPr>
          <w:rFonts w:eastAsia="Times New Roman"/>
          <w:sz w:val="30"/>
          <w:szCs w:val="30"/>
          <w:lang w:val="es-ES"/>
        </w:rPr>
        <w:t>cuador es el resultado neto obtenido en la gestión de la institución durante un ejercicio económico, el cual corresponderá a la duración de un año calendario.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Al cierre de cada ejercicio se acreditarán al fondo de reserva general las utilidades netas, has</w:t>
      </w:r>
      <w:r>
        <w:rPr>
          <w:rFonts w:eastAsia="Times New Roman"/>
          <w:sz w:val="30"/>
          <w:szCs w:val="30"/>
          <w:lang w:val="es-ES"/>
        </w:rPr>
        <w:t>ta que el monto de dicha cuenta sea igual al 500% del capital pagado del Banco Central del Ecuador. Cuando este porcentaje se cumpla, se podrá transferir hasta el 100% de las utilidades al Presupuesto General del Estado.</w:t>
      </w:r>
      <w:r>
        <w:rPr>
          <w:rFonts w:eastAsia="Times New Roman"/>
          <w:sz w:val="30"/>
          <w:szCs w:val="30"/>
          <w:lang w:val="es-ES"/>
        </w:rPr>
        <w:br/>
      </w:r>
      <w:r>
        <w:rPr>
          <w:rFonts w:eastAsia="Times New Roman"/>
          <w:sz w:val="30"/>
          <w:szCs w:val="30"/>
          <w:lang w:val="es-ES"/>
        </w:rPr>
        <w:br/>
        <w:t xml:space="preserve">En caso de no haberse transferido </w:t>
      </w:r>
      <w:r>
        <w:rPr>
          <w:rFonts w:eastAsia="Times New Roman"/>
          <w:sz w:val="30"/>
          <w:szCs w:val="30"/>
          <w:lang w:val="es-ES"/>
        </w:rPr>
        <w:t>el 100%, el saldo, se podrá transferir al fondo de reserva general, previa aprobación de la Junta de Política y Regulación Monetaria y Financiera.</w:t>
      </w:r>
      <w:r>
        <w:rPr>
          <w:rFonts w:eastAsia="Times New Roman"/>
          <w:sz w:val="30"/>
          <w:szCs w:val="30"/>
          <w:lang w:val="es-ES"/>
        </w:rPr>
        <w:br/>
      </w:r>
      <w:r>
        <w:rPr>
          <w:rFonts w:eastAsia="Times New Roman"/>
          <w:sz w:val="30"/>
          <w:szCs w:val="30"/>
          <w:lang w:val="es-ES"/>
        </w:rPr>
        <w:br/>
        <w:t xml:space="preserve">De producirse pérdidas al cierre de un ejercicio, éstas serán compensadas con el fondo de reserva general o </w:t>
      </w:r>
      <w:r>
        <w:rPr>
          <w:rFonts w:eastAsia="Times New Roman"/>
          <w:sz w:val="30"/>
          <w:szCs w:val="30"/>
          <w:lang w:val="es-ES"/>
        </w:rPr>
        <w:t>de ser éste insuficiente, se cargarán al capital.</w:t>
      </w:r>
      <w:r>
        <w:rPr>
          <w:rFonts w:eastAsia="Times New Roman"/>
          <w:sz w:val="30"/>
          <w:szCs w:val="30"/>
          <w:lang w:val="es-ES"/>
        </w:rPr>
        <w:br/>
      </w:r>
      <w:r>
        <w:rPr>
          <w:rFonts w:eastAsia="Times New Roman"/>
          <w:sz w:val="30"/>
          <w:szCs w:val="30"/>
          <w:lang w:val="es-ES"/>
        </w:rPr>
        <w:br/>
        <w:t>La Junta de Política y Regulación Monetaria y Financiera dispondrá la capitalización del Banco Central del Ecuador cuando sea necesaria. Para tal efecto, se requerirá informe favorable del ente rector de l</w:t>
      </w:r>
      <w:r>
        <w:rPr>
          <w:rFonts w:eastAsia="Times New Roman"/>
          <w:sz w:val="30"/>
          <w:szCs w:val="30"/>
          <w:lang w:val="es-ES"/>
        </w:rPr>
        <w:t>as finanzas públicas.</w:t>
      </w:r>
    </w:p>
    <w:p w:rsidR="00000000" w:rsidRDefault="0018461E">
      <w:pPr>
        <w:divId w:val="1966806877"/>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 xml:space="preserve">Estados financieros. </w:t>
      </w:r>
      <w:r>
        <w:rPr>
          <w:rFonts w:eastAsia="Times New Roman"/>
          <w:sz w:val="30"/>
          <w:szCs w:val="30"/>
          <w:lang w:val="es-ES"/>
        </w:rPr>
        <w:t>Al término de cada ejercicio el Banco Central del Ecuador elaborará el balance de situación y el estado de pérdidas y ganancias de la institución. La elaboración de los mencionados estados financieros se</w:t>
      </w:r>
      <w:r>
        <w:rPr>
          <w:rFonts w:eastAsia="Times New Roman"/>
          <w:sz w:val="30"/>
          <w:szCs w:val="30"/>
          <w:lang w:val="es-ES"/>
        </w:rPr>
        <w:t xml:space="preserve"> efectuará de acuerdo a principios de general aceptación en la materia, de acuerdo con las regulaciones que para el efecto emita la Junta de Política y Regulación Monetaria y Financiera.</w:t>
      </w:r>
    </w:p>
    <w:p w:rsidR="00000000" w:rsidRDefault="0018461E">
      <w:pPr>
        <w:divId w:val="1358893806"/>
        <w:rPr>
          <w:rFonts w:eastAsia="Times New Roman"/>
          <w:sz w:val="30"/>
          <w:szCs w:val="30"/>
          <w:lang w:val="es-ES"/>
        </w:rPr>
      </w:pPr>
      <w:r>
        <w:rPr>
          <w:rFonts w:eastAsia="Times New Roman"/>
          <w:sz w:val="30"/>
          <w:szCs w:val="30"/>
          <w:lang w:val="es-ES"/>
        </w:rPr>
        <w:t xml:space="preserve">Art. 32.- </w:t>
      </w:r>
      <w:r>
        <w:rPr>
          <w:rFonts w:eastAsia="Times New Roman"/>
          <w:b/>
          <w:bCs/>
          <w:sz w:val="30"/>
          <w:szCs w:val="30"/>
          <w:lang w:val="es-ES"/>
        </w:rPr>
        <w:t xml:space="preserve">Informe trimestral. </w:t>
      </w:r>
      <w:r>
        <w:rPr>
          <w:rFonts w:eastAsia="Times New Roman"/>
          <w:sz w:val="30"/>
          <w:szCs w:val="30"/>
          <w:lang w:val="es-ES"/>
        </w:rPr>
        <w:t>El Banco Central del Ecuador presentará</w:t>
      </w:r>
      <w:r>
        <w:rPr>
          <w:rFonts w:eastAsia="Times New Roman"/>
          <w:sz w:val="30"/>
          <w:szCs w:val="30"/>
          <w:lang w:val="es-ES"/>
        </w:rPr>
        <w:t xml:space="preserve"> a la Junta de Política y Regulación Monetaria y Financiera un informe trimestral sobre su situación financiera, reservas y posición de activos externos, acompañado de los respectivos estados financieros, documentos que deberán entregarse en el transcurso </w:t>
      </w:r>
      <w:r>
        <w:rPr>
          <w:rFonts w:eastAsia="Times New Roman"/>
          <w:sz w:val="30"/>
          <w:szCs w:val="30"/>
          <w:lang w:val="es-ES"/>
        </w:rPr>
        <w:t>del mes siguiente, suscritos por el Gerente General y el Contador General del banco.</w:t>
      </w:r>
    </w:p>
    <w:p w:rsidR="00000000" w:rsidRDefault="0018461E">
      <w:pPr>
        <w:divId w:val="1387021910"/>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 xml:space="preserve">Balance del Banco Central. </w:t>
      </w:r>
      <w:r>
        <w:rPr>
          <w:rFonts w:eastAsia="Times New Roman"/>
          <w:sz w:val="30"/>
          <w:szCs w:val="30"/>
          <w:lang w:val="es-ES"/>
        </w:rPr>
        <w:t>La Junta de Política y Regulación Monetaria y Financiera deberá establecer políticas orientadas a velar por la calidad y liquidez de l</w:t>
      </w:r>
      <w:r>
        <w:rPr>
          <w:rFonts w:eastAsia="Times New Roman"/>
          <w:sz w:val="30"/>
          <w:szCs w:val="30"/>
          <w:lang w:val="es-ES"/>
        </w:rPr>
        <w:t>os activos del balance del Banco Central del Ecuador, para respaldar apropiadamente sus pasivos, y emitirá la normativa necesaria para el catálogo de cuentas, los registros contables y la elaboración de los estados financieros del Banco Central del Ecuador</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operaciones con derivados financieros que efectúe el Banco Central del Ecuador deberán atenerse a las normas sobre aspectos contables, financieros y operativos que emita la Junta de Política y Regulación Monetaria y Financiera.</w:t>
      </w:r>
    </w:p>
    <w:p w:rsidR="00000000" w:rsidRDefault="0018461E">
      <w:pPr>
        <w:divId w:val="2027100529"/>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Presupuesto</w:t>
      </w:r>
      <w:r>
        <w:rPr>
          <w:rFonts w:eastAsia="Times New Roman"/>
          <w:b/>
          <w:bCs/>
          <w:sz w:val="30"/>
          <w:szCs w:val="30"/>
          <w:lang w:val="es-ES"/>
        </w:rPr>
        <w:t xml:space="preserve">. </w:t>
      </w:r>
      <w:r>
        <w:rPr>
          <w:rFonts w:eastAsia="Times New Roman"/>
          <w:sz w:val="30"/>
          <w:szCs w:val="30"/>
          <w:lang w:val="es-ES"/>
        </w:rPr>
        <w:t>El presupuesto del Banco Central del Ecuador se financiará con los ingresos obtenidos por su propia gestión y se elaborará en base a los lineamientos que emita la Junta de Política y Regulación Monetaria y Financiera y demás leyes relacionadas con la mat</w:t>
      </w:r>
      <w:r>
        <w:rPr>
          <w:rFonts w:eastAsia="Times New Roman"/>
          <w:sz w:val="30"/>
          <w:szCs w:val="30"/>
          <w:lang w:val="es-ES"/>
        </w:rPr>
        <w:t>eria.</w:t>
      </w:r>
      <w:r>
        <w:rPr>
          <w:rFonts w:eastAsia="Times New Roman"/>
          <w:sz w:val="30"/>
          <w:szCs w:val="30"/>
          <w:lang w:val="es-ES"/>
        </w:rPr>
        <w:br/>
      </w:r>
      <w:r>
        <w:rPr>
          <w:rFonts w:eastAsia="Times New Roman"/>
          <w:sz w:val="30"/>
          <w:szCs w:val="30"/>
          <w:lang w:val="es-ES"/>
        </w:rPr>
        <w:br/>
        <w:t>El presupuesto del Banco Central del Ecuador será aprobado por la Junta de Política y Regulación Monetaria y Financiera.</w:t>
      </w:r>
      <w:r>
        <w:rPr>
          <w:rFonts w:eastAsia="Times New Roman"/>
          <w:sz w:val="30"/>
          <w:szCs w:val="30"/>
          <w:lang w:val="es-ES"/>
        </w:rPr>
        <w:br/>
      </w:r>
      <w:r>
        <w:rPr>
          <w:rFonts w:eastAsia="Times New Roman"/>
          <w:sz w:val="30"/>
          <w:szCs w:val="30"/>
          <w:lang w:val="es-ES"/>
        </w:rPr>
        <w:br/>
        <w:t>En el caso que los ingresos de la gestión del Banco Central del Ecuador no sean suficientes para la operación, el ministerio re</w:t>
      </w:r>
      <w:r>
        <w:rPr>
          <w:rFonts w:eastAsia="Times New Roman"/>
          <w:sz w:val="30"/>
          <w:szCs w:val="30"/>
          <w:lang w:val="es-ES"/>
        </w:rPr>
        <w:t>ctor de las finanzas públicas asignará las partidas presupuestarias correspondientes, de conformidad con los procedimientos dispuestos en el Código Orgánico de Planificación y Finanzas Públicas.</w:t>
      </w:r>
    </w:p>
    <w:p w:rsidR="00000000" w:rsidRDefault="0018461E">
      <w:pPr>
        <w:divId w:val="130752639"/>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Créditos privilegiados. </w:t>
      </w:r>
      <w:r>
        <w:rPr>
          <w:rFonts w:eastAsia="Times New Roman"/>
          <w:sz w:val="30"/>
          <w:szCs w:val="30"/>
          <w:lang w:val="es-ES"/>
        </w:rPr>
        <w:t>Los créditos y obligaciones</w:t>
      </w:r>
      <w:r>
        <w:rPr>
          <w:rFonts w:eastAsia="Times New Roman"/>
          <w:sz w:val="30"/>
          <w:szCs w:val="30"/>
          <w:lang w:val="es-ES"/>
        </w:rPr>
        <w:t xml:space="preserve"> adeudados al Banco Central del Ecuador gozarán de preferencia, en los términos de este Código.</w:t>
      </w:r>
    </w:p>
    <w:p w:rsidR="00000000" w:rsidRDefault="0018461E">
      <w:pPr>
        <w:divId w:val="783306078"/>
        <w:rPr>
          <w:rFonts w:eastAsia="Times New Roman"/>
          <w:sz w:val="30"/>
          <w:szCs w:val="30"/>
          <w:lang w:val="es-ES"/>
        </w:rPr>
      </w:pPr>
      <w:r>
        <w:rPr>
          <w:rFonts w:eastAsia="Times New Roman"/>
          <w:sz w:val="30"/>
          <w:szCs w:val="30"/>
          <w:lang w:val="es-ES"/>
        </w:rPr>
        <w:t xml:space="preserve">Art. 36.- </w:t>
      </w:r>
      <w:r>
        <w:rPr>
          <w:rFonts w:eastAsia="Times New Roman"/>
          <w:b/>
          <w:bCs/>
          <w:sz w:val="30"/>
          <w:szCs w:val="30"/>
          <w:lang w:val="es-ES"/>
        </w:rPr>
        <w:t xml:space="preserve">Funciones. </w:t>
      </w:r>
      <w:r>
        <w:rPr>
          <w:rFonts w:eastAsia="Times New Roman"/>
          <w:sz w:val="30"/>
          <w:szCs w:val="30"/>
          <w:lang w:val="es-ES"/>
        </w:rPr>
        <w:t>El Banco Central del Ecuador tiene las siguientes funciones:</w:t>
      </w:r>
      <w:r>
        <w:rPr>
          <w:rFonts w:eastAsia="Times New Roman"/>
          <w:sz w:val="30"/>
          <w:szCs w:val="30"/>
          <w:lang w:val="es-ES"/>
        </w:rPr>
        <w:br/>
      </w:r>
      <w:r>
        <w:rPr>
          <w:rFonts w:eastAsia="Times New Roman"/>
          <w:sz w:val="30"/>
          <w:szCs w:val="30"/>
          <w:lang w:val="es-ES"/>
        </w:rPr>
        <w:br/>
        <w:t>1. Instrumentar y ejecutar las políticas y regulaciones dictadas por la Junta</w:t>
      </w:r>
      <w:r>
        <w:rPr>
          <w:rFonts w:eastAsia="Times New Roman"/>
          <w:sz w:val="30"/>
          <w:szCs w:val="30"/>
          <w:lang w:val="es-ES"/>
        </w:rPr>
        <w:t xml:space="preserve"> de Política y Regulación Monetaria y Financiera para los sistemas monetario y financiero, monitorear y supervisar su aplicación, sancionar su incumplimiento, en el ámbito de sus competencias, e informar de sus resultados;</w:t>
      </w:r>
      <w:r>
        <w:rPr>
          <w:rFonts w:eastAsia="Times New Roman"/>
          <w:sz w:val="30"/>
          <w:szCs w:val="30"/>
          <w:lang w:val="es-ES"/>
        </w:rPr>
        <w:br/>
      </w:r>
      <w:r>
        <w:rPr>
          <w:rFonts w:eastAsia="Times New Roman"/>
          <w:sz w:val="30"/>
          <w:szCs w:val="30"/>
          <w:lang w:val="es-ES"/>
        </w:rPr>
        <w:br/>
        <w:t>2. Administrar el sistema nacion</w:t>
      </w:r>
      <w:r>
        <w:rPr>
          <w:rFonts w:eastAsia="Times New Roman"/>
          <w:sz w:val="30"/>
          <w:szCs w:val="30"/>
          <w:lang w:val="es-ES"/>
        </w:rPr>
        <w:t>al de pagos;</w:t>
      </w:r>
      <w:r>
        <w:rPr>
          <w:rFonts w:eastAsia="Times New Roman"/>
          <w:sz w:val="30"/>
          <w:szCs w:val="30"/>
          <w:lang w:val="es-ES"/>
        </w:rPr>
        <w:br/>
      </w:r>
      <w:r>
        <w:rPr>
          <w:rFonts w:eastAsia="Times New Roman"/>
          <w:sz w:val="30"/>
          <w:szCs w:val="30"/>
          <w:lang w:val="es-ES"/>
        </w:rPr>
        <w:br/>
        <w:t>3. Vigilar y supervisar los sistemas auxiliares de pagos;</w:t>
      </w:r>
      <w:r>
        <w:rPr>
          <w:rFonts w:eastAsia="Times New Roman"/>
          <w:sz w:val="30"/>
          <w:szCs w:val="30"/>
          <w:lang w:val="es-ES"/>
        </w:rPr>
        <w:br/>
      </w:r>
      <w:r>
        <w:rPr>
          <w:rFonts w:eastAsia="Times New Roman"/>
          <w:sz w:val="30"/>
          <w:szCs w:val="30"/>
          <w:lang w:val="es-ES"/>
        </w:rPr>
        <w:br/>
        <w:t>4. Garantizar el suministro y la distribución de las especies monetarias y dinero en el país;</w:t>
      </w:r>
      <w:r>
        <w:rPr>
          <w:rFonts w:eastAsia="Times New Roman"/>
          <w:sz w:val="30"/>
          <w:szCs w:val="30"/>
          <w:lang w:val="es-ES"/>
        </w:rPr>
        <w:br/>
      </w:r>
      <w:r>
        <w:rPr>
          <w:rFonts w:eastAsia="Times New Roman"/>
          <w:sz w:val="30"/>
          <w:szCs w:val="30"/>
          <w:lang w:val="es-ES"/>
        </w:rPr>
        <w:br/>
        <w:t>5. Adquirir títulos y obligaciones emitidos por el ente rector de las finanzas públicas,</w:t>
      </w:r>
      <w:r>
        <w:rPr>
          <w:rFonts w:eastAsia="Times New Roman"/>
          <w:sz w:val="30"/>
          <w:szCs w:val="30"/>
          <w:lang w:val="es-ES"/>
        </w:rPr>
        <w:t xml:space="preserve"> de conformidad con las regulaciones de la Junta;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Emitir valores;</w:t>
      </w:r>
      <w:r>
        <w:rPr>
          <w:rFonts w:eastAsia="Times New Roman"/>
          <w:sz w:val="30"/>
          <w:szCs w:val="30"/>
          <w:lang w:val="es-ES"/>
        </w:rPr>
        <w:br/>
      </w:r>
      <w:r>
        <w:rPr>
          <w:rFonts w:eastAsia="Times New Roman"/>
          <w:sz w:val="30"/>
          <w:szCs w:val="30"/>
          <w:lang w:val="es-ES"/>
        </w:rPr>
        <w:br/>
        <w:t>7. Efectuar operaciones de redescuento con las entidades del sistema financiero nacional que cumplan con los requisitos que determinen este Código y la Junta de Política y Regulación Mo</w:t>
      </w:r>
      <w:r>
        <w:rPr>
          <w:rFonts w:eastAsia="Times New Roman"/>
          <w:sz w:val="30"/>
          <w:szCs w:val="30"/>
          <w:lang w:val="es-ES"/>
        </w:rPr>
        <w:t>netaria y Financiera;</w:t>
      </w:r>
      <w:r>
        <w:rPr>
          <w:rFonts w:eastAsia="Times New Roman"/>
          <w:sz w:val="30"/>
          <w:szCs w:val="30"/>
          <w:lang w:val="es-ES"/>
        </w:rPr>
        <w:br/>
      </w:r>
      <w:r>
        <w:rPr>
          <w:rFonts w:eastAsia="Times New Roman"/>
          <w:sz w:val="30"/>
          <w:szCs w:val="30"/>
          <w:lang w:val="es-ES"/>
        </w:rPr>
        <w:br/>
        <w:t>8. Gestionar la liquidez de la economía para impulsar los objetivos de desarrollo del país, utilizando instrumentos directos e indirectos, como operaciones</w:t>
      </w:r>
      <w:r>
        <w:rPr>
          <w:rFonts w:eastAsia="Times New Roman"/>
          <w:sz w:val="30"/>
          <w:szCs w:val="30"/>
          <w:lang w:val="es-ES"/>
        </w:rPr>
        <w:br/>
      </w:r>
      <w:r>
        <w:rPr>
          <w:rFonts w:eastAsia="Times New Roman"/>
          <w:sz w:val="30"/>
          <w:szCs w:val="30"/>
          <w:lang w:val="es-ES"/>
        </w:rPr>
        <w:br/>
        <w:t>de mercado abierto, operaciones de cambio, entre otros;</w:t>
      </w:r>
      <w:r>
        <w:rPr>
          <w:rFonts w:eastAsia="Times New Roman"/>
          <w:sz w:val="30"/>
          <w:szCs w:val="30"/>
          <w:lang w:val="es-ES"/>
        </w:rPr>
        <w:br/>
      </w:r>
      <w:r>
        <w:rPr>
          <w:rFonts w:eastAsia="Times New Roman"/>
          <w:sz w:val="30"/>
          <w:szCs w:val="30"/>
          <w:lang w:val="es-ES"/>
        </w:rPr>
        <w:br/>
        <w:t>9. Fomentar la incl</w:t>
      </w:r>
      <w:r>
        <w:rPr>
          <w:rFonts w:eastAsia="Times New Roman"/>
          <w:sz w:val="30"/>
          <w:szCs w:val="30"/>
          <w:lang w:val="es-ES"/>
        </w:rPr>
        <w:t>usión financiera, incrementando el acceso a servicios financieros de calidad, en el ámbito de su competencia;</w:t>
      </w:r>
      <w:r>
        <w:rPr>
          <w:rFonts w:eastAsia="Times New Roman"/>
          <w:sz w:val="30"/>
          <w:szCs w:val="30"/>
          <w:lang w:val="es-ES"/>
        </w:rPr>
        <w:br/>
      </w:r>
      <w:r>
        <w:rPr>
          <w:rFonts w:eastAsia="Times New Roman"/>
          <w:sz w:val="30"/>
          <w:szCs w:val="30"/>
          <w:lang w:val="es-ES"/>
        </w:rPr>
        <w:br/>
        <w:t>10. Dirigir y promover la integración monetaria y financiera regional;</w:t>
      </w:r>
      <w:r>
        <w:rPr>
          <w:rFonts w:eastAsia="Times New Roman"/>
          <w:sz w:val="30"/>
          <w:szCs w:val="30"/>
          <w:lang w:val="es-ES"/>
        </w:rPr>
        <w:br/>
      </w:r>
      <w:r>
        <w:rPr>
          <w:rFonts w:eastAsia="Times New Roman"/>
          <w:sz w:val="30"/>
          <w:szCs w:val="30"/>
          <w:lang w:val="es-ES"/>
        </w:rPr>
        <w:br/>
        <w:t xml:space="preserve">11. Administrar los activos financieros del Banco Central del Ecuador en </w:t>
      </w:r>
      <w:r>
        <w:rPr>
          <w:rFonts w:eastAsia="Times New Roman"/>
          <w:sz w:val="30"/>
          <w:szCs w:val="30"/>
          <w:lang w:val="es-ES"/>
        </w:rPr>
        <w:t>el país y en el exterior;</w:t>
      </w:r>
      <w:r>
        <w:rPr>
          <w:rFonts w:eastAsia="Times New Roman"/>
          <w:sz w:val="30"/>
          <w:szCs w:val="30"/>
          <w:lang w:val="es-ES"/>
        </w:rPr>
        <w:br/>
      </w:r>
      <w:r>
        <w:rPr>
          <w:rFonts w:eastAsia="Times New Roman"/>
          <w:sz w:val="30"/>
          <w:szCs w:val="30"/>
          <w:lang w:val="es-ES"/>
        </w:rPr>
        <w:br/>
        <w:t>12. En coordinación con los organismos de control, evaluar y gestionar el riesgo sistémico monetario y financiero, para fines de supervisión macro prudencial;</w:t>
      </w:r>
      <w:r>
        <w:rPr>
          <w:rFonts w:eastAsia="Times New Roman"/>
          <w:sz w:val="30"/>
          <w:szCs w:val="30"/>
          <w:lang w:val="es-ES"/>
        </w:rPr>
        <w:br/>
      </w:r>
      <w:r>
        <w:rPr>
          <w:rFonts w:eastAsia="Times New Roman"/>
          <w:sz w:val="30"/>
          <w:szCs w:val="30"/>
          <w:lang w:val="es-ES"/>
        </w:rPr>
        <w:br/>
        <w:t>13. Ejercer la potestad sancionatoria, de conformidad con este Código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14. Conocer y resolver los reclamos y recursos administrativos por actos de la propia institución;</w:t>
      </w:r>
      <w:r>
        <w:rPr>
          <w:rFonts w:eastAsia="Times New Roman"/>
          <w:sz w:val="30"/>
          <w:szCs w:val="30"/>
          <w:lang w:val="es-ES"/>
        </w:rPr>
        <w:br/>
      </w:r>
      <w:r>
        <w:rPr>
          <w:rFonts w:eastAsia="Times New Roman"/>
          <w:sz w:val="30"/>
          <w:szCs w:val="30"/>
          <w:lang w:val="es-ES"/>
        </w:rPr>
        <w:br/>
        <w:t>15. Elaborar, en coordinación con el ministerio a cargo de la política económica, las previsiones y las estimaciones económico-financieras;</w:t>
      </w:r>
      <w:r>
        <w:rPr>
          <w:rFonts w:eastAsia="Times New Roman"/>
          <w:sz w:val="30"/>
          <w:szCs w:val="30"/>
          <w:lang w:val="es-ES"/>
        </w:rPr>
        <w:br/>
      </w:r>
      <w:r>
        <w:rPr>
          <w:rFonts w:eastAsia="Times New Roman"/>
          <w:sz w:val="30"/>
          <w:szCs w:val="30"/>
          <w:lang w:val="es-ES"/>
        </w:rPr>
        <w:br/>
        <w:t>16. Elaborar</w:t>
      </w:r>
      <w:r>
        <w:rPr>
          <w:rFonts w:eastAsia="Times New Roman"/>
          <w:sz w:val="30"/>
          <w:szCs w:val="30"/>
          <w:lang w:val="es-ES"/>
        </w:rPr>
        <w:t>, en coordinación con el ministerio a cargo de la política económica, el informe de sostenibilidad financiera a la Junta de Política y Regulación Monetaria y Financiera;</w:t>
      </w:r>
      <w:r>
        <w:rPr>
          <w:rFonts w:eastAsia="Times New Roman"/>
          <w:sz w:val="30"/>
          <w:szCs w:val="30"/>
          <w:lang w:val="es-ES"/>
        </w:rPr>
        <w:br/>
      </w:r>
      <w:r>
        <w:rPr>
          <w:rFonts w:eastAsia="Times New Roman"/>
          <w:sz w:val="30"/>
          <w:szCs w:val="30"/>
          <w:lang w:val="es-ES"/>
        </w:rPr>
        <w:br/>
        <w:t>17. Proyectar, en coordinación con el ente rector de las finanzas públicas y el minis</w:t>
      </w:r>
      <w:r>
        <w:rPr>
          <w:rFonts w:eastAsia="Times New Roman"/>
          <w:sz w:val="30"/>
          <w:szCs w:val="30"/>
          <w:lang w:val="es-ES"/>
        </w:rPr>
        <w:t>terio a cargo de la política económica, los niveles de liquidez global de la economía y realizar su monitoreo;</w:t>
      </w:r>
      <w:r>
        <w:rPr>
          <w:rFonts w:eastAsia="Times New Roman"/>
          <w:sz w:val="30"/>
          <w:szCs w:val="30"/>
          <w:lang w:val="es-ES"/>
        </w:rPr>
        <w:br/>
      </w:r>
      <w:r>
        <w:rPr>
          <w:rFonts w:eastAsia="Times New Roman"/>
          <w:sz w:val="30"/>
          <w:szCs w:val="30"/>
          <w:lang w:val="es-ES"/>
        </w:rPr>
        <w:lastRenderedPageBreak/>
        <w:br/>
        <w:t>18. Suministrar los medios de pago necesarios para que el sistema económico opere con eficiencia, de conformidad con las normas que expida la Ju</w:t>
      </w:r>
      <w:r>
        <w:rPr>
          <w:rFonts w:eastAsia="Times New Roman"/>
          <w:sz w:val="30"/>
          <w:szCs w:val="30"/>
          <w:lang w:val="es-ES"/>
        </w:rPr>
        <w:t>nta;</w:t>
      </w:r>
      <w:r>
        <w:rPr>
          <w:rFonts w:eastAsia="Times New Roman"/>
          <w:sz w:val="30"/>
          <w:szCs w:val="30"/>
          <w:lang w:val="es-ES"/>
        </w:rPr>
        <w:br/>
      </w:r>
      <w:r>
        <w:rPr>
          <w:rFonts w:eastAsia="Times New Roman"/>
          <w:sz w:val="30"/>
          <w:szCs w:val="30"/>
          <w:lang w:val="es-ES"/>
        </w:rPr>
        <w:br/>
        <w:t>19. Determinar las características y gestionar la provisión, acuñación, circulación, canje, retiro y desmonetización de monedas;</w:t>
      </w:r>
      <w:r>
        <w:rPr>
          <w:rFonts w:eastAsia="Times New Roman"/>
          <w:sz w:val="30"/>
          <w:szCs w:val="30"/>
          <w:lang w:val="es-ES"/>
        </w:rPr>
        <w:br/>
      </w:r>
      <w:r>
        <w:rPr>
          <w:rFonts w:eastAsia="Times New Roman"/>
          <w:sz w:val="30"/>
          <w:szCs w:val="30"/>
          <w:lang w:val="es-ES"/>
        </w:rPr>
        <w:br/>
        <w:t>20. Proveer de forma exclusiva moneda metálica nacional, así como moneda electrónica, en el marco de la política dictada</w:t>
      </w:r>
      <w:r>
        <w:rPr>
          <w:rFonts w:eastAsia="Times New Roman"/>
          <w:sz w:val="30"/>
          <w:szCs w:val="30"/>
          <w:lang w:val="es-ES"/>
        </w:rPr>
        <w:t xml:space="preserve"> por la Junta de Política y Regulación Monetaria y Financiera;</w:t>
      </w:r>
      <w:r>
        <w:rPr>
          <w:rFonts w:eastAsia="Times New Roman"/>
          <w:sz w:val="30"/>
          <w:szCs w:val="30"/>
          <w:lang w:val="es-ES"/>
        </w:rPr>
        <w:br/>
      </w:r>
      <w:r>
        <w:rPr>
          <w:rFonts w:eastAsia="Times New Roman"/>
          <w:sz w:val="30"/>
          <w:szCs w:val="30"/>
          <w:lang w:val="es-ES"/>
        </w:rPr>
        <w:br/>
        <w:t>21. Autorizar corresponsalías;</w:t>
      </w:r>
      <w:r>
        <w:rPr>
          <w:rFonts w:eastAsia="Times New Roman"/>
          <w:sz w:val="30"/>
          <w:szCs w:val="30"/>
          <w:lang w:val="es-ES"/>
        </w:rPr>
        <w:br/>
      </w:r>
      <w:r>
        <w:rPr>
          <w:rFonts w:eastAsia="Times New Roman"/>
          <w:sz w:val="30"/>
          <w:szCs w:val="30"/>
          <w:lang w:val="es-ES"/>
        </w:rPr>
        <w:br/>
        <w:t>22. Operar el sistema central de pagos;</w:t>
      </w:r>
      <w:r>
        <w:rPr>
          <w:rFonts w:eastAsia="Times New Roman"/>
          <w:sz w:val="30"/>
          <w:szCs w:val="30"/>
          <w:lang w:val="es-ES"/>
        </w:rPr>
        <w:br/>
      </w:r>
      <w:r>
        <w:rPr>
          <w:rFonts w:eastAsia="Times New Roman"/>
          <w:sz w:val="30"/>
          <w:szCs w:val="30"/>
          <w:lang w:val="es-ES"/>
        </w:rPr>
        <w:br/>
        <w:t>23. Monitorear el cumplimiento de las normas de funcionamiento emitidas por la Junta para el sistema nacional de pagos;</w:t>
      </w:r>
      <w:r>
        <w:rPr>
          <w:rFonts w:eastAsia="Times New Roman"/>
          <w:sz w:val="30"/>
          <w:szCs w:val="30"/>
          <w:lang w:val="es-ES"/>
        </w:rPr>
        <w:br/>
      </w:r>
      <w:r>
        <w:rPr>
          <w:rFonts w:eastAsia="Times New Roman"/>
          <w:sz w:val="30"/>
          <w:szCs w:val="30"/>
          <w:lang w:val="es-ES"/>
        </w:rPr>
        <w:br/>
        <w:t>24. Ejercer la vigilancia y supervisión de los sistemas auxiliares de pagos, asegurando el cumplimiento de las regulaciones a los que están sujetos;</w:t>
      </w:r>
      <w:r>
        <w:rPr>
          <w:rFonts w:eastAsia="Times New Roman"/>
          <w:sz w:val="30"/>
          <w:szCs w:val="30"/>
          <w:lang w:val="es-ES"/>
        </w:rPr>
        <w:br/>
      </w:r>
      <w:r>
        <w:rPr>
          <w:rFonts w:eastAsia="Times New Roman"/>
          <w:sz w:val="30"/>
          <w:szCs w:val="30"/>
          <w:lang w:val="es-ES"/>
        </w:rPr>
        <w:br/>
        <w:t>25. Monitorear el cumplimiento de las tasas de interés aprobadas por la Junta;</w:t>
      </w:r>
      <w:r>
        <w:rPr>
          <w:rFonts w:eastAsia="Times New Roman"/>
          <w:sz w:val="30"/>
          <w:szCs w:val="30"/>
          <w:lang w:val="es-ES"/>
        </w:rPr>
        <w:br/>
      </w:r>
      <w:r>
        <w:rPr>
          <w:rFonts w:eastAsia="Times New Roman"/>
          <w:sz w:val="30"/>
          <w:szCs w:val="30"/>
          <w:lang w:val="es-ES"/>
        </w:rPr>
        <w:br/>
        <w:t>26. Gestionar las reserv</w:t>
      </w:r>
      <w:r>
        <w:rPr>
          <w:rFonts w:eastAsia="Times New Roman"/>
          <w:sz w:val="30"/>
          <w:szCs w:val="30"/>
          <w:lang w:val="es-ES"/>
        </w:rPr>
        <w:t>as, optimizando la utilidad económica nacional de las inversiones domésticas y externas, con sujeción a los principios de seguridad, liquidez y rentabilidad;</w:t>
      </w:r>
      <w:r>
        <w:rPr>
          <w:rFonts w:eastAsia="Times New Roman"/>
          <w:sz w:val="30"/>
          <w:szCs w:val="30"/>
          <w:lang w:val="es-ES"/>
        </w:rPr>
        <w:br/>
      </w:r>
      <w:r>
        <w:rPr>
          <w:rFonts w:eastAsia="Times New Roman"/>
          <w:sz w:val="30"/>
          <w:szCs w:val="30"/>
          <w:lang w:val="es-ES"/>
        </w:rPr>
        <w:br/>
        <w:t>27. Instrumentar la inversión doméstica, con sujeción a lo establecido en las políticas aprobadas</w:t>
      </w:r>
      <w:r>
        <w:rPr>
          <w:rFonts w:eastAsia="Times New Roman"/>
          <w:sz w:val="30"/>
          <w:szCs w:val="30"/>
          <w:lang w:val="es-ES"/>
        </w:rPr>
        <w:t xml:space="preserve"> por la Junta;</w:t>
      </w:r>
      <w:r>
        <w:rPr>
          <w:rFonts w:eastAsia="Times New Roman"/>
          <w:sz w:val="30"/>
          <w:szCs w:val="30"/>
          <w:lang w:val="es-ES"/>
        </w:rPr>
        <w:br/>
      </w:r>
      <w:r>
        <w:rPr>
          <w:rFonts w:eastAsia="Times New Roman"/>
          <w:sz w:val="30"/>
          <w:szCs w:val="30"/>
          <w:lang w:val="es-ES"/>
        </w:rPr>
        <w:br/>
        <w:t>28. Actuar como depositario de los recursos de terceros, en los casos en que la ley ordene que exista un depósito;</w:t>
      </w:r>
      <w:r>
        <w:rPr>
          <w:rFonts w:eastAsia="Times New Roman"/>
          <w:sz w:val="30"/>
          <w:szCs w:val="30"/>
          <w:lang w:val="es-ES"/>
        </w:rPr>
        <w:br/>
      </w:r>
      <w:r>
        <w:rPr>
          <w:rFonts w:eastAsia="Times New Roman"/>
          <w:sz w:val="30"/>
          <w:szCs w:val="30"/>
          <w:lang w:val="es-ES"/>
        </w:rPr>
        <w:br/>
        <w:t>29. Actuar como agente fiscal, financiero y depositario de recursos públicos;</w:t>
      </w:r>
      <w:r>
        <w:rPr>
          <w:rFonts w:eastAsia="Times New Roman"/>
          <w:sz w:val="30"/>
          <w:szCs w:val="30"/>
          <w:lang w:val="es-ES"/>
        </w:rPr>
        <w:br/>
      </w:r>
      <w:r>
        <w:rPr>
          <w:rFonts w:eastAsia="Times New Roman"/>
          <w:sz w:val="30"/>
          <w:szCs w:val="30"/>
          <w:lang w:val="es-ES"/>
        </w:rPr>
        <w:br/>
        <w:t xml:space="preserve">30. Efectuar el servicio de la deuda pública </w:t>
      </w:r>
      <w:r>
        <w:rPr>
          <w:rFonts w:eastAsia="Times New Roman"/>
          <w:sz w:val="30"/>
          <w:szCs w:val="30"/>
          <w:lang w:val="es-ES"/>
        </w:rPr>
        <w:t xml:space="preserve">externa e interna, legal y </w:t>
      </w:r>
      <w:r>
        <w:rPr>
          <w:rFonts w:eastAsia="Times New Roman"/>
          <w:sz w:val="30"/>
          <w:szCs w:val="30"/>
          <w:lang w:val="es-ES"/>
        </w:rPr>
        <w:lastRenderedPageBreak/>
        <w:t>legítima, y retener los recursos necesarios para su servicio, de conformidad con las estipulaciones de los contratos respectivos;</w:t>
      </w:r>
      <w:r>
        <w:rPr>
          <w:rFonts w:eastAsia="Times New Roman"/>
          <w:sz w:val="30"/>
          <w:szCs w:val="30"/>
          <w:lang w:val="es-ES"/>
        </w:rPr>
        <w:br/>
      </w:r>
      <w:r>
        <w:rPr>
          <w:rFonts w:eastAsia="Times New Roman"/>
          <w:sz w:val="30"/>
          <w:szCs w:val="30"/>
          <w:lang w:val="es-ES"/>
        </w:rPr>
        <w:br/>
        <w:t>31. Actuar como depósito centralizado de compensación y liquidación de valores;</w:t>
      </w:r>
      <w:r>
        <w:rPr>
          <w:rFonts w:eastAsia="Times New Roman"/>
          <w:sz w:val="30"/>
          <w:szCs w:val="30"/>
          <w:lang w:val="es-ES"/>
        </w:rPr>
        <w:br/>
      </w:r>
      <w:r>
        <w:rPr>
          <w:rFonts w:eastAsia="Times New Roman"/>
          <w:sz w:val="30"/>
          <w:szCs w:val="30"/>
          <w:lang w:val="es-ES"/>
        </w:rPr>
        <w:br/>
        <w:t>32. Actuar como a</w:t>
      </w:r>
      <w:r>
        <w:rPr>
          <w:rFonts w:eastAsia="Times New Roman"/>
          <w:sz w:val="30"/>
          <w:szCs w:val="30"/>
          <w:lang w:val="es-ES"/>
        </w:rPr>
        <w:t>dministrador fiduciario;</w:t>
      </w:r>
      <w:r>
        <w:rPr>
          <w:rFonts w:eastAsia="Times New Roman"/>
          <w:sz w:val="30"/>
          <w:szCs w:val="30"/>
          <w:lang w:val="es-ES"/>
        </w:rPr>
        <w:br/>
      </w:r>
      <w:r>
        <w:rPr>
          <w:rFonts w:eastAsia="Times New Roman"/>
          <w:sz w:val="30"/>
          <w:szCs w:val="30"/>
          <w:lang w:val="es-ES"/>
        </w:rPr>
        <w:br/>
        <w:t>33. Comercializar el oro proveniente de la pequeña minería y de la minería artesanal, de forma directa o por intermedio de agentes económicos públicos y privados, que deberán ser previamente autorizados por el propio Banco Central</w:t>
      </w:r>
      <w:r>
        <w:rPr>
          <w:rFonts w:eastAsia="Times New Roman"/>
          <w:sz w:val="30"/>
          <w:szCs w:val="30"/>
          <w:lang w:val="es-ES"/>
        </w:rPr>
        <w:t xml:space="preserve"> del Ecuador;</w:t>
      </w:r>
      <w:r>
        <w:rPr>
          <w:rFonts w:eastAsia="Times New Roman"/>
          <w:sz w:val="30"/>
          <w:szCs w:val="30"/>
          <w:lang w:val="es-ES"/>
        </w:rPr>
        <w:br/>
      </w:r>
      <w:r>
        <w:rPr>
          <w:rFonts w:eastAsia="Times New Roman"/>
          <w:sz w:val="30"/>
          <w:szCs w:val="30"/>
          <w:lang w:val="es-ES"/>
        </w:rPr>
        <w:br/>
        <w:t>34. Efectuar las operaciones e implementar instrumentos que tengan carácter monetario o financiero y sean necesarios para el cumplimiento de los objetivos de política monetaria;</w:t>
      </w:r>
      <w:r>
        <w:rPr>
          <w:rFonts w:eastAsia="Times New Roman"/>
          <w:sz w:val="30"/>
          <w:szCs w:val="30"/>
          <w:lang w:val="es-ES"/>
        </w:rPr>
        <w:br/>
      </w:r>
      <w:r>
        <w:rPr>
          <w:rFonts w:eastAsia="Times New Roman"/>
          <w:sz w:val="30"/>
          <w:szCs w:val="30"/>
          <w:lang w:val="es-ES"/>
        </w:rPr>
        <w:br/>
        <w:t>35. Presentar los informes que requiera la Junta;</w:t>
      </w:r>
      <w:r>
        <w:rPr>
          <w:rFonts w:eastAsia="Times New Roman"/>
          <w:sz w:val="30"/>
          <w:szCs w:val="30"/>
          <w:lang w:val="es-ES"/>
        </w:rPr>
        <w:br/>
      </w:r>
      <w:r>
        <w:rPr>
          <w:rFonts w:eastAsia="Times New Roman"/>
          <w:sz w:val="30"/>
          <w:szCs w:val="30"/>
          <w:lang w:val="es-ES"/>
        </w:rPr>
        <w:br/>
        <w:t>36. Ofertar</w:t>
      </w:r>
      <w:r>
        <w:rPr>
          <w:rFonts w:eastAsia="Times New Roman"/>
          <w:sz w:val="30"/>
          <w:szCs w:val="30"/>
          <w:lang w:val="es-ES"/>
        </w:rPr>
        <w:t xml:space="preserve"> los servicios de cobro de deudas entre entidades del sector público y entre Gobiernos Autónomos Descentralizados con entidades privadas;</w:t>
      </w:r>
      <w:r>
        <w:rPr>
          <w:rFonts w:eastAsia="Times New Roman"/>
          <w:sz w:val="30"/>
          <w:szCs w:val="30"/>
          <w:lang w:val="es-ES"/>
        </w:rPr>
        <w:br/>
      </w:r>
      <w:r>
        <w:rPr>
          <w:rFonts w:eastAsia="Times New Roman"/>
          <w:sz w:val="30"/>
          <w:szCs w:val="30"/>
          <w:lang w:val="es-ES"/>
        </w:rPr>
        <w:br/>
        <w:t>37. Ofertar servicios financieros e inversiones a la comunidad internacional de bancos centrales;</w:t>
      </w:r>
      <w:r>
        <w:rPr>
          <w:rFonts w:eastAsia="Times New Roman"/>
          <w:sz w:val="30"/>
          <w:szCs w:val="30"/>
          <w:lang w:val="es-ES"/>
        </w:rPr>
        <w:br/>
      </w:r>
      <w:r>
        <w:rPr>
          <w:rFonts w:eastAsia="Times New Roman"/>
          <w:sz w:val="30"/>
          <w:szCs w:val="30"/>
          <w:lang w:val="es-ES"/>
        </w:rPr>
        <w:br/>
        <w:t>38. Rendir cuentas</w:t>
      </w:r>
      <w:r>
        <w:rPr>
          <w:rFonts w:eastAsia="Times New Roman"/>
          <w:sz w:val="30"/>
          <w:szCs w:val="30"/>
          <w:lang w:val="es-ES"/>
        </w:rPr>
        <w:t xml:space="preserve"> de su gestión a la Junta y a la ciudadanía;</w:t>
      </w:r>
      <w:r>
        <w:rPr>
          <w:rFonts w:eastAsia="Times New Roman"/>
          <w:sz w:val="30"/>
          <w:szCs w:val="30"/>
          <w:lang w:val="es-ES"/>
        </w:rPr>
        <w:br/>
      </w:r>
      <w:r>
        <w:rPr>
          <w:rFonts w:eastAsia="Times New Roman"/>
          <w:sz w:val="30"/>
          <w:szCs w:val="30"/>
          <w:lang w:val="es-ES"/>
        </w:rPr>
        <w:br/>
        <w:t>39. Establecer los procedimientos y mecanismos de cobertura del riesgo cambiario en las operaciones que realice en divisas; y,</w:t>
      </w:r>
      <w:r>
        <w:rPr>
          <w:rFonts w:eastAsia="Times New Roman"/>
          <w:sz w:val="30"/>
          <w:szCs w:val="30"/>
          <w:lang w:val="es-ES"/>
        </w:rPr>
        <w:br/>
      </w:r>
      <w:r>
        <w:rPr>
          <w:rFonts w:eastAsia="Times New Roman"/>
          <w:sz w:val="30"/>
          <w:szCs w:val="30"/>
          <w:lang w:val="es-ES"/>
        </w:rPr>
        <w:br/>
        <w:t>40. Las demás que le asigne la ley y la Junta de Política y Regulación Monetaria y</w:t>
      </w:r>
      <w:r>
        <w:rPr>
          <w:rFonts w:eastAsia="Times New Roman"/>
          <w:sz w:val="30"/>
          <w:szCs w:val="30"/>
          <w:lang w:val="es-ES"/>
        </w:rPr>
        <w:t xml:space="preserve"> Financiera.</w:t>
      </w:r>
      <w:r>
        <w:rPr>
          <w:rFonts w:eastAsia="Times New Roman"/>
          <w:sz w:val="30"/>
          <w:szCs w:val="30"/>
          <w:lang w:val="es-ES"/>
        </w:rPr>
        <w:br/>
      </w:r>
      <w:r>
        <w:rPr>
          <w:rFonts w:eastAsia="Times New Roman"/>
          <w:sz w:val="30"/>
          <w:szCs w:val="30"/>
          <w:lang w:val="es-ES"/>
        </w:rPr>
        <w:br/>
        <w:t>El Banco Central del Ecuador, para el cumplimiento de su finalidad, podrá realizar todos los actos, contratos y operaciones en el país o en el exterior que sean necesarios y solicitar antecedentes, estados o informaciones generales o especial</w:t>
      </w:r>
      <w:r>
        <w:rPr>
          <w:rFonts w:eastAsia="Times New Roman"/>
          <w:sz w:val="30"/>
          <w:szCs w:val="30"/>
          <w:lang w:val="es-ES"/>
        </w:rPr>
        <w:t xml:space="preserve">es a las instituciones públicas, privadas, organizaciones de la economía popular y solidaria y a los organismos de control del Estado, de acuerdo con las funciones que le </w:t>
      </w:r>
      <w:r>
        <w:rPr>
          <w:rFonts w:eastAsia="Times New Roman"/>
          <w:sz w:val="30"/>
          <w:szCs w:val="30"/>
          <w:lang w:val="es-ES"/>
        </w:rPr>
        <w:lastRenderedPageBreak/>
        <w:t>otorgan la Constitución de la República, este Código, su Estatuto y las demás funcion</w:t>
      </w:r>
      <w:r>
        <w:rPr>
          <w:rFonts w:eastAsia="Times New Roman"/>
          <w:sz w:val="30"/>
          <w:szCs w:val="30"/>
          <w:lang w:val="es-ES"/>
        </w:rPr>
        <w:t>es compatibles con su naturaleza de banco central que le sean asignadas por mandato legal.</w:t>
      </w:r>
    </w:p>
    <w:p w:rsidR="00000000" w:rsidRDefault="0018461E">
      <w:pPr>
        <w:divId w:val="456682830"/>
        <w:rPr>
          <w:rFonts w:eastAsia="Times New Roman"/>
          <w:sz w:val="30"/>
          <w:szCs w:val="30"/>
          <w:lang w:val="es-ES"/>
        </w:rPr>
      </w:pPr>
      <w:r>
        <w:rPr>
          <w:rFonts w:eastAsia="Times New Roman"/>
          <w:sz w:val="30"/>
          <w:szCs w:val="30"/>
          <w:lang w:val="es-ES"/>
        </w:rPr>
        <w:t xml:space="preserve">Art. 37.- </w:t>
      </w:r>
      <w:r>
        <w:rPr>
          <w:rFonts w:eastAsia="Times New Roman"/>
          <w:b/>
          <w:bCs/>
          <w:sz w:val="30"/>
          <w:szCs w:val="30"/>
          <w:lang w:val="es-ES"/>
        </w:rPr>
        <w:t xml:space="preserve">Contratación del Banco Central del Ecuador. </w:t>
      </w:r>
      <w:r>
        <w:rPr>
          <w:rFonts w:eastAsia="Times New Roman"/>
          <w:sz w:val="30"/>
          <w:szCs w:val="30"/>
          <w:lang w:val="es-ES"/>
        </w:rPr>
        <w:t>La contratación de los servicios que requiera el Banco Central del Ecuador que coadyuven a la inversión de la r</w:t>
      </w:r>
      <w:r>
        <w:rPr>
          <w:rFonts w:eastAsia="Times New Roman"/>
          <w:sz w:val="30"/>
          <w:szCs w:val="30"/>
          <w:lang w:val="es-ES"/>
        </w:rPr>
        <w:t xml:space="preserve">eserva, la gestión de la posición de activos y pasivos externos, del oro monetario y no monetario y a la sostenibilidad del sistema monetario, se someterán al régimen especial determinado en el artículo 2 numeral 10 de la Ley Orgánica del Sistema Nacional </w:t>
      </w:r>
      <w:r>
        <w:rPr>
          <w:rFonts w:eastAsia="Times New Roman"/>
          <w:sz w:val="30"/>
          <w:szCs w:val="30"/>
          <w:lang w:val="es-ES"/>
        </w:rPr>
        <w:t>de Contratación Pública.</w:t>
      </w:r>
    </w:p>
    <w:p w:rsidR="00000000" w:rsidRDefault="0018461E">
      <w:pPr>
        <w:divId w:val="1950701614"/>
        <w:rPr>
          <w:rFonts w:eastAsia="Times New Roman"/>
          <w:sz w:val="30"/>
          <w:szCs w:val="30"/>
          <w:lang w:val="es-ES"/>
        </w:rPr>
      </w:pPr>
      <w:r>
        <w:rPr>
          <w:rFonts w:eastAsia="Times New Roman"/>
          <w:sz w:val="30"/>
          <w:szCs w:val="30"/>
          <w:lang w:val="es-ES"/>
        </w:rPr>
        <w:t xml:space="preserve">Art. 38.- </w:t>
      </w:r>
      <w:r>
        <w:rPr>
          <w:rFonts w:eastAsia="Times New Roman"/>
          <w:b/>
          <w:bCs/>
          <w:sz w:val="30"/>
          <w:szCs w:val="30"/>
          <w:lang w:val="es-ES"/>
        </w:rPr>
        <w:t xml:space="preserve">Créditos externos. </w:t>
      </w:r>
      <w:r>
        <w:rPr>
          <w:rFonts w:eastAsia="Times New Roman"/>
          <w:sz w:val="30"/>
          <w:szCs w:val="30"/>
          <w:lang w:val="es-ES"/>
        </w:rPr>
        <w:t>El Banco Central del Ecuador, a nombre del Estado ecuatoriano, podrá contratar créditos externos para el financiamiento de la balanza de pagos y para atender necesidades de liquidez, con la aprobación d</w:t>
      </w:r>
      <w:r>
        <w:rPr>
          <w:rFonts w:eastAsia="Times New Roman"/>
          <w:sz w:val="30"/>
          <w:szCs w:val="30"/>
          <w:lang w:val="es-ES"/>
        </w:rPr>
        <w:t>el Comité de Deuda y Financiamiento.</w:t>
      </w:r>
    </w:p>
    <w:p w:rsidR="00000000" w:rsidRDefault="0018461E">
      <w:pPr>
        <w:divId w:val="179634770"/>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 xml:space="preserve">Representación del Estado. </w:t>
      </w:r>
      <w:r>
        <w:rPr>
          <w:rFonts w:eastAsia="Times New Roman"/>
          <w:sz w:val="30"/>
          <w:szCs w:val="30"/>
          <w:lang w:val="es-ES"/>
        </w:rPr>
        <w:t>El Banco Central del Ecuador, en representación del Estado ecuatoriano en sus relaciones con los organismos monetarios internacionales, suscribirá las aportaciones y adquirirá las ac</w:t>
      </w:r>
      <w:r>
        <w:rPr>
          <w:rFonts w:eastAsia="Times New Roman"/>
          <w:sz w:val="30"/>
          <w:szCs w:val="30"/>
          <w:lang w:val="es-ES"/>
        </w:rPr>
        <w:t>ciones y títulos valores de esas instituciones.</w:t>
      </w:r>
    </w:p>
    <w:p w:rsidR="00000000" w:rsidRDefault="0018461E">
      <w:pPr>
        <w:divId w:val="258560704"/>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 xml:space="preserve">Depósitos del sector público. </w:t>
      </w:r>
      <w:r>
        <w:rPr>
          <w:rFonts w:eastAsia="Times New Roman"/>
          <w:sz w:val="30"/>
          <w:szCs w:val="30"/>
          <w:lang w:val="es-ES"/>
        </w:rPr>
        <w:t>Los recursos públicos de las instituciones, organismos y empresas del sector público no financiero se mantendrán en depósito en el Banco Central del Ecuador, de conform</w:t>
      </w:r>
      <w:r>
        <w:rPr>
          <w:rFonts w:eastAsia="Times New Roman"/>
          <w:sz w:val="30"/>
          <w:szCs w:val="30"/>
          <w:lang w:val="es-ES"/>
        </w:rPr>
        <w:t>idad con las regulaciones que emita la Junta.</w:t>
      </w:r>
      <w:r>
        <w:rPr>
          <w:rFonts w:eastAsia="Times New Roman"/>
          <w:sz w:val="30"/>
          <w:szCs w:val="30"/>
          <w:lang w:val="es-ES"/>
        </w:rPr>
        <w:br/>
      </w:r>
      <w:r>
        <w:rPr>
          <w:rFonts w:eastAsia="Times New Roman"/>
          <w:sz w:val="30"/>
          <w:szCs w:val="30"/>
          <w:lang w:val="es-ES"/>
        </w:rPr>
        <w:br/>
        <w:t>Las entidades del sistema financiero nacional participarán en la recaudación de los recursos públicos, a través de cuentas recolectoras a nombre de las entidades públicas no financieras, de conformidad con las</w:t>
      </w:r>
      <w:r>
        <w:rPr>
          <w:rFonts w:eastAsia="Times New Roman"/>
          <w:sz w:val="30"/>
          <w:szCs w:val="30"/>
          <w:lang w:val="es-ES"/>
        </w:rPr>
        <w:t xml:space="preserve"> regulaciones que expida la Junta. El saldo de dichas cuentas se transferirá de manera automática a las cuentas que les corresponda a las respectivas instituciones públicas en el Banco Central del Ecuador, de conformidad con la regulación que se expida par</w:t>
      </w:r>
      <w:r>
        <w:rPr>
          <w:rFonts w:eastAsia="Times New Roman"/>
          <w:sz w:val="30"/>
          <w:szCs w:val="30"/>
          <w:lang w:val="es-ES"/>
        </w:rPr>
        <w:t>a el efecto.</w:t>
      </w:r>
      <w:r>
        <w:rPr>
          <w:rFonts w:eastAsia="Times New Roman"/>
          <w:sz w:val="30"/>
          <w:szCs w:val="30"/>
          <w:lang w:val="es-ES"/>
        </w:rPr>
        <w:br/>
      </w:r>
      <w:r>
        <w:rPr>
          <w:rFonts w:eastAsia="Times New Roman"/>
          <w:sz w:val="30"/>
          <w:szCs w:val="30"/>
          <w:lang w:val="es-ES"/>
        </w:rPr>
        <w:br/>
        <w:t>Las entidades del sistema financiero nacional no podrán abrir, a nombre de las instituciones públicas, otro tipo de cuentas, salvo que cuenten con la autorización otorgada por la Junta. Esta prohibición aplicará especialmente a las cuentas co</w:t>
      </w:r>
      <w:r>
        <w:rPr>
          <w:rFonts w:eastAsia="Times New Roman"/>
          <w:sz w:val="30"/>
          <w:szCs w:val="30"/>
          <w:lang w:val="es-ES"/>
        </w:rPr>
        <w:t>n capacidad de giro.</w:t>
      </w:r>
      <w:r>
        <w:rPr>
          <w:rFonts w:eastAsia="Times New Roman"/>
          <w:sz w:val="30"/>
          <w:szCs w:val="30"/>
          <w:lang w:val="es-ES"/>
        </w:rPr>
        <w:br/>
      </w:r>
      <w:r>
        <w:rPr>
          <w:rFonts w:eastAsia="Times New Roman"/>
          <w:sz w:val="30"/>
          <w:szCs w:val="30"/>
          <w:lang w:val="es-ES"/>
        </w:rPr>
        <w:br/>
        <w:t>Las entidades del sistema financiero nacional identificarán de manera clara en sus registros la titularidad de las cuentas del inciso precedente y remitirán al Banco Central del Ecuador los saldos y movimientos que se realicen con car</w:t>
      </w:r>
      <w:r>
        <w:rPr>
          <w:rFonts w:eastAsia="Times New Roman"/>
          <w:sz w:val="30"/>
          <w:szCs w:val="30"/>
          <w:lang w:val="es-ES"/>
        </w:rPr>
        <w:t xml:space="preserve">go a aquellas, con la periodicidad que éste </w:t>
      </w:r>
      <w:r>
        <w:rPr>
          <w:rFonts w:eastAsia="Times New Roman"/>
          <w:sz w:val="30"/>
          <w:szCs w:val="30"/>
          <w:lang w:val="es-ES"/>
        </w:rPr>
        <w:lastRenderedPageBreak/>
        <w:t>determine.</w:t>
      </w:r>
      <w:r>
        <w:rPr>
          <w:rFonts w:eastAsia="Times New Roman"/>
          <w:sz w:val="30"/>
          <w:szCs w:val="30"/>
          <w:lang w:val="es-ES"/>
        </w:rPr>
        <w:br/>
      </w:r>
      <w:r>
        <w:rPr>
          <w:rFonts w:eastAsia="Times New Roman"/>
          <w:sz w:val="30"/>
          <w:szCs w:val="30"/>
          <w:lang w:val="es-ES"/>
        </w:rPr>
        <w:br/>
        <w:t>La inobservancia de este artículo será sancionado conforme a la ley.</w:t>
      </w:r>
    </w:p>
    <w:p w:rsidR="00000000" w:rsidRDefault="0018461E">
      <w:pPr>
        <w:divId w:val="981544862"/>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 xml:space="preserve">Operaciones financieras del sector público no financiero. </w:t>
      </w:r>
      <w:r>
        <w:rPr>
          <w:rFonts w:eastAsia="Times New Roman"/>
          <w:sz w:val="30"/>
          <w:szCs w:val="30"/>
          <w:lang w:val="es-ES"/>
        </w:rPr>
        <w:t xml:space="preserve">Las instituciones, organismos y empresas del sector público no </w:t>
      </w:r>
      <w:r>
        <w:rPr>
          <w:rFonts w:eastAsia="Times New Roman"/>
          <w:sz w:val="30"/>
          <w:szCs w:val="30"/>
          <w:lang w:val="es-ES"/>
        </w:rPr>
        <w:t>financiero deberán efectuar por medio del Banco Central del Ecuador, o las cuentas de éste, todos los pagos que tuvieren que hacer, así como todas las operaciones financieras que requieran, de acuerdo con las regulaciones y excepciones que dicte la Junta d</w:t>
      </w:r>
      <w:r>
        <w:rPr>
          <w:rFonts w:eastAsia="Times New Roman"/>
          <w:sz w:val="30"/>
          <w:szCs w:val="30"/>
          <w:lang w:val="es-ES"/>
        </w:rPr>
        <w:t>e Política y Regulación Monetaria y Financiera.</w:t>
      </w:r>
      <w:r>
        <w:rPr>
          <w:rFonts w:eastAsia="Times New Roman"/>
          <w:sz w:val="30"/>
          <w:szCs w:val="30"/>
          <w:lang w:val="es-ES"/>
        </w:rPr>
        <w:br/>
      </w:r>
      <w:r>
        <w:rPr>
          <w:rFonts w:eastAsia="Times New Roman"/>
          <w:sz w:val="30"/>
          <w:szCs w:val="30"/>
          <w:lang w:val="es-ES"/>
        </w:rPr>
        <w:br/>
        <w:t>Las entidades del sector público no financiero no podrán realizar inversiones financieras, con excepción del ente rector de las finanzas públicas, las entidades de seguridad social, los Gobiernos Autónomos D</w:t>
      </w:r>
      <w:r>
        <w:rPr>
          <w:rFonts w:eastAsia="Times New Roman"/>
          <w:sz w:val="30"/>
          <w:szCs w:val="30"/>
          <w:lang w:val="es-ES"/>
        </w:rPr>
        <w:t>escentralizados, y la Corporación de Seguro de Depósitos y Fondo de Liquidez, salvo autorización expresa de la Junta.</w:t>
      </w:r>
      <w:r>
        <w:rPr>
          <w:rFonts w:eastAsia="Times New Roman"/>
          <w:sz w:val="30"/>
          <w:szCs w:val="30"/>
          <w:lang w:val="es-ES"/>
        </w:rPr>
        <w:br/>
      </w:r>
      <w:r>
        <w:rPr>
          <w:rFonts w:eastAsia="Times New Roman"/>
          <w:sz w:val="30"/>
          <w:szCs w:val="30"/>
          <w:lang w:val="es-ES"/>
        </w:rPr>
        <w:br/>
        <w:t>Las operaciones cursadas por las instituciones públicas o empresas públicas, a través del Banco Central del Ecuador, como agente financie</w:t>
      </w:r>
      <w:r>
        <w:rPr>
          <w:rFonts w:eastAsia="Times New Roman"/>
          <w:sz w:val="30"/>
          <w:szCs w:val="30"/>
          <w:lang w:val="es-ES"/>
        </w:rPr>
        <w:t>ro del Estado, ya sea en el país o en el exterior, son de naturaleza pública.</w:t>
      </w:r>
      <w:r>
        <w:rPr>
          <w:rFonts w:eastAsia="Times New Roman"/>
          <w:sz w:val="30"/>
          <w:szCs w:val="30"/>
          <w:lang w:val="es-ES"/>
        </w:rPr>
        <w:br/>
      </w:r>
      <w:r>
        <w:rPr>
          <w:rFonts w:eastAsia="Times New Roman"/>
          <w:sz w:val="30"/>
          <w:szCs w:val="30"/>
          <w:lang w:val="es-ES"/>
        </w:rPr>
        <w:br/>
        <w:t>La inobservancia de lo dispuesto en este artículo será sancionada de acuerdo a la ley.</w:t>
      </w:r>
    </w:p>
    <w:p w:rsidR="00000000" w:rsidRDefault="0018461E">
      <w:pPr>
        <w:divId w:val="1489445440"/>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 xml:space="preserve">Convenios de corresponsalía. </w:t>
      </w:r>
      <w:r>
        <w:rPr>
          <w:rFonts w:eastAsia="Times New Roman"/>
          <w:sz w:val="30"/>
          <w:szCs w:val="30"/>
          <w:lang w:val="es-ES"/>
        </w:rPr>
        <w:t>El Banco Central del Ecuador puede celebrar conveni</w:t>
      </w:r>
      <w:r>
        <w:rPr>
          <w:rFonts w:eastAsia="Times New Roman"/>
          <w:sz w:val="30"/>
          <w:szCs w:val="30"/>
          <w:lang w:val="es-ES"/>
        </w:rPr>
        <w:t>os de corresponsalía con las entidades del sistema financiero nacional o del exterior, para la recaudación, cobro y pago de recursos públicos y para otras operaciones financieras.</w:t>
      </w:r>
    </w:p>
    <w:p w:rsidR="00000000" w:rsidRDefault="0018461E">
      <w:pPr>
        <w:divId w:val="256866370"/>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 xml:space="preserve">Información sobre negociación de divisas distintas del dólar. </w:t>
      </w:r>
      <w:r>
        <w:rPr>
          <w:rFonts w:eastAsia="Times New Roman"/>
          <w:sz w:val="30"/>
          <w:szCs w:val="30"/>
          <w:lang w:val="es-ES"/>
        </w:rPr>
        <w:t xml:space="preserve">Las </w:t>
      </w:r>
      <w:r>
        <w:rPr>
          <w:rFonts w:eastAsia="Times New Roman"/>
          <w:sz w:val="30"/>
          <w:szCs w:val="30"/>
          <w:lang w:val="es-ES"/>
        </w:rPr>
        <w:t>entidades del sistema financiero nacional autorizadas a negociar en divisas distintas del dólar comunicarán al Banco Central del Ecuador, en la forma y con la periodicidad que la Junta determine, los montos y tipos de cambio de las operaciones que efectúen</w:t>
      </w:r>
      <w:r>
        <w:rPr>
          <w:rFonts w:eastAsia="Times New Roman"/>
          <w:sz w:val="30"/>
          <w:szCs w:val="30"/>
          <w:lang w:val="es-ES"/>
        </w:rPr>
        <w:t xml:space="preserve"> y le proporcionarán la información que el Banco requiera acerca del movimiento de sus cuentas en divisas. El incumplimiento de esta disposición será sancionado como infracción muy grave de acuerdo con este Código.</w:t>
      </w:r>
    </w:p>
    <w:p w:rsidR="00000000" w:rsidRDefault="0018461E">
      <w:pPr>
        <w:divId w:val="446698458"/>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Depósitos en garantía a favor d</w:t>
      </w:r>
      <w:r>
        <w:rPr>
          <w:rFonts w:eastAsia="Times New Roman"/>
          <w:b/>
          <w:bCs/>
          <w:sz w:val="30"/>
          <w:szCs w:val="30"/>
          <w:lang w:val="es-ES"/>
        </w:rPr>
        <w:t xml:space="preserve">el Estado. </w:t>
      </w:r>
      <w:r>
        <w:rPr>
          <w:rFonts w:eastAsia="Times New Roman"/>
          <w:sz w:val="30"/>
          <w:szCs w:val="30"/>
          <w:lang w:val="es-ES"/>
        </w:rPr>
        <w:t xml:space="preserve">Los depósitos en garantía, cauciones o fianzas en dinero a favor del Estado o de cualquier otra de las instituciones, organismos y empresas del sector </w:t>
      </w:r>
      <w:r>
        <w:rPr>
          <w:rFonts w:eastAsia="Times New Roman"/>
          <w:sz w:val="30"/>
          <w:szCs w:val="30"/>
          <w:lang w:val="es-ES"/>
        </w:rPr>
        <w:lastRenderedPageBreak/>
        <w:t>público y todos los demás depósitos en dinero que deban constituirse en garantía por mandato l</w:t>
      </w:r>
      <w:r>
        <w:rPr>
          <w:rFonts w:eastAsia="Times New Roman"/>
          <w:sz w:val="30"/>
          <w:szCs w:val="30"/>
          <w:lang w:val="es-ES"/>
        </w:rPr>
        <w:t>egal o judicial se harán en el Banco Central del Ecuador o en corresponsales autorizados por éste.</w:t>
      </w:r>
    </w:p>
    <w:p w:rsidR="00000000" w:rsidRDefault="0018461E">
      <w:pPr>
        <w:divId w:val="454370751"/>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 xml:space="preserve">Cuentas especiales. </w:t>
      </w:r>
      <w:r>
        <w:rPr>
          <w:rFonts w:eastAsia="Times New Roman"/>
          <w:sz w:val="30"/>
          <w:szCs w:val="30"/>
          <w:lang w:val="es-ES"/>
        </w:rPr>
        <w:t>La Junta de Política y Regulación Monetaria y Financiera podrá autorizar a entidades distintas de las que integran el Presupues</w:t>
      </w:r>
      <w:r>
        <w:rPr>
          <w:rFonts w:eastAsia="Times New Roman"/>
          <w:sz w:val="30"/>
          <w:szCs w:val="30"/>
          <w:lang w:val="es-ES"/>
        </w:rPr>
        <w:t>to General del Estado la creación de cuentas especiales dentro de la Cuenta Corriente Única del Tesoro Nacional.</w:t>
      </w:r>
      <w:r>
        <w:rPr>
          <w:rFonts w:eastAsia="Times New Roman"/>
          <w:sz w:val="30"/>
          <w:szCs w:val="30"/>
          <w:lang w:val="es-ES"/>
        </w:rPr>
        <w:br/>
      </w:r>
      <w:r>
        <w:rPr>
          <w:rFonts w:eastAsia="Times New Roman"/>
          <w:sz w:val="30"/>
          <w:szCs w:val="30"/>
          <w:lang w:val="es-ES"/>
        </w:rPr>
        <w:br/>
        <w:t>Las cuentas especiales de todas las empresas públicas nacionales son parte de la Cuenta Única del Tesoro Nacional.</w:t>
      </w:r>
    </w:p>
    <w:p w:rsidR="00000000" w:rsidRDefault="0018461E">
      <w:pPr>
        <w:divId w:val="808090820"/>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Inembargabilidad.</w:t>
      </w:r>
      <w:r>
        <w:rPr>
          <w:rFonts w:eastAsia="Times New Roman"/>
          <w:b/>
          <w:bCs/>
          <w:sz w:val="30"/>
          <w:szCs w:val="30"/>
          <w:lang w:val="es-ES"/>
        </w:rPr>
        <w:t xml:space="preserve"> </w:t>
      </w:r>
      <w:r>
        <w:rPr>
          <w:rFonts w:eastAsia="Times New Roman"/>
          <w:sz w:val="30"/>
          <w:szCs w:val="30"/>
          <w:lang w:val="es-ES"/>
        </w:rPr>
        <w:t xml:space="preserve">Los depósitos de entidades públicas y los recursos de la Corporación de Seguro de Depósitos, Fondo de Liquidez y Fondo de Seguros Privados en el Banco Central del Ecuador o en sus cuentas, tanto en el país como en el exterior, son inembargables, gozan de </w:t>
      </w:r>
      <w:r>
        <w:rPr>
          <w:rFonts w:eastAsia="Times New Roman"/>
          <w:sz w:val="30"/>
          <w:szCs w:val="30"/>
          <w:lang w:val="es-ES"/>
        </w:rPr>
        <w:t>inmunidad soberana y no pueden ser objeto de ningún tipo de apremio ni medida preventiva o cautelar.</w:t>
      </w:r>
      <w:r>
        <w:rPr>
          <w:rFonts w:eastAsia="Times New Roman"/>
          <w:sz w:val="30"/>
          <w:szCs w:val="30"/>
          <w:lang w:val="es-ES"/>
        </w:rPr>
        <w:br/>
      </w:r>
      <w:r>
        <w:rPr>
          <w:rFonts w:eastAsia="Times New Roman"/>
          <w:sz w:val="30"/>
          <w:szCs w:val="30"/>
          <w:lang w:val="es-ES"/>
        </w:rPr>
        <w:br/>
        <w:t>El Estado ecuatoriano otorgará igual trato a los activos depositados o encomendados en el país por bancos centrales o autoridades monetarias de otros país</w:t>
      </w:r>
      <w:r>
        <w:rPr>
          <w:rFonts w:eastAsia="Times New Roman"/>
          <w:sz w:val="30"/>
          <w:szCs w:val="30"/>
          <w:lang w:val="es-ES"/>
        </w:rPr>
        <w:t>es, bajo el principio de reciprocidad.</w:t>
      </w:r>
    </w:p>
    <w:p w:rsidR="00000000" w:rsidRDefault="0018461E">
      <w:pPr>
        <w:divId w:val="621880279"/>
        <w:rPr>
          <w:rFonts w:eastAsia="Times New Roman"/>
          <w:sz w:val="30"/>
          <w:szCs w:val="30"/>
          <w:lang w:val="es-ES"/>
        </w:rPr>
      </w:pPr>
      <w:r>
        <w:rPr>
          <w:rFonts w:eastAsia="Times New Roman"/>
          <w:sz w:val="30"/>
          <w:szCs w:val="30"/>
          <w:lang w:val="es-ES"/>
        </w:rPr>
        <w:t xml:space="preserve">Art. 47.- </w:t>
      </w:r>
      <w:r>
        <w:rPr>
          <w:rFonts w:eastAsia="Times New Roman"/>
          <w:b/>
          <w:bCs/>
          <w:sz w:val="30"/>
          <w:szCs w:val="30"/>
          <w:lang w:val="es-ES"/>
        </w:rPr>
        <w:t xml:space="preserve">Estructura administrativa. </w:t>
      </w:r>
      <w:r>
        <w:rPr>
          <w:rFonts w:eastAsia="Times New Roman"/>
          <w:sz w:val="30"/>
          <w:szCs w:val="30"/>
          <w:lang w:val="es-ES"/>
        </w:rPr>
        <w:t>La estructura administrativa del Banco Central del Ecuador se establecerá en el estatuto y en el respectivo orgánico funcional. El orgánico funcional deberá procesarse de conformid</w:t>
      </w:r>
      <w:r>
        <w:rPr>
          <w:rFonts w:eastAsia="Times New Roman"/>
          <w:sz w:val="30"/>
          <w:szCs w:val="30"/>
          <w:lang w:val="es-ES"/>
        </w:rPr>
        <w:t>ad con las disposiciones de la Ley Orgánica del Servicio Público.</w:t>
      </w:r>
    </w:p>
    <w:p w:rsidR="00000000" w:rsidRDefault="0018461E">
      <w:pPr>
        <w:divId w:val="2037844701"/>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 xml:space="preserve">Gerente General. </w:t>
      </w:r>
      <w:r>
        <w:rPr>
          <w:rFonts w:eastAsia="Times New Roman"/>
          <w:sz w:val="30"/>
          <w:szCs w:val="30"/>
          <w:lang w:val="es-ES"/>
        </w:rPr>
        <w:t>El Gerente General del Banco Central del Ecuador será designado por la Junta de Política y Regulación Monetaria y Financiera.</w:t>
      </w:r>
    </w:p>
    <w:p w:rsidR="00000000" w:rsidRDefault="0018461E">
      <w:pPr>
        <w:divId w:val="1355379160"/>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Funciones del Gerente Gener</w:t>
      </w:r>
      <w:r>
        <w:rPr>
          <w:rFonts w:eastAsia="Times New Roman"/>
          <w:b/>
          <w:bCs/>
          <w:sz w:val="30"/>
          <w:szCs w:val="30"/>
          <w:lang w:val="es-ES"/>
        </w:rPr>
        <w:t xml:space="preserve">al. </w:t>
      </w:r>
      <w:r>
        <w:rPr>
          <w:rFonts w:eastAsia="Times New Roman"/>
          <w:sz w:val="30"/>
          <w:szCs w:val="30"/>
          <w:lang w:val="es-ES"/>
        </w:rPr>
        <w:t>El Gerente General del Banco Central del Ecuador tendrá las siguientes funciones:</w:t>
      </w:r>
      <w:r>
        <w:rPr>
          <w:rFonts w:eastAsia="Times New Roman"/>
          <w:sz w:val="30"/>
          <w:szCs w:val="30"/>
          <w:lang w:val="es-ES"/>
        </w:rPr>
        <w:br/>
      </w:r>
      <w:r>
        <w:rPr>
          <w:rFonts w:eastAsia="Times New Roman"/>
          <w:sz w:val="30"/>
          <w:szCs w:val="30"/>
          <w:lang w:val="es-ES"/>
        </w:rPr>
        <w:br/>
        <w:t>1. Ejercer la representación legal, judicial y extrajudicial del Banco Central del Ecuador;</w:t>
      </w:r>
      <w:r>
        <w:rPr>
          <w:rFonts w:eastAsia="Times New Roman"/>
          <w:sz w:val="30"/>
          <w:szCs w:val="30"/>
          <w:lang w:val="es-ES"/>
        </w:rPr>
        <w:br/>
      </w:r>
      <w:r>
        <w:rPr>
          <w:rFonts w:eastAsia="Times New Roman"/>
          <w:sz w:val="30"/>
          <w:szCs w:val="30"/>
          <w:lang w:val="es-ES"/>
        </w:rPr>
        <w:br/>
        <w:t>2. Dirigir, coordinar y supervisar la gestión técnica, operativa y administr</w:t>
      </w:r>
      <w:r>
        <w:rPr>
          <w:rFonts w:eastAsia="Times New Roman"/>
          <w:sz w:val="30"/>
          <w:szCs w:val="30"/>
          <w:lang w:val="es-ES"/>
        </w:rPr>
        <w:t>ativa del Banco Central del Ecuador, para lo cual expedirá los reglamentos internos correspondientes;</w:t>
      </w:r>
      <w:r>
        <w:rPr>
          <w:rFonts w:eastAsia="Times New Roman"/>
          <w:sz w:val="30"/>
          <w:szCs w:val="30"/>
          <w:lang w:val="es-ES"/>
        </w:rPr>
        <w:br/>
      </w:r>
      <w:r>
        <w:rPr>
          <w:rFonts w:eastAsia="Times New Roman"/>
          <w:sz w:val="30"/>
          <w:szCs w:val="30"/>
          <w:lang w:val="es-ES"/>
        </w:rPr>
        <w:br/>
        <w:t>3. Seleccionar y contratar al auditor externo calificado previamente por la Superintendencia de Bancos;</w:t>
      </w:r>
      <w:r>
        <w:rPr>
          <w:rFonts w:eastAsia="Times New Roman"/>
          <w:sz w:val="30"/>
          <w:szCs w:val="30"/>
          <w:lang w:val="es-ES"/>
        </w:rPr>
        <w:br/>
      </w:r>
      <w:r>
        <w:rPr>
          <w:rFonts w:eastAsia="Times New Roman"/>
          <w:sz w:val="30"/>
          <w:szCs w:val="30"/>
          <w:lang w:val="es-ES"/>
        </w:rPr>
        <w:lastRenderedPageBreak/>
        <w:br/>
        <w:t>4. Actuar como autoridad nominadora;</w:t>
      </w:r>
      <w:r>
        <w:rPr>
          <w:rFonts w:eastAsia="Times New Roman"/>
          <w:sz w:val="30"/>
          <w:szCs w:val="30"/>
          <w:lang w:val="es-ES"/>
        </w:rPr>
        <w:br/>
      </w:r>
      <w:r>
        <w:rPr>
          <w:rFonts w:eastAsia="Times New Roman"/>
          <w:sz w:val="30"/>
          <w:szCs w:val="30"/>
          <w:lang w:val="es-ES"/>
        </w:rPr>
        <w:br/>
        <w:t>5. Vigilar</w:t>
      </w:r>
      <w:r>
        <w:rPr>
          <w:rFonts w:eastAsia="Times New Roman"/>
          <w:sz w:val="30"/>
          <w:szCs w:val="30"/>
          <w:lang w:val="es-ES"/>
        </w:rPr>
        <w:t xml:space="preserve"> el cumplimiento de las regulaciones que dicte la Junta de Política y Regulación Monetaria y Financiera, en el ámbito de su competencia;</w:t>
      </w:r>
      <w:r>
        <w:rPr>
          <w:rFonts w:eastAsia="Times New Roman"/>
          <w:sz w:val="30"/>
          <w:szCs w:val="30"/>
          <w:lang w:val="es-ES"/>
        </w:rPr>
        <w:br/>
      </w:r>
      <w:r>
        <w:rPr>
          <w:rFonts w:eastAsia="Times New Roman"/>
          <w:sz w:val="30"/>
          <w:szCs w:val="30"/>
          <w:lang w:val="es-ES"/>
        </w:rPr>
        <w:br/>
        <w:t>6. Autorizar las operaciones del Banco Central del Ecuador que no estén expresamente reservadas a la Junta de Política</w:t>
      </w:r>
      <w:r>
        <w:rPr>
          <w:rFonts w:eastAsia="Times New Roman"/>
          <w:sz w:val="30"/>
          <w:szCs w:val="30"/>
          <w:lang w:val="es-ES"/>
        </w:rPr>
        <w:t xml:space="preserve"> y Regulación Monetaria y Financiera;</w:t>
      </w:r>
      <w:r>
        <w:rPr>
          <w:rFonts w:eastAsia="Times New Roman"/>
          <w:sz w:val="30"/>
          <w:szCs w:val="30"/>
          <w:lang w:val="es-ES"/>
        </w:rPr>
        <w:br/>
      </w:r>
      <w:r>
        <w:rPr>
          <w:rFonts w:eastAsia="Times New Roman"/>
          <w:sz w:val="30"/>
          <w:szCs w:val="30"/>
          <w:lang w:val="es-ES"/>
        </w:rPr>
        <w:br/>
        <w:t>7. Actuar, dentro de sus facultades, en las relaciones o negociaciones con bancos extranjeros, con otros bancos centrales y con las instituciones financieras internacionales; y,</w:t>
      </w:r>
      <w:r>
        <w:rPr>
          <w:rFonts w:eastAsia="Times New Roman"/>
          <w:sz w:val="30"/>
          <w:szCs w:val="30"/>
          <w:lang w:val="es-ES"/>
        </w:rPr>
        <w:br/>
      </w:r>
      <w:r>
        <w:rPr>
          <w:rFonts w:eastAsia="Times New Roman"/>
          <w:sz w:val="30"/>
          <w:szCs w:val="30"/>
          <w:lang w:val="es-ES"/>
        </w:rPr>
        <w:br/>
        <w:t>8. Las demás que le correspondan de ac</w:t>
      </w:r>
      <w:r>
        <w:rPr>
          <w:rFonts w:eastAsia="Times New Roman"/>
          <w:sz w:val="30"/>
          <w:szCs w:val="30"/>
          <w:lang w:val="es-ES"/>
        </w:rPr>
        <w:t>uerdo con este Código.</w:t>
      </w:r>
    </w:p>
    <w:p w:rsidR="00000000" w:rsidRDefault="0018461E">
      <w:pPr>
        <w:divId w:val="100879487"/>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 xml:space="preserve">Requisitos para Gerente General. </w:t>
      </w:r>
      <w:r>
        <w:rPr>
          <w:rFonts w:eastAsia="Times New Roman"/>
          <w:sz w:val="30"/>
          <w:szCs w:val="30"/>
          <w:lang w:val="es-ES"/>
        </w:rPr>
        <w:t>Para ser designado Gerente General del Banco Central del Ecuador se deberá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tercer nivel en economí</w:t>
      </w:r>
      <w:r>
        <w:rPr>
          <w:rFonts w:eastAsia="Times New Roman"/>
          <w:sz w:val="30"/>
          <w:szCs w:val="30"/>
          <w:lang w:val="es-ES"/>
        </w:rPr>
        <w:t>a, finanzas, administración, derecho o áreas relacionadas;</w:t>
      </w:r>
      <w:r>
        <w:rPr>
          <w:rFonts w:eastAsia="Times New Roman"/>
          <w:sz w:val="30"/>
          <w:szCs w:val="30"/>
          <w:lang w:val="es-ES"/>
        </w:rPr>
        <w:br/>
      </w:r>
      <w:r>
        <w:rPr>
          <w:rFonts w:eastAsia="Times New Roman"/>
          <w:sz w:val="30"/>
          <w:szCs w:val="30"/>
          <w:lang w:val="es-ES"/>
        </w:rPr>
        <w:br/>
        <w:t>3. Experiencia profesional en áreas relacionadas de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w:t>
      </w:r>
      <w:r>
        <w:rPr>
          <w:rFonts w:eastAsia="Times New Roman"/>
          <w:sz w:val="30"/>
          <w:szCs w:val="30"/>
          <w:lang w:val="es-ES"/>
        </w:rPr>
        <w:t>úblico.</w:t>
      </w:r>
    </w:p>
    <w:p w:rsidR="00000000" w:rsidRDefault="0018461E">
      <w:pPr>
        <w:divId w:val="1225291401"/>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 xml:space="preserve">Régimen Laboral. </w:t>
      </w:r>
      <w:r>
        <w:rPr>
          <w:rFonts w:eastAsia="Times New Roman"/>
          <w:sz w:val="30"/>
          <w:szCs w:val="30"/>
          <w:lang w:val="es-ES"/>
        </w:rPr>
        <w:t>Los funcionarios, servidores y trabajadores del Banco Central del Ecuador estarán sujetos a las disposiciones de la Ley Orgánica del Servicio Público y Código del Trabajo, según el caso.</w:t>
      </w:r>
    </w:p>
    <w:p w:rsidR="00000000" w:rsidRDefault="0018461E">
      <w:pPr>
        <w:divId w:val="418522822"/>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 xml:space="preserve">Fuero. </w:t>
      </w:r>
      <w:r>
        <w:rPr>
          <w:rFonts w:eastAsia="Times New Roman"/>
          <w:sz w:val="30"/>
          <w:szCs w:val="30"/>
          <w:lang w:val="es-ES"/>
        </w:rPr>
        <w:t>El Gerente Genera</w:t>
      </w:r>
      <w:r>
        <w:rPr>
          <w:rFonts w:eastAsia="Times New Roman"/>
          <w:sz w:val="30"/>
          <w:szCs w:val="30"/>
          <w:lang w:val="es-ES"/>
        </w:rPr>
        <w:t xml:space="preserve">l, el subgerente general, directores y funcionarios designados para participar en los procesos de supervisión monetarios y del Sistema Nacional de Pagos, gozarán de fuero de Corte Nacional de Justicia, por los actos y decisiones </w:t>
      </w:r>
      <w:r>
        <w:rPr>
          <w:rFonts w:eastAsia="Times New Roman"/>
          <w:sz w:val="30"/>
          <w:szCs w:val="30"/>
          <w:lang w:val="es-ES"/>
        </w:rPr>
        <w:lastRenderedPageBreak/>
        <w:t>administrativas que adopten</w:t>
      </w:r>
      <w:r>
        <w:rPr>
          <w:rFonts w:eastAsia="Times New Roman"/>
          <w:sz w:val="30"/>
          <w:szCs w:val="30"/>
          <w:lang w:val="es-ES"/>
        </w:rPr>
        <w:t xml:space="preserve"> en el ejercicio de sus funciones específicas.</w:t>
      </w:r>
    </w:p>
    <w:p w:rsidR="00000000" w:rsidRDefault="0018461E">
      <w:pPr>
        <w:divId w:val="371000112"/>
        <w:rPr>
          <w:rFonts w:eastAsia="Times New Roman"/>
          <w:sz w:val="30"/>
          <w:szCs w:val="30"/>
          <w:lang w:val="es-ES"/>
        </w:rPr>
      </w:pPr>
      <w:r>
        <w:rPr>
          <w:rFonts w:eastAsia="Times New Roman"/>
          <w:sz w:val="30"/>
          <w:szCs w:val="30"/>
          <w:lang w:val="es-ES"/>
        </w:rPr>
        <w:t xml:space="preserve">Art. 53.- </w:t>
      </w:r>
      <w:r>
        <w:rPr>
          <w:rFonts w:eastAsia="Times New Roman"/>
          <w:b/>
          <w:bCs/>
          <w:sz w:val="30"/>
          <w:szCs w:val="30"/>
          <w:lang w:val="es-ES"/>
        </w:rPr>
        <w:t xml:space="preserve">Prohibiciones. </w:t>
      </w:r>
      <w:r>
        <w:rPr>
          <w:rFonts w:eastAsia="Times New Roman"/>
          <w:sz w:val="30"/>
          <w:szCs w:val="30"/>
          <w:lang w:val="es-ES"/>
        </w:rPr>
        <w:t>El Gerente General y los servidores del Banco Central del Ecuador no podrán integrar los directorios u organismos que hagan sus veces en entidades financieras privadas, en entidades pr</w:t>
      </w:r>
      <w:r>
        <w:rPr>
          <w:rFonts w:eastAsia="Times New Roman"/>
          <w:sz w:val="30"/>
          <w:szCs w:val="30"/>
          <w:lang w:val="es-ES"/>
        </w:rPr>
        <w:t>ivadas del mercado de valores, en compañías de seguros y reaseguros privadas ni en entidades del sector financiero popular y solidario. El Gerente General no podrá desempeñar otras funciones públicas, con excepción de las delegaciones que le confiera el Pr</w:t>
      </w:r>
      <w:r>
        <w:rPr>
          <w:rFonts w:eastAsia="Times New Roman"/>
          <w:sz w:val="30"/>
          <w:szCs w:val="30"/>
          <w:lang w:val="es-ES"/>
        </w:rPr>
        <w:t>esidente de la República y la docencia universitaria.</w:t>
      </w:r>
      <w:r>
        <w:rPr>
          <w:rFonts w:eastAsia="Times New Roman"/>
          <w:sz w:val="30"/>
          <w:szCs w:val="30"/>
          <w:lang w:val="es-ES"/>
        </w:rPr>
        <w:br/>
      </w:r>
      <w:r>
        <w:rPr>
          <w:rFonts w:eastAsia="Times New Roman"/>
          <w:sz w:val="30"/>
          <w:szCs w:val="30"/>
          <w:lang w:val="es-ES"/>
        </w:rPr>
        <w:br/>
        <w:t>El Gerente General y los servidores del Banco Central del Ecuador, están sujetos a las limitaciones dispuestas en el artículo 8.</w:t>
      </w:r>
    </w:p>
    <w:p w:rsidR="00000000" w:rsidRDefault="0018461E">
      <w:pPr>
        <w:divId w:val="1609463317"/>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 xml:space="preserve">Reclamos y recursos. </w:t>
      </w:r>
      <w:r>
        <w:rPr>
          <w:rFonts w:eastAsia="Times New Roman"/>
          <w:sz w:val="30"/>
          <w:szCs w:val="30"/>
          <w:lang w:val="es-ES"/>
        </w:rPr>
        <w:t>Los actos administrativos o normativos ex</w:t>
      </w:r>
      <w:r>
        <w:rPr>
          <w:rFonts w:eastAsia="Times New Roman"/>
          <w:sz w:val="30"/>
          <w:szCs w:val="30"/>
          <w:lang w:val="es-ES"/>
        </w:rPr>
        <w:t>pedidos por el Banco Central del Ecuador se sujetarán a las normas y procedimientos determinados por el Estatuto del Régimen Jurídico Administrativo de la Función Ejecutiva, respecto de su impugnación, modificación, revocatoria o derogatoria, en su caso.</w:t>
      </w:r>
    </w:p>
    <w:p w:rsidR="00000000" w:rsidRDefault="0018461E">
      <w:pPr>
        <w:divId w:val="720178896"/>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55.- </w:t>
      </w:r>
      <w:r>
        <w:rPr>
          <w:rFonts w:eastAsia="Times New Roman"/>
          <w:b/>
          <w:bCs/>
          <w:sz w:val="30"/>
          <w:szCs w:val="30"/>
          <w:lang w:val="es-ES"/>
        </w:rPr>
        <w:t xml:space="preserve">Publicaciones. </w:t>
      </w:r>
      <w:r>
        <w:rPr>
          <w:rFonts w:eastAsia="Times New Roman"/>
          <w:sz w:val="30"/>
          <w:szCs w:val="30"/>
          <w:lang w:val="es-ES"/>
        </w:rPr>
        <w:t>El Banco Central del Ecuador elaborará y publicará en su página web y/o por cualquier otro medio, con la periodicidad que determine la Gerencia General, la siguiente información:</w:t>
      </w:r>
      <w:r>
        <w:rPr>
          <w:rFonts w:eastAsia="Times New Roman"/>
          <w:sz w:val="30"/>
          <w:szCs w:val="30"/>
          <w:lang w:val="es-ES"/>
        </w:rPr>
        <w:br/>
      </w:r>
      <w:r>
        <w:rPr>
          <w:rFonts w:eastAsia="Times New Roman"/>
          <w:sz w:val="30"/>
          <w:szCs w:val="30"/>
          <w:lang w:val="es-ES"/>
        </w:rPr>
        <w:br/>
        <w:t>1. Las cifras correspondientes a los indicadores mon</w:t>
      </w:r>
      <w:r>
        <w:rPr>
          <w:rFonts w:eastAsia="Times New Roman"/>
          <w:sz w:val="30"/>
          <w:szCs w:val="30"/>
          <w:lang w:val="es-ES"/>
        </w:rPr>
        <w:t>etarios, financieros, crediticios y cambiarios;</w:t>
      </w:r>
      <w:r>
        <w:rPr>
          <w:rFonts w:eastAsia="Times New Roman"/>
          <w:sz w:val="30"/>
          <w:szCs w:val="30"/>
          <w:lang w:val="es-ES"/>
        </w:rPr>
        <w:br/>
      </w:r>
      <w:r>
        <w:rPr>
          <w:rFonts w:eastAsia="Times New Roman"/>
          <w:sz w:val="30"/>
          <w:szCs w:val="30"/>
          <w:lang w:val="es-ES"/>
        </w:rPr>
        <w:br/>
        <w:t>2. Las estadísticas de síntesis macroeconómica del país;</w:t>
      </w:r>
      <w:r>
        <w:rPr>
          <w:rFonts w:eastAsia="Times New Roman"/>
          <w:sz w:val="30"/>
          <w:szCs w:val="30"/>
          <w:lang w:val="es-ES"/>
        </w:rPr>
        <w:br/>
      </w:r>
      <w:r>
        <w:rPr>
          <w:rFonts w:eastAsia="Times New Roman"/>
          <w:sz w:val="30"/>
          <w:szCs w:val="30"/>
          <w:lang w:val="es-ES"/>
        </w:rPr>
        <w:br/>
        <w:t>3. Las tasas de interés;</w:t>
      </w:r>
      <w:r>
        <w:rPr>
          <w:rFonts w:eastAsia="Times New Roman"/>
          <w:sz w:val="30"/>
          <w:szCs w:val="30"/>
          <w:lang w:val="es-ES"/>
        </w:rPr>
        <w:br/>
      </w:r>
      <w:r>
        <w:rPr>
          <w:rFonts w:eastAsia="Times New Roman"/>
          <w:sz w:val="30"/>
          <w:szCs w:val="30"/>
          <w:lang w:val="es-ES"/>
        </w:rPr>
        <w:br/>
        <w:t>4. Los sistemas de pago autorizados y las instituciones autorizadas a operar; y,</w:t>
      </w:r>
      <w:r>
        <w:rPr>
          <w:rFonts w:eastAsia="Times New Roman"/>
          <w:sz w:val="30"/>
          <w:szCs w:val="30"/>
          <w:lang w:val="es-ES"/>
        </w:rPr>
        <w:br/>
      </w:r>
      <w:r>
        <w:rPr>
          <w:rFonts w:eastAsia="Times New Roman"/>
          <w:sz w:val="30"/>
          <w:szCs w:val="30"/>
          <w:lang w:val="es-ES"/>
        </w:rPr>
        <w:br/>
        <w:t>5. La información adicional requerida por</w:t>
      </w:r>
      <w:r>
        <w:rPr>
          <w:rFonts w:eastAsia="Times New Roman"/>
          <w:sz w:val="30"/>
          <w:szCs w:val="30"/>
          <w:lang w:val="es-ES"/>
        </w:rPr>
        <w:t xml:space="preserve"> la Junta.</w:t>
      </w:r>
      <w:r>
        <w:rPr>
          <w:rFonts w:eastAsia="Times New Roman"/>
          <w:sz w:val="30"/>
          <w:szCs w:val="30"/>
          <w:lang w:val="es-ES"/>
        </w:rPr>
        <w:br/>
      </w:r>
      <w:r>
        <w:rPr>
          <w:rFonts w:eastAsia="Times New Roman"/>
          <w:sz w:val="30"/>
          <w:szCs w:val="30"/>
          <w:lang w:val="es-ES"/>
        </w:rPr>
        <w:br/>
        <w:t>Para el cumplimiento de esta disposición, el Banco podrá requerir a las personas naturales y jurídicas de derecho público y privado la información que estime necesaria.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publicación del balance del Banco Central del Ecuador se la realizará a</w:t>
      </w:r>
      <w:r>
        <w:rPr>
          <w:rFonts w:eastAsia="Times New Roman"/>
          <w:sz w:val="30"/>
          <w:szCs w:val="30"/>
          <w:lang w:val="es-ES"/>
        </w:rPr>
        <w:t>l menos mensualmente.</w:t>
      </w:r>
    </w:p>
    <w:p w:rsidR="00000000" w:rsidRDefault="0018461E">
      <w:pPr>
        <w:divId w:val="1111899924"/>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 xml:space="preserve">Prohibiciones. </w:t>
      </w:r>
      <w:r>
        <w:rPr>
          <w:rFonts w:eastAsia="Times New Roman"/>
          <w:sz w:val="30"/>
          <w:szCs w:val="30"/>
          <w:lang w:val="es-ES"/>
        </w:rPr>
        <w:t>Se prohíbe al Banco Central del Ecuador lo siguiente:</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3" name="Imagen 3"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w:t>
      </w:r>
      <w:r>
        <w:rPr>
          <w:rFonts w:eastAsia="Times New Roman"/>
          <w:sz w:val="30"/>
          <w:szCs w:val="30"/>
          <w:lang w:val="es-ES"/>
        </w:rPr>
        <w:t xml:space="preserve"> num. 2 de la Disposición Reformatoria Segunda la Ley s/n, R.O. 986-S, 18-IV-2017).- Adquirir o admitir en garantía acciones de compañías de cualquier clase y participar, directa o indirectamente, en empresas o sociedades, con excepción de las acciones o p</w:t>
      </w:r>
      <w:r>
        <w:rPr>
          <w:rFonts w:eastAsia="Times New Roman"/>
          <w:sz w:val="30"/>
          <w:szCs w:val="30"/>
          <w:lang w:val="es-ES"/>
        </w:rPr>
        <w:t>articipaciones que adquiera en instituciones monetarias o financieras internacionales multilaterales o en entidades del sector financiero público;</w:t>
      </w:r>
      <w:r>
        <w:rPr>
          <w:rFonts w:eastAsia="Times New Roman"/>
          <w:sz w:val="30"/>
          <w:szCs w:val="30"/>
          <w:lang w:val="es-ES"/>
        </w:rPr>
        <w:br/>
      </w:r>
      <w:r>
        <w:rPr>
          <w:rFonts w:eastAsia="Times New Roman"/>
          <w:sz w:val="30"/>
          <w:szCs w:val="30"/>
          <w:lang w:val="es-ES"/>
        </w:rPr>
        <w:br/>
        <w:t xml:space="preserve">2. Asumir con recursos del Banco obligaciones directas o indirectas, subsidios, ayudas o transferencias que </w:t>
      </w:r>
      <w:r>
        <w:rPr>
          <w:rFonts w:eastAsia="Times New Roman"/>
          <w:sz w:val="30"/>
          <w:szCs w:val="30"/>
          <w:lang w:val="es-ES"/>
        </w:rPr>
        <w:t>correspondan al gobierno nacional y demás entidades y empresas del sector público, bajo cualquier modalidad, salvo la implementación de contingentes de las empresas públicas;</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4" name="Imagen 4"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la Disposición Reformatoria segunda de la Ley s/n, R.O. 802-2S, 21-VII-2016).- Conceder con recursos del Banco Central del Ecuador ayudas, donaciones o contribuciones a favor de cualquier persona natural o jurídica, pública o privada, salvo </w:t>
      </w:r>
      <w:r>
        <w:rPr>
          <w:rFonts w:eastAsia="Times New Roman"/>
          <w:sz w:val="30"/>
          <w:szCs w:val="30"/>
          <w:lang w:val="es-ES"/>
        </w:rPr>
        <w:t>aquellos bienes propios, cuyo traspaso a otras entidades del sector público a título gratuito se podrá realizar conforme lo previsto en la ley.</w:t>
      </w:r>
      <w:r>
        <w:rPr>
          <w:rFonts w:eastAsia="Times New Roman"/>
          <w:sz w:val="30"/>
          <w:szCs w:val="30"/>
          <w:lang w:val="es-ES"/>
        </w:rPr>
        <w:br/>
      </w:r>
      <w:r>
        <w:rPr>
          <w:rFonts w:eastAsia="Times New Roman"/>
          <w:sz w:val="30"/>
          <w:szCs w:val="30"/>
          <w:lang w:val="es-ES"/>
        </w:rPr>
        <w:br/>
        <w:t>Las prohibiciones establecidas en el inciso anterior no limitan las facultades del Banco Central del Ecuador de</w:t>
      </w:r>
      <w:r>
        <w:rPr>
          <w:rFonts w:eastAsia="Times New Roman"/>
          <w:sz w:val="30"/>
          <w:szCs w:val="30"/>
          <w:lang w:val="es-ES"/>
        </w:rPr>
        <w:t xml:space="preserve"> instrumentar políticas para disminuir el costo del crédito y del financiamiento a través de la inversión de excedentes de liquidez y de la ventanilla de redescuento; incentivar la formalización de las transacciones a través del Sistema Nacional de Pagos, </w:t>
      </w:r>
      <w:r>
        <w:rPr>
          <w:rFonts w:eastAsia="Times New Roman"/>
          <w:sz w:val="30"/>
          <w:szCs w:val="30"/>
          <w:lang w:val="es-ES"/>
        </w:rPr>
        <w:t>sus instrumentos y sus servicios; y, para la detección temprana de transacciones inusuales o sospechosas que pudieren tener relación con actividades vinculadas al lavado de activos; y,</w:t>
      </w:r>
      <w:r>
        <w:rPr>
          <w:rFonts w:eastAsia="Times New Roman"/>
          <w:sz w:val="30"/>
          <w:szCs w:val="30"/>
          <w:lang w:val="es-ES"/>
        </w:rPr>
        <w:br/>
      </w:r>
      <w:r>
        <w:rPr>
          <w:rFonts w:eastAsia="Times New Roman"/>
          <w:sz w:val="30"/>
          <w:szCs w:val="30"/>
          <w:lang w:val="es-ES"/>
        </w:rPr>
        <w:br/>
        <w:t>4. Garantizar y contragarantizar operaciones del sector privado. Dicha</w:t>
      </w:r>
      <w:r>
        <w:rPr>
          <w:rFonts w:eastAsia="Times New Roman"/>
          <w:sz w:val="30"/>
          <w:szCs w:val="30"/>
          <w:lang w:val="es-ES"/>
        </w:rPr>
        <w:t xml:space="preserve"> prohibición no se aplica para contragarantías en operaciones que afecten la balanza comercial, siempre que cuenten con un depósito </w:t>
      </w:r>
      <w:r>
        <w:rPr>
          <w:rFonts w:eastAsia="Times New Roman"/>
          <w:sz w:val="30"/>
          <w:szCs w:val="30"/>
          <w:lang w:val="es-ES"/>
        </w:rPr>
        <w:lastRenderedPageBreak/>
        <w:t>monetario por el 100% de su valor en el Banco Central del Ecuador, de conformidad con las regulaciones que emita la Junta.</w:t>
      </w:r>
    </w:p>
    <w:p w:rsidR="00000000" w:rsidRDefault="0018461E">
      <w:pPr>
        <w:divId w:val="2017339849"/>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57.- </w:t>
      </w:r>
      <w:r>
        <w:rPr>
          <w:rFonts w:eastAsia="Times New Roman"/>
          <w:b/>
          <w:bCs/>
          <w:sz w:val="30"/>
          <w:szCs w:val="30"/>
          <w:lang w:val="es-ES"/>
        </w:rPr>
        <w:t xml:space="preserve">Control externo. </w:t>
      </w:r>
      <w:r>
        <w:rPr>
          <w:rFonts w:eastAsia="Times New Roman"/>
          <w:sz w:val="30"/>
          <w:szCs w:val="30"/>
          <w:lang w:val="es-ES"/>
        </w:rPr>
        <w:t>El Banco Central del Ecuador está sometido a los siguientes controles externos:</w:t>
      </w:r>
      <w:r>
        <w:rPr>
          <w:rFonts w:eastAsia="Times New Roman"/>
          <w:sz w:val="30"/>
          <w:szCs w:val="30"/>
          <w:lang w:val="es-ES"/>
        </w:rPr>
        <w:br/>
      </w:r>
      <w:r>
        <w:rPr>
          <w:rFonts w:eastAsia="Times New Roman"/>
          <w:sz w:val="30"/>
          <w:szCs w:val="30"/>
          <w:lang w:val="es-ES"/>
        </w:rPr>
        <w:br/>
        <w:t>1. De la Contraloría General del Estado, por el uso de los recursos públicos, en la parte correspondiente a la gestión administrativa del Banco;</w:t>
      </w:r>
      <w:r>
        <w:rPr>
          <w:rFonts w:eastAsia="Times New Roman"/>
          <w:sz w:val="30"/>
          <w:szCs w:val="30"/>
          <w:lang w:val="es-ES"/>
        </w:rPr>
        <w:br/>
      </w:r>
      <w:r>
        <w:rPr>
          <w:rFonts w:eastAsia="Times New Roman"/>
          <w:sz w:val="30"/>
          <w:szCs w:val="30"/>
          <w:lang w:val="es-ES"/>
        </w:rPr>
        <w:br/>
        <w:t xml:space="preserve">2. </w:t>
      </w:r>
      <w:r>
        <w:rPr>
          <w:rFonts w:eastAsia="Times New Roman"/>
          <w:sz w:val="30"/>
          <w:szCs w:val="30"/>
          <w:lang w:val="es-ES"/>
        </w:rPr>
        <w:t xml:space="preserve">De la Contraloría General del Estado para la verificación del cumplimiento de las regulaciones y resoluciones emitidas por la Junta de Política y Regulación Monetaria y Financiera y del propio Banco Central del Ecuador, de la ejecución de los instrumentos </w:t>
      </w:r>
      <w:r>
        <w:rPr>
          <w:rFonts w:eastAsia="Times New Roman"/>
          <w:sz w:val="30"/>
          <w:szCs w:val="30"/>
          <w:lang w:val="es-ES"/>
        </w:rPr>
        <w:t>de política monetaria señalados en este Código, de la gestión de los activos financieros, del funcionamiento del sistema central de pagos y de la evaluación del sistema de gestión de riesgos del Banco Central del Ecuador.</w:t>
      </w:r>
      <w:r>
        <w:rPr>
          <w:rFonts w:eastAsia="Times New Roman"/>
          <w:sz w:val="30"/>
          <w:szCs w:val="30"/>
          <w:lang w:val="es-ES"/>
        </w:rPr>
        <w:br/>
      </w:r>
      <w:r>
        <w:rPr>
          <w:rFonts w:eastAsia="Times New Roman"/>
          <w:sz w:val="30"/>
          <w:szCs w:val="30"/>
          <w:lang w:val="es-ES"/>
        </w:rPr>
        <w:br/>
        <w:t>La Junta podrá determinar adicion</w:t>
      </w:r>
      <w:r>
        <w:rPr>
          <w:rFonts w:eastAsia="Times New Roman"/>
          <w:sz w:val="30"/>
          <w:szCs w:val="30"/>
          <w:lang w:val="es-ES"/>
        </w:rPr>
        <w:t>almente otro tipo de informes y su periodicidad.</w:t>
      </w:r>
      <w:r>
        <w:rPr>
          <w:rFonts w:eastAsia="Times New Roman"/>
          <w:sz w:val="30"/>
          <w:szCs w:val="30"/>
          <w:lang w:val="es-ES"/>
        </w:rPr>
        <w:br/>
      </w:r>
      <w:r>
        <w:rPr>
          <w:rFonts w:eastAsia="Times New Roman"/>
          <w:sz w:val="30"/>
          <w:szCs w:val="30"/>
          <w:lang w:val="es-ES"/>
        </w:rPr>
        <w:br/>
        <w:t>Los informes de auditoría externa serán reservados; y,</w:t>
      </w:r>
      <w:r>
        <w:rPr>
          <w:rFonts w:eastAsia="Times New Roman"/>
          <w:sz w:val="30"/>
          <w:szCs w:val="30"/>
          <w:lang w:val="es-ES"/>
        </w:rPr>
        <w:br/>
      </w:r>
      <w:r>
        <w:rPr>
          <w:rFonts w:eastAsia="Times New Roman"/>
          <w:sz w:val="30"/>
          <w:szCs w:val="30"/>
          <w:lang w:val="es-ES"/>
        </w:rPr>
        <w:br/>
        <w:t>3. De la Superintendencia de Bancos en el ámbito de su competencia.</w:t>
      </w:r>
    </w:p>
    <w:p w:rsidR="00000000" w:rsidRDefault="0018461E">
      <w:pPr>
        <w:divId w:val="725032565"/>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 xml:space="preserve">Sistemas de control interno. </w:t>
      </w:r>
      <w:r>
        <w:rPr>
          <w:rFonts w:eastAsia="Times New Roman"/>
          <w:sz w:val="30"/>
          <w:szCs w:val="30"/>
          <w:lang w:val="es-ES"/>
        </w:rPr>
        <w:t>El Banco Central del Ecuador deberá tener s</w:t>
      </w:r>
      <w:r>
        <w:rPr>
          <w:rFonts w:eastAsia="Times New Roman"/>
          <w:sz w:val="30"/>
          <w:szCs w:val="30"/>
          <w:lang w:val="es-ES"/>
        </w:rPr>
        <w:t>istemas de control interno para asegurar la efectividad y eficiencia de sus actividades, la confiabilidad de la información y el cumplimiento de las leyes y regulaciones aplicables.</w:t>
      </w:r>
      <w:r>
        <w:rPr>
          <w:rFonts w:eastAsia="Times New Roman"/>
          <w:sz w:val="30"/>
          <w:szCs w:val="30"/>
          <w:lang w:val="es-ES"/>
        </w:rPr>
        <w:br/>
      </w:r>
      <w:r>
        <w:rPr>
          <w:rFonts w:eastAsia="Times New Roman"/>
          <w:sz w:val="30"/>
          <w:szCs w:val="30"/>
          <w:lang w:val="es-ES"/>
        </w:rPr>
        <w:br/>
        <w:t>Asimismo, contará con un auditor interno designado por la Contraloría Gen</w:t>
      </w:r>
      <w:r>
        <w:rPr>
          <w:rFonts w:eastAsia="Times New Roman"/>
          <w:sz w:val="30"/>
          <w:szCs w:val="30"/>
          <w:lang w:val="es-ES"/>
        </w:rPr>
        <w:t>eral del Estado, quien efectuará exclusivamente el control interno de los recursos públicos en la parte correspondiente a la gestión administrativa del Banco, conforme las normas dictadas por dicho organismo de control, y un auditor interno, calificado por</w:t>
      </w:r>
      <w:r>
        <w:rPr>
          <w:rFonts w:eastAsia="Times New Roman"/>
          <w:sz w:val="30"/>
          <w:szCs w:val="30"/>
          <w:lang w:val="es-ES"/>
        </w:rPr>
        <w:t xml:space="preserve"> la Superintendencia de Bancos, designado por el banco, que tendrá a su cargo el control interno de las operaciones bancarias determinadas por la Junta, de conformidad con el artículo 14 numeral 36.</w:t>
      </w:r>
    </w:p>
    <w:p w:rsidR="00000000" w:rsidRDefault="0018461E">
      <w:pPr>
        <w:jc w:val="center"/>
        <w:rPr>
          <w:rFonts w:eastAsia="Times New Roman"/>
          <w:sz w:val="36"/>
          <w:szCs w:val="36"/>
          <w:lang w:val="es-ES"/>
        </w:rPr>
      </w:pPr>
      <w:r>
        <w:rPr>
          <w:rFonts w:eastAsia="Times New Roman"/>
          <w:b/>
          <w:bCs/>
          <w:sz w:val="36"/>
          <w:szCs w:val="36"/>
          <w:lang w:val="es-ES"/>
        </w:rPr>
        <w:lastRenderedPageBreak/>
        <w:br/>
        <w:t xml:space="preserve">Sección 3 </w:t>
      </w:r>
      <w:r>
        <w:rPr>
          <w:rFonts w:eastAsia="Times New Roman"/>
          <w:b/>
          <w:bCs/>
          <w:sz w:val="36"/>
          <w:szCs w:val="36"/>
          <w:lang w:val="es-ES"/>
        </w:rPr>
        <w:br/>
        <w:t>DE LA SUPERINTENDENCIA DE BANCOS</w:t>
      </w:r>
    </w:p>
    <w:p w:rsidR="00000000" w:rsidRDefault="0018461E">
      <w:pPr>
        <w:divId w:val="169686545"/>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Na</w:t>
      </w:r>
      <w:r>
        <w:rPr>
          <w:rFonts w:eastAsia="Times New Roman"/>
          <w:b/>
          <w:bCs/>
          <w:sz w:val="30"/>
          <w:szCs w:val="30"/>
          <w:lang w:val="es-ES"/>
        </w:rPr>
        <w:t xml:space="preserve">turaleza. </w:t>
      </w:r>
      <w:r>
        <w:rPr>
          <w:rFonts w:eastAsia="Times New Roman"/>
          <w:sz w:val="30"/>
          <w:szCs w:val="30"/>
          <w:lang w:val="es-ES"/>
        </w:rPr>
        <w:t>La Superintendencia de Bancos es un organismo técnico de derecho público, con personalidad jurídica, parte de la Función de Transparencia y Control Social, con autonomía administrativa, financiera, presupuestaria y organizativa, cuya organización</w:t>
      </w:r>
      <w:r>
        <w:rPr>
          <w:rFonts w:eastAsia="Times New Roman"/>
          <w:sz w:val="30"/>
          <w:szCs w:val="30"/>
          <w:lang w:val="es-ES"/>
        </w:rPr>
        <w:t xml:space="preserve"> y funciones están determinadas en la Constitución de la República y la ley.</w:t>
      </w:r>
    </w:p>
    <w:p w:rsidR="00000000" w:rsidRDefault="0018461E">
      <w:pPr>
        <w:divId w:val="1376465356"/>
        <w:rPr>
          <w:rFonts w:eastAsia="Times New Roman"/>
          <w:sz w:val="30"/>
          <w:szCs w:val="30"/>
          <w:lang w:val="es-ES"/>
        </w:rPr>
      </w:pPr>
      <w:r>
        <w:rPr>
          <w:rFonts w:eastAsia="Times New Roman"/>
          <w:sz w:val="30"/>
          <w:szCs w:val="30"/>
          <w:lang w:val="es-ES"/>
        </w:rPr>
        <w:t xml:space="preserve">Art. 60.- </w:t>
      </w:r>
      <w:r>
        <w:rPr>
          <w:rFonts w:eastAsia="Times New Roman"/>
          <w:b/>
          <w:bCs/>
          <w:sz w:val="30"/>
          <w:szCs w:val="30"/>
          <w:lang w:val="es-ES"/>
        </w:rPr>
        <w:t xml:space="preserve">Finalidad. </w:t>
      </w:r>
      <w:r>
        <w:rPr>
          <w:rFonts w:eastAsia="Times New Roman"/>
          <w:sz w:val="30"/>
          <w:szCs w:val="30"/>
          <w:lang w:val="es-ES"/>
        </w:rPr>
        <w:t>La Superintendencia de Bancos efectuará la vigilancia, auditoría, intervención, control y supervisión de las actividades financieras que ejercen las entidades</w:t>
      </w:r>
      <w:r>
        <w:rPr>
          <w:rFonts w:eastAsia="Times New Roman"/>
          <w:sz w:val="30"/>
          <w:szCs w:val="30"/>
          <w:lang w:val="es-ES"/>
        </w:rPr>
        <w:t xml:space="preserve"> públicas y privadas del Sistema Financiero Nacional, con el propósito de que estas actividades se sujeten al ordenamiento jurídico y atiendan al interés general.</w:t>
      </w:r>
    </w:p>
    <w:p w:rsidR="00000000" w:rsidRDefault="0018461E">
      <w:pPr>
        <w:divId w:val="1810592958"/>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 xml:space="preserve">Presupuesto. </w:t>
      </w:r>
      <w:r>
        <w:rPr>
          <w:rFonts w:eastAsia="Times New Roman"/>
          <w:sz w:val="30"/>
          <w:szCs w:val="30"/>
          <w:lang w:val="es-ES"/>
        </w:rPr>
        <w:t>El presupuesto de la Superintendencia de Bancos formará parte del Pres</w:t>
      </w:r>
      <w:r>
        <w:rPr>
          <w:rFonts w:eastAsia="Times New Roman"/>
          <w:sz w:val="30"/>
          <w:szCs w:val="30"/>
          <w:lang w:val="es-ES"/>
        </w:rPr>
        <w:t>upuesto General del Estado y se sujetará a las normas y procedimientos establecidos en el Código Orgánico de Planificación y Finanzas Públicas y su normativa secundaria.</w:t>
      </w:r>
    </w:p>
    <w:p w:rsidR="00000000" w:rsidRDefault="0018461E">
      <w:pPr>
        <w:divId w:val="981272619"/>
        <w:rPr>
          <w:rFonts w:eastAsia="Times New Roman"/>
          <w:sz w:val="30"/>
          <w:szCs w:val="30"/>
          <w:lang w:val="es-ES"/>
        </w:rPr>
      </w:pPr>
      <w:r>
        <w:rPr>
          <w:rFonts w:eastAsia="Times New Roman"/>
          <w:sz w:val="30"/>
          <w:szCs w:val="30"/>
          <w:lang w:val="es-ES"/>
        </w:rPr>
        <w:t xml:space="preserve">Art. 62.- </w:t>
      </w:r>
      <w:r>
        <w:rPr>
          <w:rFonts w:eastAsia="Times New Roman"/>
          <w:b/>
          <w:bCs/>
          <w:sz w:val="30"/>
          <w:szCs w:val="30"/>
          <w:lang w:val="es-ES"/>
        </w:rPr>
        <w:t xml:space="preserve">Funciones. </w:t>
      </w:r>
      <w:r>
        <w:rPr>
          <w:rFonts w:eastAsia="Times New Roman"/>
          <w:sz w:val="30"/>
          <w:szCs w:val="30"/>
          <w:lang w:val="es-ES"/>
        </w:rPr>
        <w:t>La Superintendencia de Bancos tiene las siguientes funciones: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Ejercer la vigilancia, auditoría, control y supervisión del cumplimiento de las disposiciones de este Código y de las regulaciones dictadas por la Junta de Política y Regulación Monetaria y Financiera, en lo que corresponde a las actividades financieras e</w:t>
      </w:r>
      <w:r>
        <w:rPr>
          <w:rFonts w:eastAsia="Times New Roman"/>
          <w:sz w:val="30"/>
          <w:szCs w:val="30"/>
          <w:lang w:val="es-ES"/>
        </w:rPr>
        <w:t>jercidas por las entidades que conforman los sectores financieros público y privado;</w:t>
      </w:r>
      <w:r>
        <w:rPr>
          <w:rFonts w:eastAsia="Times New Roman"/>
          <w:sz w:val="30"/>
          <w:szCs w:val="30"/>
          <w:lang w:val="es-ES"/>
        </w:rPr>
        <w:br/>
      </w:r>
      <w:r>
        <w:rPr>
          <w:rFonts w:eastAsia="Times New Roman"/>
          <w:sz w:val="30"/>
          <w:szCs w:val="30"/>
          <w:lang w:val="es-ES"/>
        </w:rPr>
        <w:br/>
        <w:t>2. Autorizar la organización, terminación y liquidación de las entidades que conforman el Sector Financiero Público;</w:t>
      </w:r>
      <w:r>
        <w:rPr>
          <w:rFonts w:eastAsia="Times New Roman"/>
          <w:sz w:val="30"/>
          <w:szCs w:val="30"/>
          <w:lang w:val="es-ES"/>
        </w:rPr>
        <w:br/>
      </w:r>
      <w:r>
        <w:rPr>
          <w:rFonts w:eastAsia="Times New Roman"/>
          <w:sz w:val="30"/>
          <w:szCs w:val="30"/>
          <w:lang w:val="es-ES"/>
        </w:rPr>
        <w:br/>
        <w:t>3. Autorizar la constitución, denominación, organiza</w:t>
      </w:r>
      <w:r>
        <w:rPr>
          <w:rFonts w:eastAsia="Times New Roman"/>
          <w:sz w:val="30"/>
          <w:szCs w:val="30"/>
          <w:lang w:val="es-ES"/>
        </w:rPr>
        <w:t>ción y liquidación de las entidades que conforman el Sector Financiero Privado;</w:t>
      </w:r>
      <w:r>
        <w:rPr>
          <w:rFonts w:eastAsia="Times New Roman"/>
          <w:sz w:val="30"/>
          <w:szCs w:val="30"/>
          <w:lang w:val="es-ES"/>
        </w:rPr>
        <w:br/>
      </w:r>
      <w:r>
        <w:rPr>
          <w:rFonts w:eastAsia="Times New Roman"/>
          <w:sz w:val="30"/>
          <w:szCs w:val="30"/>
          <w:lang w:val="es-ES"/>
        </w:rPr>
        <w:br/>
        <w:t>4. Autorizar las actividades de las entidades que conforman los sectores financieros público y privado;</w:t>
      </w:r>
      <w:r>
        <w:rPr>
          <w:rFonts w:eastAsia="Times New Roman"/>
          <w:sz w:val="30"/>
          <w:szCs w:val="30"/>
          <w:lang w:val="es-ES"/>
        </w:rPr>
        <w:br/>
      </w:r>
      <w:r>
        <w:rPr>
          <w:rFonts w:eastAsia="Times New Roman"/>
          <w:sz w:val="30"/>
          <w:szCs w:val="30"/>
          <w:lang w:val="es-ES"/>
        </w:rPr>
        <w:br/>
        <w:t>5. Inspeccionar y sancionar a las personas naturales o jurídicas que n</w:t>
      </w:r>
      <w:r>
        <w:rPr>
          <w:rFonts w:eastAsia="Times New Roman"/>
          <w:sz w:val="30"/>
          <w:szCs w:val="30"/>
          <w:lang w:val="es-ES"/>
        </w:rPr>
        <w:t xml:space="preserve">o </w:t>
      </w:r>
      <w:r>
        <w:rPr>
          <w:rFonts w:eastAsia="Times New Roman"/>
          <w:sz w:val="30"/>
          <w:szCs w:val="30"/>
          <w:lang w:val="es-ES"/>
        </w:rPr>
        <w:lastRenderedPageBreak/>
        <w:t>forman parte de la economía popular y solidaria y que ejerzan, contra lo dispuesto en este Código, actividades financieras reservadas a las entidades del Sistema Financiero Nacional, especialmente la captación de recursos de terceros. Para el efecto, act</w:t>
      </w:r>
      <w:r>
        <w:rPr>
          <w:rFonts w:eastAsia="Times New Roman"/>
          <w:sz w:val="30"/>
          <w:szCs w:val="30"/>
          <w:lang w:val="es-ES"/>
        </w:rPr>
        <w:t>uará por iniciativa propia o por denuncia;</w:t>
      </w:r>
      <w:r>
        <w:rPr>
          <w:rFonts w:eastAsia="Times New Roman"/>
          <w:sz w:val="30"/>
          <w:szCs w:val="30"/>
          <w:lang w:val="es-ES"/>
        </w:rPr>
        <w:br/>
      </w:r>
      <w:r>
        <w:rPr>
          <w:rFonts w:eastAsia="Times New Roman"/>
          <w:sz w:val="30"/>
          <w:szCs w:val="30"/>
          <w:lang w:val="es-ES"/>
        </w:rPr>
        <w:br/>
        <w:t>6. Ejercer la potestad sancionatoria sobre las entidades bajo su control y sobre las personas naturales o jurídicas que incumplan las disposiciones de este Código, en al ámbito de su competencia;</w:t>
      </w:r>
      <w:r>
        <w:rPr>
          <w:rFonts w:eastAsia="Times New Roman"/>
          <w:sz w:val="30"/>
          <w:szCs w:val="30"/>
          <w:lang w:val="es-ES"/>
        </w:rPr>
        <w:br/>
      </w:r>
      <w:r>
        <w:rPr>
          <w:rFonts w:eastAsia="Times New Roman"/>
          <w:sz w:val="30"/>
          <w:szCs w:val="30"/>
          <w:lang w:val="es-ES"/>
        </w:rPr>
        <w:br/>
        <w:t>7. Velar por la</w:t>
      </w:r>
      <w:r>
        <w:rPr>
          <w:rFonts w:eastAsia="Times New Roman"/>
          <w:sz w:val="30"/>
          <w:szCs w:val="30"/>
          <w:lang w:val="es-ES"/>
        </w:rPr>
        <w:t xml:space="preserve"> estabilidad, solidez y correcto funcionamiento de las entidades sujetas a su control y, en general, vigilar que cumplan las normas que rigen su funcionamiento, las actividades financieras que presten, mediante la supervisión permanente preventiva extra si</w:t>
      </w:r>
      <w:r>
        <w:rPr>
          <w:rFonts w:eastAsia="Times New Roman"/>
          <w:sz w:val="30"/>
          <w:szCs w:val="30"/>
          <w:lang w:val="es-ES"/>
        </w:rPr>
        <w:t xml:space="preserve">tu y visitas de inspección in situ, sin restricción alguna, de acuerdo a las mejores prácticas, que permitan determinar la situación económica y financiera de las entidades, el manejo de sus negocios, evaluar la calidad y control de la gestión de riesgo y </w:t>
      </w:r>
      <w:r>
        <w:rPr>
          <w:rFonts w:eastAsia="Times New Roman"/>
          <w:sz w:val="30"/>
          <w:szCs w:val="30"/>
          <w:lang w:val="es-ES"/>
        </w:rPr>
        <w:t>verificar la veracidad de la información que generan;</w:t>
      </w:r>
      <w:r>
        <w:rPr>
          <w:rFonts w:eastAsia="Times New Roman"/>
          <w:sz w:val="30"/>
          <w:szCs w:val="30"/>
          <w:lang w:val="es-ES"/>
        </w:rPr>
        <w:br/>
      </w:r>
      <w:r>
        <w:rPr>
          <w:rFonts w:eastAsia="Times New Roman"/>
          <w:sz w:val="30"/>
          <w:szCs w:val="30"/>
          <w:lang w:val="es-ES"/>
        </w:rPr>
        <w:br/>
        <w:t>8. Establecer programas de supervisión intensiva a las entidades controladas, sin restricción alguna;</w:t>
      </w:r>
      <w:r>
        <w:rPr>
          <w:rFonts w:eastAsia="Times New Roman"/>
          <w:sz w:val="30"/>
          <w:szCs w:val="30"/>
          <w:lang w:val="es-ES"/>
        </w:rPr>
        <w:br/>
      </w:r>
      <w:r>
        <w:rPr>
          <w:rFonts w:eastAsia="Times New Roman"/>
          <w:sz w:val="30"/>
          <w:szCs w:val="30"/>
          <w:lang w:val="es-ES"/>
        </w:rPr>
        <w:br/>
        <w:t>9. Exigir que las entidades controladas presenten y adopten las correspondientes medidas correctiv</w:t>
      </w:r>
      <w:r>
        <w:rPr>
          <w:rFonts w:eastAsia="Times New Roman"/>
          <w:sz w:val="30"/>
          <w:szCs w:val="30"/>
          <w:lang w:val="es-ES"/>
        </w:rPr>
        <w:t>as y de saneamiento;</w:t>
      </w:r>
      <w:r>
        <w:rPr>
          <w:rFonts w:eastAsia="Times New Roman"/>
          <w:sz w:val="30"/>
          <w:szCs w:val="30"/>
          <w:lang w:val="es-ES"/>
        </w:rPr>
        <w:br/>
      </w:r>
      <w:r>
        <w:rPr>
          <w:rFonts w:eastAsia="Times New Roman"/>
          <w:sz w:val="30"/>
          <w:szCs w:val="30"/>
          <w:lang w:val="es-ES"/>
        </w:rPr>
        <w:br/>
        <w:t>10. Disponer a las entidades controladas aumentos de capital suscrito y pagado en dinero, como una medida de carácter preventivo y prudencial;</w:t>
      </w:r>
      <w:r>
        <w:rPr>
          <w:rFonts w:eastAsia="Times New Roman"/>
          <w:sz w:val="30"/>
          <w:szCs w:val="30"/>
          <w:lang w:val="es-ES"/>
        </w:rPr>
        <w:br/>
      </w:r>
      <w:r>
        <w:rPr>
          <w:rFonts w:eastAsia="Times New Roman"/>
          <w:sz w:val="30"/>
          <w:szCs w:val="30"/>
          <w:lang w:val="es-ES"/>
        </w:rPr>
        <w:br/>
        <w:t>11. Cuidar que las informaciones de las entidades bajo su control, que deban ser de conoci</w:t>
      </w:r>
      <w:r>
        <w:rPr>
          <w:rFonts w:eastAsia="Times New Roman"/>
          <w:sz w:val="30"/>
          <w:szCs w:val="30"/>
          <w:lang w:val="es-ES"/>
        </w:rPr>
        <w:t>miento público, sean claras y veraces para su cabal comprensión;</w:t>
      </w:r>
      <w:r>
        <w:rPr>
          <w:rFonts w:eastAsia="Times New Roman"/>
          <w:sz w:val="30"/>
          <w:szCs w:val="30"/>
          <w:lang w:val="es-ES"/>
        </w:rPr>
        <w:br/>
      </w:r>
      <w:r>
        <w:rPr>
          <w:rFonts w:eastAsia="Times New Roman"/>
          <w:sz w:val="30"/>
          <w:szCs w:val="30"/>
          <w:lang w:val="es-ES"/>
        </w:rPr>
        <w:br/>
        <w:t>12. Absolver consultas sobre las materias de su competencia;</w:t>
      </w:r>
      <w:r>
        <w:rPr>
          <w:rFonts w:eastAsia="Times New Roman"/>
          <w:sz w:val="30"/>
          <w:szCs w:val="30"/>
          <w:lang w:val="es-ES"/>
        </w:rPr>
        <w:br/>
      </w:r>
      <w:r>
        <w:rPr>
          <w:rFonts w:eastAsia="Times New Roman"/>
          <w:sz w:val="30"/>
          <w:szCs w:val="30"/>
          <w:lang w:val="es-ES"/>
        </w:rPr>
        <w:br/>
        <w:t>13. Canalizar y verificar la entrega de información sometida a sigilo y reserva, requerida por la Junta de Política y Regulación</w:t>
      </w:r>
      <w:r>
        <w:rPr>
          <w:rFonts w:eastAsia="Times New Roman"/>
          <w:sz w:val="30"/>
          <w:szCs w:val="30"/>
          <w:lang w:val="es-ES"/>
        </w:rPr>
        <w:t xml:space="preserve"> Monetaria y Financiera. Igual función cumplirá respecto de la información requerida a las entidades financieras públicas y privadas, para uso de </w:t>
      </w:r>
      <w:r>
        <w:rPr>
          <w:rFonts w:eastAsia="Times New Roman"/>
          <w:sz w:val="30"/>
          <w:szCs w:val="30"/>
          <w:lang w:val="es-ES"/>
        </w:rPr>
        <w:lastRenderedPageBreak/>
        <w:t>otras instituciones del Estado;</w:t>
      </w:r>
      <w:r>
        <w:rPr>
          <w:rFonts w:eastAsia="Times New Roman"/>
          <w:sz w:val="30"/>
          <w:szCs w:val="30"/>
          <w:lang w:val="es-ES"/>
        </w:rPr>
        <w:br/>
      </w:r>
      <w:r>
        <w:rPr>
          <w:rFonts w:eastAsia="Times New Roman"/>
          <w:sz w:val="30"/>
          <w:szCs w:val="30"/>
          <w:lang w:val="es-ES"/>
        </w:rPr>
        <w:br/>
        <w:t xml:space="preserve">14. Establecer los montos y procedimientos que permitan investigar el origen </w:t>
      </w:r>
      <w:r>
        <w:rPr>
          <w:rFonts w:eastAsia="Times New Roman"/>
          <w:sz w:val="30"/>
          <w:szCs w:val="30"/>
          <w:lang w:val="es-ES"/>
        </w:rPr>
        <w:t>y procedencia de los recursos de operaciones de cambio de moneda o de cualquier mecanismo de captación en moneda;</w:t>
      </w:r>
      <w:r>
        <w:rPr>
          <w:rFonts w:eastAsia="Times New Roman"/>
          <w:sz w:val="30"/>
          <w:szCs w:val="30"/>
          <w:lang w:val="es-ES"/>
        </w:rPr>
        <w:br/>
      </w:r>
      <w:r>
        <w:rPr>
          <w:rFonts w:eastAsia="Times New Roman"/>
          <w:sz w:val="30"/>
          <w:szCs w:val="30"/>
          <w:lang w:val="es-ES"/>
        </w:rPr>
        <w:br/>
        <w:t>15. Autorizar la cesión total de activos, pasivos y de los derechos contenidos en contratos de las entidades financieras sometidas a su contr</w:t>
      </w:r>
      <w:r>
        <w:rPr>
          <w:rFonts w:eastAsia="Times New Roman"/>
          <w:sz w:val="30"/>
          <w:szCs w:val="30"/>
          <w:lang w:val="es-ES"/>
        </w:rPr>
        <w:t>ol;</w:t>
      </w:r>
      <w:r>
        <w:rPr>
          <w:rFonts w:eastAsia="Times New Roman"/>
          <w:sz w:val="30"/>
          <w:szCs w:val="30"/>
          <w:lang w:val="es-ES"/>
        </w:rPr>
        <w:br/>
      </w:r>
      <w:r>
        <w:rPr>
          <w:rFonts w:eastAsia="Times New Roman"/>
          <w:sz w:val="30"/>
          <w:szCs w:val="30"/>
          <w:lang w:val="es-ES"/>
        </w:rPr>
        <w:br/>
        <w:t>16. Proteger los derechos de los clientes y usuarios financieros y resolver las controversias en el ámbito administrativo que se generen con las entidades bajo su control, para lo cual podrá solicitar o practicar de oficio, según sea el caso, las acci</w:t>
      </w:r>
      <w:r>
        <w:rPr>
          <w:rFonts w:eastAsia="Times New Roman"/>
          <w:sz w:val="30"/>
          <w:szCs w:val="30"/>
          <w:lang w:val="es-ES"/>
        </w:rPr>
        <w:t>ones de control necesarias para su esclarecimiento;</w:t>
      </w:r>
      <w:r>
        <w:rPr>
          <w:rFonts w:eastAsia="Times New Roman"/>
          <w:sz w:val="30"/>
          <w:szCs w:val="30"/>
          <w:lang w:val="es-ES"/>
        </w:rPr>
        <w:br/>
      </w:r>
      <w:r>
        <w:rPr>
          <w:rFonts w:eastAsia="Times New Roman"/>
          <w:sz w:val="30"/>
          <w:szCs w:val="30"/>
          <w:lang w:val="es-ES"/>
        </w:rPr>
        <w:br/>
        <w:t>17. Establecer las cláusulas obligatorias y las prohibiciones de los contratos cuyo objeto sea la prestación de servicios financieros;</w:t>
      </w:r>
      <w:r>
        <w:rPr>
          <w:rFonts w:eastAsia="Times New Roman"/>
          <w:sz w:val="30"/>
          <w:szCs w:val="30"/>
          <w:lang w:val="es-ES"/>
        </w:rPr>
        <w:br/>
      </w:r>
      <w:r>
        <w:rPr>
          <w:rFonts w:eastAsia="Times New Roman"/>
          <w:sz w:val="30"/>
          <w:szCs w:val="30"/>
          <w:lang w:val="es-ES"/>
        </w:rPr>
        <w:br/>
        <w:t>18. Aprobar los estatutos sociales de las entidades de los sectores</w:t>
      </w:r>
      <w:r>
        <w:rPr>
          <w:rFonts w:eastAsia="Times New Roman"/>
          <w:sz w:val="30"/>
          <w:szCs w:val="30"/>
          <w:lang w:val="es-ES"/>
        </w:rPr>
        <w:t xml:space="preserve"> financieros público y privado y las modificaciones que en ellos se produzcan;</w:t>
      </w:r>
      <w:r>
        <w:rPr>
          <w:rFonts w:eastAsia="Times New Roman"/>
          <w:sz w:val="30"/>
          <w:szCs w:val="30"/>
          <w:lang w:val="es-ES"/>
        </w:rPr>
        <w:br/>
      </w:r>
      <w:r>
        <w:rPr>
          <w:rFonts w:eastAsia="Times New Roman"/>
          <w:sz w:val="30"/>
          <w:szCs w:val="30"/>
          <w:lang w:val="es-ES"/>
        </w:rPr>
        <w:br/>
        <w:t xml:space="preserve">19. Realizar las investigaciones necesarias para autorizar inscripciones en el Libro de Acciones y Accionistas de las entidades financieras privadas, en los casos señalados en </w:t>
      </w:r>
      <w:r>
        <w:rPr>
          <w:rFonts w:eastAsia="Times New Roman"/>
          <w:sz w:val="30"/>
          <w:szCs w:val="30"/>
          <w:lang w:val="es-ES"/>
        </w:rPr>
        <w:t>este Código;</w:t>
      </w:r>
      <w:r>
        <w:rPr>
          <w:rFonts w:eastAsia="Times New Roman"/>
          <w:sz w:val="30"/>
          <w:szCs w:val="30"/>
          <w:lang w:val="es-ES"/>
        </w:rPr>
        <w:br/>
      </w:r>
      <w:r>
        <w:rPr>
          <w:rFonts w:eastAsia="Times New Roman"/>
          <w:sz w:val="30"/>
          <w:szCs w:val="30"/>
          <w:lang w:val="es-ES"/>
        </w:rPr>
        <w:br/>
        <w:t>20. Remover a los administradores y otros funcionarios de las entidades bajo su control e iniciar, cuando fuere el caso, las acciones legales en su contra, por infracciones a este Código y a la normativa vigente por causas debidamente motivad</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21. Controlar que las entidades del sistema financiero público y privado cumplan con las decisiones adoptadas por la Junta de Política y Regulación Monetaria y Financiera;</w:t>
      </w:r>
      <w:r>
        <w:rPr>
          <w:rFonts w:eastAsia="Times New Roman"/>
          <w:sz w:val="30"/>
          <w:szCs w:val="30"/>
          <w:lang w:val="es-ES"/>
        </w:rPr>
        <w:br/>
      </w:r>
      <w:r>
        <w:rPr>
          <w:rFonts w:eastAsia="Times New Roman"/>
          <w:sz w:val="30"/>
          <w:szCs w:val="30"/>
          <w:lang w:val="es-ES"/>
        </w:rPr>
        <w:br/>
        <w:t>22. Proponer políticas y regulaciones a la Junta de Política y Regulación Mone</w:t>
      </w:r>
      <w:r>
        <w:rPr>
          <w:rFonts w:eastAsia="Times New Roman"/>
          <w:sz w:val="30"/>
          <w:szCs w:val="30"/>
          <w:lang w:val="es-ES"/>
        </w:rPr>
        <w:t>taria y Financiera, en el ámbito de sus competencias;</w:t>
      </w:r>
      <w:r>
        <w:rPr>
          <w:rFonts w:eastAsia="Times New Roman"/>
          <w:sz w:val="30"/>
          <w:szCs w:val="30"/>
          <w:lang w:val="es-ES"/>
        </w:rPr>
        <w:br/>
      </w:r>
      <w:r>
        <w:rPr>
          <w:rFonts w:eastAsia="Times New Roman"/>
          <w:sz w:val="30"/>
          <w:szCs w:val="30"/>
          <w:lang w:val="es-ES"/>
        </w:rPr>
        <w:br/>
        <w:t xml:space="preserve">23. Informar a la Junta de Política y Regulación Monetaria y </w:t>
      </w:r>
      <w:r>
        <w:rPr>
          <w:rFonts w:eastAsia="Times New Roman"/>
          <w:sz w:val="30"/>
          <w:szCs w:val="30"/>
          <w:lang w:val="es-ES"/>
        </w:rPr>
        <w:lastRenderedPageBreak/>
        <w:t>Financiera los resultados del control;</w:t>
      </w:r>
      <w:r>
        <w:rPr>
          <w:rFonts w:eastAsia="Times New Roman"/>
          <w:sz w:val="30"/>
          <w:szCs w:val="30"/>
          <w:lang w:val="es-ES"/>
        </w:rPr>
        <w:br/>
      </w:r>
      <w:r>
        <w:rPr>
          <w:rFonts w:eastAsia="Times New Roman"/>
          <w:sz w:val="30"/>
          <w:szCs w:val="30"/>
          <w:lang w:val="es-ES"/>
        </w:rPr>
        <w:br/>
        <w:t xml:space="preserve">24. Calificar a las personas naturales y jurídicas que efectúan trabajos de apoyo a la supervisión, </w:t>
      </w:r>
      <w:r>
        <w:rPr>
          <w:rFonts w:eastAsia="Times New Roman"/>
          <w:sz w:val="30"/>
          <w:szCs w:val="30"/>
          <w:lang w:val="es-ES"/>
        </w:rPr>
        <w:t>como auditores internos, auditores externos, peritos valuadores y calificadoras de riesgo, entre otros;</w:t>
      </w:r>
      <w:r>
        <w:rPr>
          <w:rFonts w:eastAsia="Times New Roman"/>
          <w:sz w:val="30"/>
          <w:szCs w:val="30"/>
          <w:lang w:val="es-ES"/>
        </w:rPr>
        <w:br/>
      </w:r>
      <w:r>
        <w:rPr>
          <w:rFonts w:eastAsia="Times New Roman"/>
          <w:sz w:val="30"/>
          <w:szCs w:val="30"/>
          <w:lang w:val="es-ES"/>
        </w:rPr>
        <w:br/>
        <w:t>25. Designar a los administradores temporales y liquidadores de las entidades bajo su control;</w:t>
      </w:r>
      <w:r>
        <w:rPr>
          <w:rFonts w:eastAsia="Times New Roman"/>
          <w:sz w:val="30"/>
          <w:szCs w:val="30"/>
          <w:lang w:val="es-ES"/>
        </w:rPr>
        <w:br/>
      </w:r>
      <w:r>
        <w:rPr>
          <w:rFonts w:eastAsia="Times New Roman"/>
          <w:sz w:val="30"/>
          <w:szCs w:val="30"/>
          <w:lang w:val="es-ES"/>
        </w:rPr>
        <w:br/>
        <w:t>26. Proporcionar los informes o certificaciones de cual</w:t>
      </w:r>
      <w:r>
        <w:rPr>
          <w:rFonts w:eastAsia="Times New Roman"/>
          <w:sz w:val="30"/>
          <w:szCs w:val="30"/>
          <w:lang w:val="es-ES"/>
        </w:rPr>
        <w:t>quier entidad sujeta a su control, en orden a obtener préstamos de organismos internacionales para el desarrollo de programas económicos, a pedido de esos organismos o durante su vigencia, de conformidad con la regulación que establezca la Junta;</w:t>
      </w:r>
      <w:r>
        <w:rPr>
          <w:rFonts w:eastAsia="Times New Roman"/>
          <w:sz w:val="30"/>
          <w:szCs w:val="30"/>
          <w:lang w:val="es-ES"/>
        </w:rPr>
        <w:br/>
      </w:r>
      <w:r>
        <w:rPr>
          <w:rFonts w:eastAsia="Times New Roman"/>
          <w:sz w:val="30"/>
          <w:szCs w:val="30"/>
          <w:lang w:val="es-ES"/>
        </w:rPr>
        <w:br/>
        <w:t>27. Impo</w:t>
      </w:r>
      <w:r>
        <w:rPr>
          <w:rFonts w:eastAsia="Times New Roman"/>
          <w:sz w:val="30"/>
          <w:szCs w:val="30"/>
          <w:lang w:val="es-ES"/>
        </w:rPr>
        <w:t>ner las sanciones previstas en este Código; y,</w:t>
      </w:r>
      <w:r>
        <w:rPr>
          <w:rFonts w:eastAsia="Times New Roman"/>
          <w:sz w:val="30"/>
          <w:szCs w:val="30"/>
          <w:lang w:val="es-ES"/>
        </w:rPr>
        <w:br/>
      </w:r>
      <w:r>
        <w:rPr>
          <w:rFonts w:eastAsia="Times New Roman"/>
          <w:sz w:val="30"/>
          <w:szCs w:val="30"/>
          <w:lang w:val="es-ES"/>
        </w:rPr>
        <w:br/>
        <w:t>28. (Agregado por el num. 3 de la Disposción Reformatoria Segunda de la Ley s/n, R.O. 986-S, 18-IV-2017).- Preparar el informe técnico para que la Junta de Política y Regulación Monetaria y Financiera fi je l</w:t>
      </w:r>
      <w:r>
        <w:rPr>
          <w:rFonts w:eastAsia="Times New Roman"/>
          <w:sz w:val="30"/>
          <w:szCs w:val="30"/>
          <w:lang w:val="es-ES"/>
        </w:rPr>
        <w:t>as contribuciones anuales que deben pagar las entidades financieras privadas;</w:t>
      </w:r>
      <w:r>
        <w:rPr>
          <w:rFonts w:eastAsia="Times New Roman"/>
          <w:sz w:val="30"/>
          <w:szCs w:val="30"/>
          <w:lang w:val="es-ES"/>
        </w:rPr>
        <w:br/>
      </w:r>
      <w:r>
        <w:rPr>
          <w:rFonts w:eastAsia="Times New Roman"/>
          <w:sz w:val="30"/>
          <w:szCs w:val="30"/>
          <w:lang w:val="es-ES"/>
        </w:rPr>
        <w:br/>
        <w:t>29. (Reenumerado por el num. 3 de la Disposción Reformatoria Segunda de la Ley s/n, R.O. 986-S, 18-IV-2017).- Las demás que le asigne la ley.</w:t>
      </w:r>
      <w:r>
        <w:rPr>
          <w:rFonts w:eastAsia="Times New Roman"/>
          <w:sz w:val="30"/>
          <w:szCs w:val="30"/>
          <w:lang w:val="es-ES"/>
        </w:rPr>
        <w:br/>
      </w:r>
      <w:r>
        <w:rPr>
          <w:rFonts w:eastAsia="Times New Roman"/>
          <w:sz w:val="30"/>
          <w:szCs w:val="30"/>
          <w:lang w:val="es-ES"/>
        </w:rPr>
        <w:br/>
        <w:t>La superintendencia, para el cumpl</w:t>
      </w:r>
      <w:r>
        <w:rPr>
          <w:rFonts w:eastAsia="Times New Roman"/>
          <w:sz w:val="30"/>
          <w:szCs w:val="30"/>
          <w:lang w:val="es-ES"/>
        </w:rPr>
        <w:t>imiento de estas funciones, podrá expedir todos los actos y contratos que fueren necesarios. Asimismo, podrá expedir las normas en las materias propias de su competencia, sin que puedan alterar o innovar las disposiciones legales ni las regulaciones que ex</w:t>
      </w:r>
      <w:r>
        <w:rPr>
          <w:rFonts w:eastAsia="Times New Roman"/>
          <w:sz w:val="30"/>
          <w:szCs w:val="30"/>
          <w:lang w:val="es-ES"/>
        </w:rPr>
        <w:t>pida la Junta de Política y Regulación Monetaria y Financiera.</w:t>
      </w:r>
    </w:p>
    <w:p w:rsidR="00000000" w:rsidRDefault="0018461E">
      <w:pPr>
        <w:divId w:val="1649475627"/>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 xml:space="preserve">Facultad para solicitar información. </w:t>
      </w:r>
      <w:r>
        <w:rPr>
          <w:rFonts w:eastAsia="Times New Roman"/>
          <w:sz w:val="30"/>
          <w:szCs w:val="30"/>
          <w:lang w:val="es-ES"/>
        </w:rPr>
        <w:t>La Superintendencia está facultada para solicitar en cualquier momento, a cualquier entidad sometida a su control, la información que considere pe</w:t>
      </w:r>
      <w:r>
        <w:rPr>
          <w:rFonts w:eastAsia="Times New Roman"/>
          <w:sz w:val="30"/>
          <w:szCs w:val="30"/>
          <w:lang w:val="es-ES"/>
        </w:rPr>
        <w:t>rtinente, sin límite alguno, en el ámbito de su competencia.</w:t>
      </w:r>
      <w:r>
        <w:rPr>
          <w:rFonts w:eastAsia="Times New Roman"/>
          <w:sz w:val="30"/>
          <w:szCs w:val="30"/>
          <w:lang w:val="es-ES"/>
        </w:rPr>
        <w:br/>
      </w:r>
      <w:r>
        <w:rPr>
          <w:rFonts w:eastAsia="Times New Roman"/>
          <w:sz w:val="30"/>
          <w:szCs w:val="30"/>
          <w:lang w:val="es-ES"/>
        </w:rPr>
        <w:br/>
        <w:t xml:space="preserve">De igual forma, la Superintendencia de Bancos podrá requerir </w:t>
      </w:r>
      <w:r>
        <w:rPr>
          <w:rFonts w:eastAsia="Times New Roman"/>
          <w:sz w:val="30"/>
          <w:szCs w:val="30"/>
          <w:lang w:val="es-ES"/>
        </w:rPr>
        <w:lastRenderedPageBreak/>
        <w:t>información de los accionistas, miembros del directorio y representantes legales de las instituciones sujetas a su control.</w:t>
      </w:r>
    </w:p>
    <w:p w:rsidR="00000000" w:rsidRDefault="0018461E">
      <w:pPr>
        <w:divId w:val="1976594432"/>
        <w:rPr>
          <w:rFonts w:eastAsia="Times New Roman"/>
          <w:sz w:val="30"/>
          <w:szCs w:val="30"/>
          <w:lang w:val="es-ES"/>
        </w:rPr>
      </w:pPr>
      <w:r>
        <w:rPr>
          <w:rFonts w:eastAsia="Times New Roman"/>
          <w:sz w:val="30"/>
          <w:szCs w:val="30"/>
          <w:lang w:val="es-ES"/>
        </w:rPr>
        <w:t>Art. 64.-</w:t>
      </w:r>
      <w:r>
        <w:rPr>
          <w:rFonts w:eastAsia="Times New Roman"/>
          <w:sz w:val="30"/>
          <w:szCs w:val="30"/>
          <w:lang w:val="es-ES"/>
        </w:rPr>
        <w:t xml:space="preserve"> </w:t>
      </w:r>
      <w:r>
        <w:rPr>
          <w:rFonts w:eastAsia="Times New Roman"/>
          <w:b/>
          <w:bCs/>
          <w:sz w:val="30"/>
          <w:szCs w:val="30"/>
          <w:lang w:val="es-ES"/>
        </w:rPr>
        <w:t xml:space="preserve">Gestión y estructura. </w:t>
      </w:r>
      <w:r>
        <w:rPr>
          <w:rFonts w:eastAsia="Times New Roman"/>
          <w:sz w:val="30"/>
          <w:szCs w:val="30"/>
          <w:lang w:val="es-ES"/>
        </w:rPr>
        <w:t>La Superintendencia de Bancos podrá establecer intendencias regionales dentro del territorio nacional.</w:t>
      </w:r>
      <w:r>
        <w:rPr>
          <w:rFonts w:eastAsia="Times New Roman"/>
          <w:sz w:val="30"/>
          <w:szCs w:val="30"/>
          <w:lang w:val="es-ES"/>
        </w:rPr>
        <w:br/>
      </w:r>
      <w:r>
        <w:rPr>
          <w:rFonts w:eastAsia="Times New Roman"/>
          <w:sz w:val="30"/>
          <w:szCs w:val="30"/>
          <w:lang w:val="es-ES"/>
        </w:rPr>
        <w:br/>
        <w:t>La estructura administrativa de la Superintendencia contará con las instancias, intendencias especializadas en los sectores finan</w:t>
      </w:r>
      <w:r>
        <w:rPr>
          <w:rFonts w:eastAsia="Times New Roman"/>
          <w:sz w:val="30"/>
          <w:szCs w:val="30"/>
          <w:lang w:val="es-ES"/>
        </w:rPr>
        <w:t>cieros público y privado, unidades, divisiones técnicas y órganos asesores que se establezcan en el respectivo estatuto orgánico por procesos, que deberá ser aprobado de conformidad con lo que dispone la Ley Orgánica del Servicio Público.</w:t>
      </w:r>
    </w:p>
    <w:p w:rsidR="00000000" w:rsidRDefault="0018461E">
      <w:pPr>
        <w:divId w:val="1384868386"/>
        <w:rPr>
          <w:rFonts w:eastAsia="Times New Roman"/>
          <w:sz w:val="30"/>
          <w:szCs w:val="30"/>
          <w:lang w:val="es-ES"/>
        </w:rPr>
      </w:pPr>
      <w:r>
        <w:rPr>
          <w:rFonts w:eastAsia="Times New Roman"/>
          <w:sz w:val="30"/>
          <w:szCs w:val="30"/>
          <w:lang w:val="es-ES"/>
        </w:rPr>
        <w:t xml:space="preserve">Art. 65.- </w:t>
      </w:r>
      <w:r>
        <w:rPr>
          <w:rFonts w:eastAsia="Times New Roman"/>
          <w:b/>
          <w:bCs/>
          <w:sz w:val="30"/>
          <w:szCs w:val="30"/>
          <w:lang w:val="es-ES"/>
        </w:rPr>
        <w:t>Régimen</w:t>
      </w:r>
      <w:r>
        <w:rPr>
          <w:rFonts w:eastAsia="Times New Roman"/>
          <w:b/>
          <w:bCs/>
          <w:sz w:val="30"/>
          <w:szCs w:val="30"/>
          <w:lang w:val="es-ES"/>
        </w:rPr>
        <w:t xml:space="preserve"> Laboral. </w:t>
      </w:r>
      <w:r>
        <w:rPr>
          <w:rFonts w:eastAsia="Times New Roman"/>
          <w:sz w:val="30"/>
          <w:szCs w:val="30"/>
          <w:lang w:val="es-ES"/>
        </w:rPr>
        <w:t>Los funcionarios, servidores y trabajadores de la Superintendencia de Bancos estarán sujetos a las disposiciones de la Ley Orgánica del Servicio Público o del Código del Trabajo, según el caso.</w:t>
      </w:r>
    </w:p>
    <w:p w:rsidR="00000000" w:rsidRDefault="0018461E">
      <w:pPr>
        <w:divId w:val="1197232395"/>
        <w:rPr>
          <w:rFonts w:eastAsia="Times New Roman"/>
          <w:sz w:val="30"/>
          <w:szCs w:val="30"/>
          <w:lang w:val="es-ES"/>
        </w:rPr>
      </w:pPr>
      <w:r>
        <w:rPr>
          <w:rFonts w:eastAsia="Times New Roman"/>
          <w:sz w:val="30"/>
          <w:szCs w:val="30"/>
          <w:lang w:val="es-ES"/>
        </w:rPr>
        <w:t xml:space="preserve">Art. 66.- </w:t>
      </w:r>
      <w:r>
        <w:rPr>
          <w:rFonts w:eastAsia="Times New Roman"/>
          <w:b/>
          <w:bCs/>
          <w:sz w:val="30"/>
          <w:szCs w:val="30"/>
          <w:lang w:val="es-ES"/>
        </w:rPr>
        <w:t xml:space="preserve">Fuero. </w:t>
      </w:r>
      <w:r>
        <w:rPr>
          <w:rFonts w:eastAsia="Times New Roman"/>
          <w:sz w:val="30"/>
          <w:szCs w:val="30"/>
          <w:lang w:val="es-ES"/>
        </w:rPr>
        <w:t>Los intendentes, directores, admini</w:t>
      </w:r>
      <w:r>
        <w:rPr>
          <w:rFonts w:eastAsia="Times New Roman"/>
          <w:sz w:val="30"/>
          <w:szCs w:val="30"/>
          <w:lang w:val="es-ES"/>
        </w:rPr>
        <w:t>stradores temporales, liquidadores, auditores y funcionarios designados por la Superintendencia de Bancos para participar en los procesos de supervisión, exclusión y transferencia de activos y pasivos y liquidación, gozarán de fuero de Corte Nacional de Ju</w:t>
      </w:r>
      <w:r>
        <w:rPr>
          <w:rFonts w:eastAsia="Times New Roman"/>
          <w:sz w:val="30"/>
          <w:szCs w:val="30"/>
          <w:lang w:val="es-ES"/>
        </w:rPr>
        <w:t>sticia, por los actos y decisiones administrativas que adopten en el ejercicio de sus funciones específicas.</w:t>
      </w:r>
    </w:p>
    <w:p w:rsidR="00000000" w:rsidRDefault="0018461E">
      <w:pPr>
        <w:divId w:val="983000249"/>
        <w:rPr>
          <w:rFonts w:eastAsia="Times New Roman"/>
          <w:sz w:val="30"/>
          <w:szCs w:val="30"/>
          <w:lang w:val="es-ES"/>
        </w:rPr>
      </w:pPr>
      <w:r>
        <w:rPr>
          <w:rFonts w:eastAsia="Times New Roman"/>
          <w:sz w:val="30"/>
          <w:szCs w:val="30"/>
          <w:lang w:val="es-ES"/>
        </w:rPr>
        <w:t xml:space="preserve">Art. 67.- </w:t>
      </w:r>
      <w:r>
        <w:rPr>
          <w:rFonts w:eastAsia="Times New Roman"/>
          <w:b/>
          <w:bCs/>
          <w:sz w:val="30"/>
          <w:szCs w:val="30"/>
          <w:lang w:val="es-ES"/>
        </w:rPr>
        <w:t xml:space="preserve">Superintendente. </w:t>
      </w:r>
      <w:r>
        <w:rPr>
          <w:rFonts w:eastAsia="Times New Roman"/>
          <w:sz w:val="30"/>
          <w:szCs w:val="30"/>
          <w:lang w:val="es-ES"/>
        </w:rPr>
        <w:t>La Superintendencia de Bancos estará dirigida y representada por la o el Superintendente.</w:t>
      </w:r>
    </w:p>
    <w:p w:rsidR="00000000" w:rsidRDefault="0018461E">
      <w:pPr>
        <w:divId w:val="540482800"/>
        <w:rPr>
          <w:rFonts w:eastAsia="Times New Roman"/>
          <w:sz w:val="30"/>
          <w:szCs w:val="30"/>
          <w:lang w:val="es-ES"/>
        </w:rPr>
      </w:pPr>
      <w:r>
        <w:rPr>
          <w:rFonts w:eastAsia="Times New Roman"/>
          <w:sz w:val="30"/>
          <w:szCs w:val="30"/>
          <w:lang w:val="es-ES"/>
        </w:rPr>
        <w:t xml:space="preserve">Art. 68.- </w:t>
      </w:r>
      <w:r>
        <w:rPr>
          <w:rFonts w:eastAsia="Times New Roman"/>
          <w:b/>
          <w:bCs/>
          <w:sz w:val="30"/>
          <w:szCs w:val="30"/>
          <w:lang w:val="es-ES"/>
        </w:rPr>
        <w:t>Designación y requis</w:t>
      </w:r>
      <w:r>
        <w:rPr>
          <w:rFonts w:eastAsia="Times New Roman"/>
          <w:b/>
          <w:bCs/>
          <w:sz w:val="30"/>
          <w:szCs w:val="30"/>
          <w:lang w:val="es-ES"/>
        </w:rPr>
        <w:t xml:space="preserve">itos. </w:t>
      </w:r>
      <w:r>
        <w:rPr>
          <w:rFonts w:eastAsia="Times New Roman"/>
          <w:sz w:val="30"/>
          <w:szCs w:val="30"/>
          <w:lang w:val="es-ES"/>
        </w:rPr>
        <w:t>La designación del Superintendente de Bancos y el tiempo de duración en su cargo son los establecidos en la Constitución de la República, la ley y los reglamentos respectivos.</w:t>
      </w:r>
      <w:r>
        <w:rPr>
          <w:rFonts w:eastAsia="Times New Roman"/>
          <w:sz w:val="30"/>
          <w:szCs w:val="30"/>
          <w:lang w:val="es-ES"/>
        </w:rPr>
        <w:br/>
      </w:r>
      <w:r>
        <w:rPr>
          <w:rFonts w:eastAsia="Times New Roman"/>
          <w:sz w:val="30"/>
          <w:szCs w:val="30"/>
          <w:lang w:val="es-ES"/>
        </w:rPr>
        <w:br/>
        <w:t>Los requisitos para ser Superintendente de Bancos son los siguientes: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Ciudadano ecuatoriano;</w:t>
      </w:r>
      <w:r>
        <w:rPr>
          <w:rFonts w:eastAsia="Times New Roman"/>
          <w:sz w:val="30"/>
          <w:szCs w:val="30"/>
          <w:lang w:val="es-ES"/>
        </w:rPr>
        <w:br/>
      </w:r>
      <w:r>
        <w:rPr>
          <w:rFonts w:eastAsia="Times New Roman"/>
          <w:sz w:val="30"/>
          <w:szCs w:val="30"/>
          <w:lang w:val="es-ES"/>
        </w:rPr>
        <w:br/>
        <w:t>2. Título profesional de tercer nivel en economía, finanzas, administración, derecho o áreas relacionadas;</w:t>
      </w:r>
      <w:r>
        <w:rPr>
          <w:rFonts w:eastAsia="Times New Roman"/>
          <w:sz w:val="30"/>
          <w:szCs w:val="30"/>
          <w:lang w:val="es-ES"/>
        </w:rPr>
        <w:br/>
      </w:r>
      <w:r>
        <w:rPr>
          <w:rFonts w:eastAsia="Times New Roman"/>
          <w:sz w:val="30"/>
          <w:szCs w:val="30"/>
          <w:lang w:val="es-ES"/>
        </w:rPr>
        <w:br/>
        <w:t>3. Experiencia profesional de por lo menos diez años en áreas relacionadas;</w:t>
      </w:r>
      <w:r>
        <w:rPr>
          <w:rFonts w:eastAsia="Times New Roman"/>
          <w:sz w:val="30"/>
          <w:szCs w:val="30"/>
          <w:lang w:val="es-ES"/>
        </w:rPr>
        <w:br/>
      </w:r>
      <w:r>
        <w:rPr>
          <w:rFonts w:eastAsia="Times New Roman"/>
          <w:sz w:val="30"/>
          <w:szCs w:val="30"/>
          <w:lang w:val="es-ES"/>
        </w:rPr>
        <w:br/>
        <w:t xml:space="preserve">4. No estar incurso en conflictos de interés; </w:t>
      </w:r>
      <w:r>
        <w:rPr>
          <w:rFonts w:eastAsia="Times New Roman"/>
          <w:sz w:val="30"/>
          <w:szCs w:val="30"/>
          <w:lang w:val="es-ES"/>
        </w:rPr>
        <w:t>y,</w:t>
      </w:r>
      <w:r>
        <w:rPr>
          <w:rFonts w:eastAsia="Times New Roman"/>
          <w:sz w:val="30"/>
          <w:szCs w:val="30"/>
          <w:lang w:val="es-ES"/>
        </w:rPr>
        <w:br/>
      </w:r>
      <w:r>
        <w:rPr>
          <w:rFonts w:eastAsia="Times New Roman"/>
          <w:sz w:val="30"/>
          <w:szCs w:val="30"/>
          <w:lang w:val="es-ES"/>
        </w:rPr>
        <w:lastRenderedPageBreak/>
        <w:br/>
        <w:t>5. Cumplir los requisitos exigidos para ser funcionario o servidor público.</w:t>
      </w:r>
    </w:p>
    <w:p w:rsidR="00000000" w:rsidRDefault="0018461E">
      <w:pPr>
        <w:divId w:val="1009941620"/>
        <w:rPr>
          <w:rFonts w:eastAsia="Times New Roman"/>
          <w:sz w:val="30"/>
          <w:szCs w:val="30"/>
          <w:lang w:val="es-ES"/>
        </w:rPr>
      </w:pPr>
      <w:r>
        <w:rPr>
          <w:rFonts w:eastAsia="Times New Roman"/>
          <w:sz w:val="30"/>
          <w:szCs w:val="30"/>
          <w:lang w:val="es-ES"/>
        </w:rPr>
        <w:t xml:space="preserve">Art. 69.- </w:t>
      </w:r>
      <w:r>
        <w:rPr>
          <w:rFonts w:eastAsia="Times New Roman"/>
          <w:b/>
          <w:bCs/>
          <w:sz w:val="30"/>
          <w:szCs w:val="30"/>
          <w:lang w:val="es-ES"/>
        </w:rPr>
        <w:t xml:space="preserve">Funciones del Superintendente. </w:t>
      </w:r>
      <w:r>
        <w:rPr>
          <w:rFonts w:eastAsia="Times New Roman"/>
          <w:sz w:val="30"/>
          <w:szCs w:val="30"/>
          <w:lang w:val="es-ES"/>
        </w:rPr>
        <w:t>El Superintendente tiene las siguientes funciones:</w:t>
      </w:r>
      <w:r>
        <w:rPr>
          <w:rFonts w:eastAsia="Times New Roman"/>
          <w:sz w:val="30"/>
          <w:szCs w:val="30"/>
          <w:lang w:val="es-ES"/>
        </w:rPr>
        <w:br/>
      </w:r>
      <w:r>
        <w:rPr>
          <w:rFonts w:eastAsia="Times New Roman"/>
          <w:sz w:val="30"/>
          <w:szCs w:val="30"/>
          <w:lang w:val="es-ES"/>
        </w:rPr>
        <w:br/>
        <w:t>1. Ejercer la representación legal, judicial y extrajudicial de la Superintendencia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Dirigir las acciones de vigilancia, auditoría, supervisión y control de competencia de la Superintendencia;</w:t>
      </w:r>
      <w:r>
        <w:rPr>
          <w:rFonts w:eastAsia="Times New Roman"/>
          <w:sz w:val="30"/>
          <w:szCs w:val="30"/>
          <w:lang w:val="es-ES"/>
        </w:rPr>
        <w:br/>
      </w:r>
      <w:r>
        <w:rPr>
          <w:rFonts w:eastAsia="Times New Roman"/>
          <w:sz w:val="30"/>
          <w:szCs w:val="30"/>
          <w:lang w:val="es-ES"/>
        </w:rPr>
        <w:br/>
        <w:t>3. Dirigir, coordinar y supervisar la gestión administrativa de la Superintendencia, para lo cual expedirá los reglamentos internos correspon</w:t>
      </w:r>
      <w:r>
        <w:rPr>
          <w:rFonts w:eastAsia="Times New Roman"/>
          <w:sz w:val="30"/>
          <w:szCs w:val="30"/>
          <w:lang w:val="es-ES"/>
        </w:rPr>
        <w:t>dientes;</w:t>
      </w:r>
      <w:r>
        <w:rPr>
          <w:rFonts w:eastAsia="Times New Roman"/>
          <w:sz w:val="30"/>
          <w:szCs w:val="30"/>
          <w:lang w:val="es-ES"/>
        </w:rPr>
        <w:br/>
      </w:r>
      <w:r>
        <w:rPr>
          <w:rFonts w:eastAsia="Times New Roman"/>
          <w:sz w:val="30"/>
          <w:szCs w:val="30"/>
          <w:lang w:val="es-ES"/>
        </w:rPr>
        <w:br/>
        <w:t>4. Acordar, celebrar y ejecutar, a nombre de la Superintendencia los actos, contratos, convenios y negocios jurídicos que requiera la gestión institucional y las obligaciones que contraiga;</w:t>
      </w:r>
      <w:r>
        <w:rPr>
          <w:rFonts w:eastAsia="Times New Roman"/>
          <w:sz w:val="30"/>
          <w:szCs w:val="30"/>
          <w:lang w:val="es-ES"/>
        </w:rPr>
        <w:br/>
      </w:r>
      <w:r>
        <w:rPr>
          <w:rFonts w:eastAsia="Times New Roman"/>
          <w:sz w:val="30"/>
          <w:szCs w:val="30"/>
          <w:lang w:val="es-ES"/>
        </w:rPr>
        <w:br/>
        <w:t>5. Actuar como autoridad nominadora;</w:t>
      </w:r>
      <w:r>
        <w:rPr>
          <w:rFonts w:eastAsia="Times New Roman"/>
          <w:sz w:val="30"/>
          <w:szCs w:val="30"/>
          <w:lang w:val="es-ES"/>
        </w:rPr>
        <w:br/>
      </w:r>
      <w:r>
        <w:rPr>
          <w:rFonts w:eastAsia="Times New Roman"/>
          <w:sz w:val="30"/>
          <w:szCs w:val="30"/>
          <w:lang w:val="es-ES"/>
        </w:rPr>
        <w:br/>
        <w:t>6. Elaborar, apro</w:t>
      </w:r>
      <w:r>
        <w:rPr>
          <w:rFonts w:eastAsia="Times New Roman"/>
          <w:sz w:val="30"/>
          <w:szCs w:val="30"/>
          <w:lang w:val="es-ES"/>
        </w:rPr>
        <w:t>bar, previo a su envío al ente rector de las finanzas públicas, y ejecutar el presupuesto anual de la Superintendencia;</w:t>
      </w:r>
      <w:r>
        <w:rPr>
          <w:rFonts w:eastAsia="Times New Roman"/>
          <w:sz w:val="30"/>
          <w:szCs w:val="30"/>
          <w:lang w:val="es-ES"/>
        </w:rPr>
        <w:br/>
      </w:r>
      <w:r>
        <w:rPr>
          <w:rFonts w:eastAsia="Times New Roman"/>
          <w:sz w:val="30"/>
          <w:szCs w:val="30"/>
          <w:lang w:val="es-ES"/>
        </w:rPr>
        <w:br/>
        <w:t>7. Ejercer y delegar la jurisdicción coactiva; y,</w:t>
      </w:r>
      <w:r>
        <w:rPr>
          <w:rFonts w:eastAsia="Times New Roman"/>
          <w:sz w:val="30"/>
          <w:szCs w:val="30"/>
          <w:lang w:val="es-ES"/>
        </w:rPr>
        <w:br/>
      </w:r>
      <w:r>
        <w:rPr>
          <w:rFonts w:eastAsia="Times New Roman"/>
          <w:sz w:val="30"/>
          <w:szCs w:val="30"/>
          <w:lang w:val="es-ES"/>
        </w:rPr>
        <w:br/>
        <w:t>8. Ejercer las demás funciones que le asigne la ley.</w:t>
      </w:r>
    </w:p>
    <w:p w:rsidR="00000000" w:rsidRDefault="0018461E">
      <w:pPr>
        <w:divId w:val="242954287"/>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Rendición de cuentas.</w:t>
      </w:r>
      <w:r>
        <w:rPr>
          <w:rFonts w:eastAsia="Times New Roman"/>
          <w:b/>
          <w:bCs/>
          <w:sz w:val="30"/>
          <w:szCs w:val="30"/>
          <w:lang w:val="es-ES"/>
        </w:rPr>
        <w:t xml:space="preserve"> </w:t>
      </w:r>
      <w:r>
        <w:rPr>
          <w:rFonts w:eastAsia="Times New Roman"/>
          <w:sz w:val="30"/>
          <w:szCs w:val="30"/>
          <w:lang w:val="es-ES"/>
        </w:rPr>
        <w:t>La Superintendencia de Bancos establecerá mecanismos de rendición de cuentas sobre sus actividades.</w:t>
      </w:r>
    </w:p>
    <w:p w:rsidR="00000000" w:rsidRDefault="0018461E">
      <w:pPr>
        <w:divId w:val="49890435"/>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 xml:space="preserve">Actos de control. </w:t>
      </w:r>
      <w:r>
        <w:rPr>
          <w:rFonts w:eastAsia="Times New Roman"/>
          <w:sz w:val="30"/>
          <w:szCs w:val="30"/>
          <w:lang w:val="es-ES"/>
        </w:rPr>
        <w:t xml:space="preserve">La Superintendencia de Bancos, en el cumplimiento de sus funciones, podrá utilizar cualquier modalidad, mecanismo, metodología </w:t>
      </w:r>
      <w:r>
        <w:rPr>
          <w:rFonts w:eastAsia="Times New Roman"/>
          <w:sz w:val="30"/>
          <w:szCs w:val="30"/>
          <w:lang w:val="es-ES"/>
        </w:rPr>
        <w:t>o instrumentos de control, in situ o extra situ, internos o externos, considerando las mejores prácticas, pudiendo exigir que se le presenten, para su examen, todos los valores, libros, comprobantes de contabilidad, correspondencia y cualquier otro documen</w:t>
      </w:r>
      <w:r>
        <w:rPr>
          <w:rFonts w:eastAsia="Times New Roman"/>
          <w:sz w:val="30"/>
          <w:szCs w:val="30"/>
          <w:lang w:val="es-ES"/>
        </w:rPr>
        <w:t>to relacionado con el negocio o con las actividades controladas, sin que se pueda aducir reserva de ninguna naturaleza o disponer la práctica de cualquier otra acción o diligencia.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Superintendencia de Bancos, dentro de los actos de control, podrá dispo</w:t>
      </w:r>
      <w:r>
        <w:rPr>
          <w:rFonts w:eastAsia="Times New Roman"/>
          <w:sz w:val="30"/>
          <w:szCs w:val="30"/>
          <w:lang w:val="es-ES"/>
        </w:rPr>
        <w:t>ner la aplicación de cualquier medida contemplada en este Código que conduzca a subsanar las observaciones evidenciadas por el organismo de control y aplicar las sanciones en caso de incumplimiento.</w:t>
      </w:r>
      <w:r>
        <w:rPr>
          <w:rFonts w:eastAsia="Times New Roman"/>
          <w:sz w:val="30"/>
          <w:szCs w:val="30"/>
          <w:lang w:val="es-ES"/>
        </w:rPr>
        <w:br/>
      </w:r>
      <w:r>
        <w:rPr>
          <w:rFonts w:eastAsia="Times New Roman"/>
          <w:sz w:val="30"/>
          <w:szCs w:val="30"/>
          <w:lang w:val="es-ES"/>
        </w:rPr>
        <w:br/>
        <w:t>Los actos de control de la Superintendencia de Bancos go</w:t>
      </w:r>
      <w:r>
        <w:rPr>
          <w:rFonts w:eastAsia="Times New Roman"/>
          <w:sz w:val="30"/>
          <w:szCs w:val="30"/>
          <w:lang w:val="es-ES"/>
        </w:rPr>
        <w:t>zan de la presunción de legalidad, tendrán fuerza obligatoria y empezarán a regir desde la fecha de su notificación.</w:t>
      </w:r>
      <w:r>
        <w:rPr>
          <w:rFonts w:eastAsia="Times New Roman"/>
          <w:sz w:val="30"/>
          <w:szCs w:val="30"/>
          <w:lang w:val="es-ES"/>
        </w:rPr>
        <w:br/>
      </w:r>
      <w:r>
        <w:rPr>
          <w:rFonts w:eastAsia="Times New Roman"/>
          <w:sz w:val="30"/>
          <w:szCs w:val="30"/>
          <w:lang w:val="es-ES"/>
        </w:rPr>
        <w:br/>
        <w:t>La Superintendencia de Bancos, para la formación y expresión de su voluntad política y administrativa, no requiere del concurso de un ente</w:t>
      </w:r>
      <w:r>
        <w:rPr>
          <w:rFonts w:eastAsia="Times New Roman"/>
          <w:sz w:val="30"/>
          <w:szCs w:val="30"/>
          <w:lang w:val="es-ES"/>
        </w:rPr>
        <w:t xml:space="preserve"> distinto ni de la aprobación de sus actos por parte de otros órganos o instituciones del Estado.</w:t>
      </w:r>
    </w:p>
    <w:p w:rsidR="00000000" w:rsidRDefault="0018461E">
      <w:pPr>
        <w:divId w:val="1824085465"/>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Informes. </w:t>
      </w:r>
      <w:r>
        <w:rPr>
          <w:rFonts w:eastAsia="Times New Roman"/>
          <w:sz w:val="30"/>
          <w:szCs w:val="30"/>
          <w:lang w:val="es-ES"/>
        </w:rPr>
        <w:t xml:space="preserve">Serán escritos y reservados los informes de auditoría, inspección, análisis y los documentos que el Superintendente califique como tales, </w:t>
      </w:r>
      <w:r>
        <w:rPr>
          <w:rFonts w:eastAsia="Times New Roman"/>
          <w:sz w:val="30"/>
          <w:szCs w:val="30"/>
          <w:lang w:val="es-ES"/>
        </w:rPr>
        <w:t xml:space="preserve">con el propósito de precautelar la estabilidad de las entidades financieras públicas y privadas, y los que emitan los servidores y funcionarios de la Superintendencia en el ejercicio de sus funciones de control. La superintendencia, de creerlo necesario y </w:t>
      </w:r>
      <w:r>
        <w:rPr>
          <w:rFonts w:eastAsia="Times New Roman"/>
          <w:sz w:val="30"/>
          <w:szCs w:val="30"/>
          <w:lang w:val="es-ES"/>
        </w:rPr>
        <w:t>de haber observaciones, trasladará los informes a conocimiento de las autoridades correspondientes de la entidad examinada. Estos informes no se divulgarán a terceros, en todo ni en parte, por la Superintendencia, por la entidad examinada ni por ninguna pe</w:t>
      </w:r>
      <w:r>
        <w:rPr>
          <w:rFonts w:eastAsia="Times New Roman"/>
          <w:sz w:val="30"/>
          <w:szCs w:val="30"/>
          <w:lang w:val="es-ES"/>
        </w:rPr>
        <w:t>rsona que actúe por ellos, salvo cuando lo requiera la Junta de Política y Regulación Monetaria y Financiera o en el caso de haberse determinado indicios de responsabilidad penal, los que deberán ser puestos en conocimiento de la Fiscalía General del Estad</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Estos informes perderán su condición de reservados después de ciento ochenta días desde la fecha de la resolución que dispone la liquidación de una entidad.</w:t>
      </w:r>
      <w:r>
        <w:rPr>
          <w:rFonts w:eastAsia="Times New Roman"/>
          <w:sz w:val="30"/>
          <w:szCs w:val="30"/>
          <w:lang w:val="es-ES"/>
        </w:rPr>
        <w:br/>
      </w:r>
      <w:r>
        <w:rPr>
          <w:rFonts w:eastAsia="Times New Roman"/>
          <w:sz w:val="30"/>
          <w:szCs w:val="30"/>
          <w:lang w:val="es-ES"/>
        </w:rPr>
        <w:br/>
        <w:t>Cuando se hubiese iniciado un proceso de investigación en una institución del sistema financie</w:t>
      </w:r>
      <w:r>
        <w:rPr>
          <w:rFonts w:eastAsia="Times New Roman"/>
          <w:sz w:val="30"/>
          <w:szCs w:val="30"/>
          <w:lang w:val="es-ES"/>
        </w:rPr>
        <w:t>ro, los informes de auditoría no tendrán el carácter de reservados ni gozarán de sigilo bancario ante la Asamblea Nacional, Fiscalía General del Estado y Contraloría General del Estado.</w:t>
      </w:r>
    </w:p>
    <w:p w:rsidR="00000000" w:rsidRDefault="0018461E">
      <w:pPr>
        <w:divId w:val="413862073"/>
        <w:rPr>
          <w:rFonts w:eastAsia="Times New Roman"/>
          <w:sz w:val="30"/>
          <w:szCs w:val="30"/>
          <w:lang w:val="es-ES"/>
        </w:rPr>
      </w:pPr>
      <w:r>
        <w:rPr>
          <w:rFonts w:eastAsia="Times New Roman"/>
          <w:sz w:val="30"/>
          <w:szCs w:val="30"/>
          <w:lang w:val="es-ES"/>
        </w:rPr>
        <w:lastRenderedPageBreak/>
        <w:t xml:space="preserve">Art. 73.- </w:t>
      </w:r>
      <w:r>
        <w:rPr>
          <w:rFonts w:eastAsia="Times New Roman"/>
          <w:b/>
          <w:bCs/>
          <w:sz w:val="30"/>
          <w:szCs w:val="30"/>
          <w:lang w:val="es-ES"/>
        </w:rPr>
        <w:t xml:space="preserve">Reclamos y recursos. </w:t>
      </w:r>
      <w:r>
        <w:rPr>
          <w:rFonts w:eastAsia="Times New Roman"/>
          <w:sz w:val="30"/>
          <w:szCs w:val="30"/>
          <w:lang w:val="es-ES"/>
        </w:rPr>
        <w:t>Los actos expedidos por la Superintendencia de Bancos gozan de la presunción de legalidad, y su ejecución no se suspenderá por la interposición, admisión a trámite ni sustanciación de reclamos o recursos.</w:t>
      </w:r>
      <w:r>
        <w:rPr>
          <w:rFonts w:eastAsia="Times New Roman"/>
          <w:sz w:val="30"/>
          <w:szCs w:val="30"/>
          <w:lang w:val="es-ES"/>
        </w:rPr>
        <w:br/>
      </w:r>
      <w:r>
        <w:rPr>
          <w:rFonts w:eastAsia="Times New Roman"/>
          <w:sz w:val="30"/>
          <w:szCs w:val="30"/>
          <w:lang w:val="es-ES"/>
        </w:rPr>
        <w:br/>
        <w:t>Los actos normativos podrán ser reformados o derog</w:t>
      </w:r>
      <w:r>
        <w:rPr>
          <w:rFonts w:eastAsia="Times New Roman"/>
          <w:sz w:val="30"/>
          <w:szCs w:val="30"/>
          <w:lang w:val="es-ES"/>
        </w:rPr>
        <w:t>ados en cualquier tiempo, por parte del órgano que lo expidió o a petición de parte, mediante la presentación de un reclamo administrativo.</w:t>
      </w:r>
      <w:r>
        <w:rPr>
          <w:rFonts w:eastAsia="Times New Roman"/>
          <w:sz w:val="30"/>
          <w:szCs w:val="30"/>
          <w:lang w:val="es-ES"/>
        </w:rPr>
        <w:br/>
      </w:r>
      <w:r>
        <w:rPr>
          <w:rFonts w:eastAsia="Times New Roman"/>
          <w:sz w:val="30"/>
          <w:szCs w:val="30"/>
          <w:lang w:val="es-ES"/>
        </w:rPr>
        <w:br/>
        <w:t>Los actos administrativos que produzcan efectos jurídicos individuales en forma directa, expedidos por cualquier ór</w:t>
      </w:r>
      <w:r>
        <w:rPr>
          <w:rFonts w:eastAsia="Times New Roman"/>
          <w:sz w:val="30"/>
          <w:szCs w:val="30"/>
          <w:lang w:val="es-ES"/>
        </w:rPr>
        <w:t>gano de la Superintendencia, podrán ser revocados o reformados solamente por el Superintendente de Bancos, previa interposición del recurso de apelación dentro del plazo de diez días de notificada la resolución que se impugna. El pronunciamiento en este ca</w:t>
      </w:r>
      <w:r>
        <w:rPr>
          <w:rFonts w:eastAsia="Times New Roman"/>
          <w:sz w:val="30"/>
          <w:szCs w:val="30"/>
          <w:lang w:val="es-ES"/>
        </w:rPr>
        <w:t>so causará estado.</w:t>
      </w:r>
      <w:r>
        <w:rPr>
          <w:rFonts w:eastAsia="Times New Roman"/>
          <w:sz w:val="30"/>
          <w:szCs w:val="30"/>
          <w:lang w:val="es-ES"/>
        </w:rPr>
        <w:br/>
      </w:r>
      <w:r>
        <w:rPr>
          <w:rFonts w:eastAsia="Times New Roman"/>
          <w:sz w:val="30"/>
          <w:szCs w:val="30"/>
          <w:lang w:val="es-ES"/>
        </w:rPr>
        <w:br/>
        <w:t>No procede recurso de apelación a lo resuelto por el Superintendente de Bancos, ni aun en caso de que el acto que se pretenda impugnar haya sido conocido y resuelto por él en primera instancia administrativa.</w:t>
      </w:r>
      <w:r>
        <w:rPr>
          <w:rFonts w:eastAsia="Times New Roman"/>
          <w:sz w:val="30"/>
          <w:szCs w:val="30"/>
          <w:lang w:val="es-ES"/>
        </w:rPr>
        <w:br/>
      </w:r>
      <w:r>
        <w:rPr>
          <w:rFonts w:eastAsia="Times New Roman"/>
          <w:sz w:val="30"/>
          <w:szCs w:val="30"/>
          <w:lang w:val="es-ES"/>
        </w:rPr>
        <w:br/>
        <w:t>Extraordinariamente, media</w:t>
      </w:r>
      <w:r>
        <w:rPr>
          <w:rFonts w:eastAsia="Times New Roman"/>
          <w:sz w:val="30"/>
          <w:szCs w:val="30"/>
          <w:lang w:val="es-ES"/>
        </w:rPr>
        <w:t>nte revisión, el Superintendente de Bancos podrá revocar o reformar cualquier acto administrativo, sea de oficio o con motivo de la presentación del respectivo recurso, dentro del plazo de un año, que se contará a partir de la notificación de dicho acto. L</w:t>
      </w:r>
      <w:r>
        <w:rPr>
          <w:rFonts w:eastAsia="Times New Roman"/>
          <w:sz w:val="30"/>
          <w:szCs w:val="30"/>
          <w:lang w:val="es-ES"/>
        </w:rPr>
        <w:t>a revisión solo tendrá lugar si el acto administrativo impugnado hubiere sido dictado con evidente error de hecho o de derecho que aparezca de los documentos que figuren en el expediente o de disposiciones legales expresas o cuando, con posterioridad, apar</w:t>
      </w:r>
      <w:r>
        <w:rPr>
          <w:rFonts w:eastAsia="Times New Roman"/>
          <w:sz w:val="30"/>
          <w:szCs w:val="30"/>
          <w:lang w:val="es-ES"/>
        </w:rPr>
        <w:t>ecieren documentos de valor trascendental ignorados al expedirse el acto o resolución que se trate.</w:t>
      </w:r>
      <w:r>
        <w:rPr>
          <w:rFonts w:eastAsia="Times New Roman"/>
          <w:sz w:val="30"/>
          <w:szCs w:val="30"/>
          <w:lang w:val="es-ES"/>
        </w:rPr>
        <w:br/>
      </w:r>
      <w:r>
        <w:rPr>
          <w:rFonts w:eastAsia="Times New Roman"/>
          <w:sz w:val="30"/>
          <w:szCs w:val="30"/>
          <w:lang w:val="es-ES"/>
        </w:rPr>
        <w:br/>
        <w:t>La Superintendencia regulará el contenido y procedimiento que deberá observarse en materia de impugnación, derogatoria, revocatoria y reforma de estos acto</w:t>
      </w:r>
      <w:r>
        <w:rPr>
          <w:rFonts w:eastAsia="Times New Roman"/>
          <w:sz w:val="30"/>
          <w:szCs w:val="30"/>
          <w:lang w:val="es-ES"/>
        </w:rPr>
        <w:t>s.</w:t>
      </w:r>
    </w:p>
    <w:p w:rsidR="00000000" w:rsidRDefault="0018461E">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 LA SUPERINTENDENCIA DE ECONOMÍA POPULAR Y SOLIDARIA</w:t>
      </w:r>
    </w:p>
    <w:p w:rsidR="00000000" w:rsidRDefault="0018461E">
      <w:pPr>
        <w:divId w:val="726344896"/>
        <w:rPr>
          <w:rFonts w:eastAsia="Times New Roman"/>
          <w:sz w:val="30"/>
          <w:szCs w:val="30"/>
          <w:lang w:val="es-ES"/>
        </w:rPr>
      </w:pPr>
      <w:r>
        <w:rPr>
          <w:rFonts w:eastAsia="Times New Roman"/>
          <w:sz w:val="30"/>
          <w:szCs w:val="30"/>
          <w:lang w:val="es-ES"/>
        </w:rPr>
        <w:lastRenderedPageBreak/>
        <w:t xml:space="preserve">Art. 74.- </w:t>
      </w:r>
      <w:r>
        <w:rPr>
          <w:rFonts w:eastAsia="Times New Roman"/>
          <w:b/>
          <w:bCs/>
          <w:sz w:val="30"/>
          <w:szCs w:val="30"/>
          <w:lang w:val="es-ES"/>
        </w:rPr>
        <w:t xml:space="preserve">Ámbito. </w:t>
      </w:r>
      <w:r>
        <w:rPr>
          <w:rFonts w:eastAsia="Times New Roman"/>
          <w:sz w:val="30"/>
          <w:szCs w:val="30"/>
          <w:lang w:val="es-ES"/>
        </w:rPr>
        <w:t>La Superintendencia de Economía Popular y Solidaria, en su organización, funcionamiento y funciones de control y supervisión del sector financiero popular y solidario, s</w:t>
      </w:r>
      <w:r>
        <w:rPr>
          <w:rFonts w:eastAsia="Times New Roman"/>
          <w:sz w:val="30"/>
          <w:szCs w:val="30"/>
          <w:lang w:val="es-ES"/>
        </w:rPr>
        <w:t>e regirá por las disposiciones de este Código y la Ley Orgánica de la Economía Popular y Solidaria.</w:t>
      </w:r>
      <w:r>
        <w:rPr>
          <w:rFonts w:eastAsia="Times New Roman"/>
          <w:sz w:val="30"/>
          <w:szCs w:val="30"/>
          <w:lang w:val="es-ES"/>
        </w:rPr>
        <w:br/>
      </w:r>
      <w:r>
        <w:rPr>
          <w:rFonts w:eastAsia="Times New Roman"/>
          <w:sz w:val="30"/>
          <w:szCs w:val="30"/>
          <w:lang w:val="es-ES"/>
        </w:rPr>
        <w:br/>
        <w:t>La Superintendencia de Economía Popular y Solidaria, además de las atribuciones que le otorga la Ley Orgánica de Economía Popular y Solidaria, tendrá las f</w:t>
      </w:r>
      <w:r>
        <w:rPr>
          <w:rFonts w:eastAsia="Times New Roman"/>
          <w:sz w:val="30"/>
          <w:szCs w:val="30"/>
          <w:lang w:val="es-ES"/>
        </w:rPr>
        <w:t>unciones determinadas en el artículo 62, excepto los numerales 18 y 19. El numeral 10 del artículo citado se aplicará reconociendo que las entidades de la economía popular y solidaria tienen capital ilimitado.</w:t>
      </w:r>
      <w:r>
        <w:rPr>
          <w:rFonts w:eastAsia="Times New Roman"/>
          <w:sz w:val="30"/>
          <w:szCs w:val="30"/>
          <w:lang w:val="es-ES"/>
        </w:rPr>
        <w:br/>
      </w:r>
      <w:r>
        <w:rPr>
          <w:rFonts w:eastAsia="Times New Roman"/>
          <w:sz w:val="30"/>
          <w:szCs w:val="30"/>
          <w:lang w:val="es-ES"/>
        </w:rPr>
        <w:br/>
        <w:t>Los actos expedidos por la Superintendencia d</w:t>
      </w:r>
      <w:r>
        <w:rPr>
          <w:rFonts w:eastAsia="Times New Roman"/>
          <w:sz w:val="30"/>
          <w:szCs w:val="30"/>
          <w:lang w:val="es-ES"/>
        </w:rPr>
        <w:t>e Economía Popular y Solidaria gozarán de la presunción de legalidad y se sujetarán a lo preceptuado en el artículo 73 respecto de su impugnación, reforma o extinción.</w:t>
      </w:r>
    </w:p>
    <w:p w:rsidR="00000000" w:rsidRDefault="0018461E">
      <w:pPr>
        <w:divId w:val="1840846951"/>
        <w:rPr>
          <w:rFonts w:eastAsia="Times New Roman"/>
          <w:sz w:val="30"/>
          <w:szCs w:val="30"/>
          <w:lang w:val="es-ES"/>
        </w:rPr>
      </w:pPr>
      <w:r>
        <w:rPr>
          <w:rFonts w:eastAsia="Times New Roman"/>
          <w:sz w:val="30"/>
          <w:szCs w:val="30"/>
          <w:lang w:val="es-ES"/>
        </w:rPr>
        <w:t xml:space="preserve">Art. 75.- </w:t>
      </w:r>
      <w:r>
        <w:rPr>
          <w:rFonts w:eastAsia="Times New Roman"/>
          <w:b/>
          <w:bCs/>
          <w:sz w:val="30"/>
          <w:szCs w:val="30"/>
          <w:lang w:val="es-ES"/>
        </w:rPr>
        <w:t xml:space="preserve">Régimen Laboral. </w:t>
      </w:r>
      <w:r>
        <w:rPr>
          <w:rFonts w:eastAsia="Times New Roman"/>
          <w:sz w:val="30"/>
          <w:szCs w:val="30"/>
          <w:lang w:val="es-ES"/>
        </w:rPr>
        <w:t>Los funcionarios, servidores y trabajadores de la Superintend</w:t>
      </w:r>
      <w:r>
        <w:rPr>
          <w:rFonts w:eastAsia="Times New Roman"/>
          <w:sz w:val="30"/>
          <w:szCs w:val="30"/>
          <w:lang w:val="es-ES"/>
        </w:rPr>
        <w:t>encia de Economía Popular y Solidaria estarán sujetos a las disposiciones de la Ley Orgánica del Servicio Público y Código del Trabajo, según el caso.</w:t>
      </w:r>
    </w:p>
    <w:p w:rsidR="00000000" w:rsidRDefault="0018461E">
      <w:pPr>
        <w:divId w:val="1227883531"/>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 xml:space="preserve">Fuero. </w:t>
      </w:r>
      <w:r>
        <w:rPr>
          <w:rFonts w:eastAsia="Times New Roman"/>
          <w:sz w:val="30"/>
          <w:szCs w:val="30"/>
          <w:lang w:val="es-ES"/>
        </w:rPr>
        <w:t>Los intendentes, directores, administradores temporales, liquidadores, auditores y funci</w:t>
      </w:r>
      <w:r>
        <w:rPr>
          <w:rFonts w:eastAsia="Times New Roman"/>
          <w:sz w:val="30"/>
          <w:szCs w:val="30"/>
          <w:lang w:val="es-ES"/>
        </w:rPr>
        <w:t>onarios designados por la Superintendencia de Economía Popular y Solidaria para participar en los procesos de supervisión, exclusión y transferencia de activos y pasivos y liquidación, gozarán de fuero de Corte Nacional de Justicia, por los actos y decisio</w:t>
      </w:r>
      <w:r>
        <w:rPr>
          <w:rFonts w:eastAsia="Times New Roman"/>
          <w:sz w:val="30"/>
          <w:szCs w:val="30"/>
          <w:lang w:val="es-ES"/>
        </w:rPr>
        <w:t>nes administrativas que adopten en el ejercicio de sus funciones específicas.</w:t>
      </w:r>
    </w:p>
    <w:p w:rsidR="00000000" w:rsidRDefault="0018461E">
      <w:pPr>
        <w:divId w:val="327827473"/>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 xml:space="preserve">Informes. </w:t>
      </w:r>
      <w:r>
        <w:rPr>
          <w:rFonts w:eastAsia="Times New Roman"/>
          <w:sz w:val="30"/>
          <w:szCs w:val="30"/>
          <w:lang w:val="es-ES"/>
        </w:rPr>
        <w:t>Los informes de auditoría, inspección, análisis y los que emitan los servidores y funcionarios de la superintendencia, en el ejercicio de las funciones de con</w:t>
      </w:r>
      <w:r>
        <w:rPr>
          <w:rFonts w:eastAsia="Times New Roman"/>
          <w:sz w:val="30"/>
          <w:szCs w:val="30"/>
          <w:lang w:val="es-ES"/>
        </w:rPr>
        <w:t>trol y vigilancia, serán escritos y reservados, así como los documentos que el Superintendente califique como tales en virtud de precautelar la estabilidad de sus controlados. La Superintendencia, de creerlo del caso y de haber observaciones, trasladará lo</w:t>
      </w:r>
      <w:r>
        <w:rPr>
          <w:rFonts w:eastAsia="Times New Roman"/>
          <w:sz w:val="30"/>
          <w:szCs w:val="30"/>
          <w:lang w:val="es-ES"/>
        </w:rPr>
        <w:t>s informes a conocimiento de las autoridades correspondientes de la entidad examinada.</w:t>
      </w:r>
      <w:r>
        <w:rPr>
          <w:rFonts w:eastAsia="Times New Roman"/>
          <w:sz w:val="30"/>
          <w:szCs w:val="30"/>
          <w:lang w:val="es-ES"/>
        </w:rPr>
        <w:br/>
      </w:r>
      <w:r>
        <w:rPr>
          <w:rFonts w:eastAsia="Times New Roman"/>
          <w:sz w:val="30"/>
          <w:szCs w:val="30"/>
          <w:lang w:val="es-ES"/>
        </w:rPr>
        <w:br/>
        <w:t>Estos informes no se divulgarán a terceros, en todo ni en parte, por la Superintendencia, por la entidad examinada ni por ninguna persona que actúe por ellos, salvo cua</w:t>
      </w:r>
      <w:r>
        <w:rPr>
          <w:rFonts w:eastAsia="Times New Roman"/>
          <w:sz w:val="30"/>
          <w:szCs w:val="30"/>
          <w:lang w:val="es-ES"/>
        </w:rPr>
        <w:t xml:space="preserve">ndo lo requiera la Junta de Política y </w:t>
      </w:r>
      <w:r>
        <w:rPr>
          <w:rFonts w:eastAsia="Times New Roman"/>
          <w:sz w:val="30"/>
          <w:szCs w:val="30"/>
          <w:lang w:val="es-ES"/>
        </w:rPr>
        <w:lastRenderedPageBreak/>
        <w:t>Regulación Monetaria y Financiera o cuando se ha determinado indicios de responsabilidad penal, que deberán ser denunciados a la Fiscalía General del Estado.</w:t>
      </w:r>
      <w:r>
        <w:rPr>
          <w:rFonts w:eastAsia="Times New Roman"/>
          <w:sz w:val="30"/>
          <w:szCs w:val="30"/>
          <w:lang w:val="es-ES"/>
        </w:rPr>
        <w:br/>
      </w:r>
      <w:r>
        <w:rPr>
          <w:rFonts w:eastAsia="Times New Roman"/>
          <w:sz w:val="30"/>
          <w:szCs w:val="30"/>
          <w:lang w:val="es-ES"/>
        </w:rPr>
        <w:br/>
        <w:t>Estos informes perderán su condición de reservados después</w:t>
      </w:r>
      <w:r>
        <w:rPr>
          <w:rFonts w:eastAsia="Times New Roman"/>
          <w:sz w:val="30"/>
          <w:szCs w:val="30"/>
          <w:lang w:val="es-ES"/>
        </w:rPr>
        <w:t xml:space="preserve"> de ciento ochenta días desde la fecha de la resolución que dispone la liquidación de la entidad.</w:t>
      </w:r>
      <w:r>
        <w:rPr>
          <w:rFonts w:eastAsia="Times New Roman"/>
          <w:sz w:val="30"/>
          <w:szCs w:val="30"/>
          <w:lang w:val="es-ES"/>
        </w:rPr>
        <w:br/>
      </w:r>
      <w:r>
        <w:rPr>
          <w:rFonts w:eastAsia="Times New Roman"/>
          <w:sz w:val="30"/>
          <w:szCs w:val="30"/>
          <w:lang w:val="es-ES"/>
        </w:rPr>
        <w:br/>
        <w:t>Cuando se hubiese iniciado un proceso de investigación en una institución del sistema financiero, los informes de auditoría no tendrán el carácter de reserva</w:t>
      </w:r>
      <w:r>
        <w:rPr>
          <w:rFonts w:eastAsia="Times New Roman"/>
          <w:sz w:val="30"/>
          <w:szCs w:val="30"/>
          <w:lang w:val="es-ES"/>
        </w:rPr>
        <w:t>dos ni gozarán de sigilo bancario ante la Asamblea Nacional, Fiscalía General del Estado y Contraloría General del Estado.</w:t>
      </w:r>
    </w:p>
    <w:p w:rsidR="00000000" w:rsidRDefault="0018461E">
      <w:pPr>
        <w:jc w:val="center"/>
        <w:rPr>
          <w:rFonts w:eastAsia="Times New Roman"/>
          <w:sz w:val="36"/>
          <w:szCs w:val="36"/>
          <w:lang w:val="es-ES"/>
        </w:rPr>
      </w:pPr>
      <w:r>
        <w:rPr>
          <w:rFonts w:eastAsia="Times New Roman"/>
          <w:b/>
          <w:bCs/>
          <w:sz w:val="36"/>
          <w:szCs w:val="36"/>
          <w:lang w:val="es-ES"/>
        </w:rPr>
        <w:br/>
        <w:t>Sección 5</w:t>
      </w:r>
      <w:r>
        <w:rPr>
          <w:rFonts w:eastAsia="Times New Roman"/>
          <w:b/>
          <w:bCs/>
          <w:sz w:val="36"/>
          <w:szCs w:val="36"/>
          <w:lang w:val="es-ES"/>
        </w:rPr>
        <w:br/>
        <w:t>DE LA SUPERINTENDENCIA DE COMPAÑÍAS, VALORES Y SEGUROS</w:t>
      </w:r>
    </w:p>
    <w:p w:rsidR="00000000" w:rsidRDefault="0018461E">
      <w:pPr>
        <w:divId w:val="1562014114"/>
        <w:rPr>
          <w:rFonts w:eastAsia="Times New Roman"/>
          <w:sz w:val="30"/>
          <w:szCs w:val="30"/>
          <w:lang w:val="es-ES"/>
        </w:rPr>
      </w:pPr>
      <w:r>
        <w:rPr>
          <w:rFonts w:eastAsia="Times New Roman"/>
          <w:sz w:val="30"/>
          <w:szCs w:val="30"/>
          <w:lang w:val="es-ES"/>
        </w:rPr>
        <w:t xml:space="preserve">Art. 78.- </w:t>
      </w:r>
      <w:r>
        <w:rPr>
          <w:rFonts w:eastAsia="Times New Roman"/>
          <w:b/>
          <w:bCs/>
          <w:sz w:val="30"/>
          <w:szCs w:val="30"/>
          <w:lang w:val="es-ES"/>
        </w:rPr>
        <w:t xml:space="preserve">Ámbito. </w:t>
      </w:r>
      <w:r>
        <w:rPr>
          <w:rFonts w:eastAsia="Times New Roman"/>
          <w:sz w:val="30"/>
          <w:szCs w:val="30"/>
          <w:lang w:val="es-ES"/>
        </w:rPr>
        <w:t>La Superintendencia de Compañías, Valores y Segur</w:t>
      </w:r>
      <w:r>
        <w:rPr>
          <w:rFonts w:eastAsia="Times New Roman"/>
          <w:sz w:val="30"/>
          <w:szCs w:val="30"/>
          <w:lang w:val="es-ES"/>
        </w:rPr>
        <w:t xml:space="preserve">os, entre otras atribuciones en materia societaria, ejercerá la vigilancia, auditoría, intervención, control y supervisión del mercado de valores, del régimen de seguros y de las personas jurídicas de derecho privado no financieras, para lo cual se regirá </w:t>
      </w:r>
      <w:r>
        <w:rPr>
          <w:rFonts w:eastAsia="Times New Roman"/>
          <w:sz w:val="30"/>
          <w:szCs w:val="30"/>
          <w:lang w:val="es-ES"/>
        </w:rPr>
        <w:t>por las disposiciones de la Ley de Compañías, Ley de Mercado de Valores, Ley General de Seguros, este Código y las regulaciones que emita la Junta de Política y Regulación Monetaria y Financiera.</w:t>
      </w:r>
      <w:r>
        <w:rPr>
          <w:rFonts w:eastAsia="Times New Roman"/>
          <w:sz w:val="30"/>
          <w:szCs w:val="30"/>
          <w:lang w:val="es-ES"/>
        </w:rPr>
        <w:br/>
      </w:r>
      <w:r>
        <w:rPr>
          <w:rFonts w:eastAsia="Times New Roman"/>
          <w:sz w:val="30"/>
          <w:szCs w:val="30"/>
          <w:lang w:val="es-ES"/>
        </w:rPr>
        <w:br/>
        <w:t>Los actos expedidos por la Superintendencia de Compañías, V</w:t>
      </w:r>
      <w:r>
        <w:rPr>
          <w:rFonts w:eastAsia="Times New Roman"/>
          <w:sz w:val="30"/>
          <w:szCs w:val="30"/>
          <w:lang w:val="es-ES"/>
        </w:rPr>
        <w:t>alores y Seguros, dentro de todos los ámbitos de su competencia, gozarán de la presunción de legalidad y se sujetarán a lo preceptuado en el artículo 73 respecto de su impugnación, reforma o extinción, salvo cuando la ley regule otro procedimiento en mater</w:t>
      </w:r>
      <w:r>
        <w:rPr>
          <w:rFonts w:eastAsia="Times New Roman"/>
          <w:sz w:val="30"/>
          <w:szCs w:val="30"/>
          <w:lang w:val="es-ES"/>
        </w:rPr>
        <w:t>ias específicas.</w:t>
      </w:r>
      <w:r>
        <w:rPr>
          <w:rFonts w:eastAsia="Times New Roman"/>
          <w:sz w:val="30"/>
          <w:szCs w:val="30"/>
          <w:lang w:val="es-ES"/>
        </w:rPr>
        <w:br/>
      </w:r>
      <w:r>
        <w:rPr>
          <w:rFonts w:eastAsia="Times New Roman"/>
          <w:sz w:val="30"/>
          <w:szCs w:val="30"/>
          <w:lang w:val="es-ES"/>
        </w:rPr>
        <w:br/>
        <w:t>Las personas jurídicas que no forman parte del Sistema Financiero Nacional, y que no estén bajo el control de la Superintendencia de Economía Popular y Solidaria, que como parte del giro específico de su negocio efectúen operaciones de cr</w:t>
      </w:r>
      <w:r>
        <w:rPr>
          <w:rFonts w:eastAsia="Times New Roman"/>
          <w:sz w:val="30"/>
          <w:szCs w:val="30"/>
          <w:lang w:val="es-ES"/>
        </w:rPr>
        <w:t>édito por sobre los límites que establezca la Junta de Política y Regulación Monetaria y Financiera, serán controladas por la Superintendencia de Compañías, Valores y Seguros, de acuerdo con este Código.</w:t>
      </w:r>
    </w:p>
    <w:p w:rsidR="00000000" w:rsidRDefault="0018461E">
      <w:pPr>
        <w:jc w:val="center"/>
        <w:rPr>
          <w:rFonts w:eastAsia="Times New Roman"/>
          <w:sz w:val="36"/>
          <w:szCs w:val="36"/>
          <w:lang w:val="es-ES"/>
        </w:rPr>
      </w:pPr>
      <w:r>
        <w:rPr>
          <w:rFonts w:eastAsia="Times New Roman"/>
          <w:b/>
          <w:bCs/>
          <w:sz w:val="36"/>
          <w:szCs w:val="36"/>
          <w:lang w:val="es-ES"/>
        </w:rPr>
        <w:lastRenderedPageBreak/>
        <w:br/>
        <w:t>Sección 6</w:t>
      </w:r>
      <w:r>
        <w:rPr>
          <w:rFonts w:eastAsia="Times New Roman"/>
          <w:b/>
          <w:bCs/>
          <w:sz w:val="36"/>
          <w:szCs w:val="36"/>
          <w:lang w:val="es-ES"/>
        </w:rPr>
        <w:br/>
        <w:t>DE LA CORPORACIÓN DEL SEGURO DE DEPÓSITOS</w:t>
      </w:r>
      <w:r>
        <w:rPr>
          <w:rFonts w:eastAsia="Times New Roman"/>
          <w:b/>
          <w:bCs/>
          <w:sz w:val="36"/>
          <w:szCs w:val="36"/>
          <w:lang w:val="es-ES"/>
        </w:rPr>
        <w:t>, FONDO DE LIQUIDEZ Y FONDO DE SEGUROS PRIVADOS</w:t>
      </w:r>
    </w:p>
    <w:p w:rsidR="00000000" w:rsidRDefault="0018461E">
      <w:pPr>
        <w:divId w:val="90859126"/>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 xml:space="preserve">Naturaleza. </w:t>
      </w:r>
      <w:r>
        <w:rPr>
          <w:rFonts w:eastAsia="Times New Roman"/>
          <w:sz w:val="30"/>
          <w:szCs w:val="30"/>
          <w:lang w:val="es-ES"/>
        </w:rPr>
        <w:t>La Corporación del Seguro de Depósitos, Fondo de Liquidez y Fondo de Seguros Privados es una persona jurídica de derecho público, no financiera, con autonomía administrativa y operativa.</w:t>
      </w:r>
    </w:p>
    <w:p w:rsidR="00000000" w:rsidRDefault="0018461E">
      <w:pPr>
        <w:divId w:val="1717460916"/>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 xml:space="preserve">Funciones. </w:t>
      </w:r>
      <w:r>
        <w:rPr>
          <w:rFonts w:eastAsia="Times New Roman"/>
          <w:sz w:val="30"/>
          <w:szCs w:val="30"/>
          <w:lang w:val="es-ES"/>
        </w:rPr>
        <w:t>La Corporación del Seguro de Depósitos, Fondo de Liquidez y Fondo de Seguros Privados tiene las siguientes funciones:</w:t>
      </w:r>
      <w:r>
        <w:rPr>
          <w:rFonts w:eastAsia="Times New Roman"/>
          <w:sz w:val="30"/>
          <w:szCs w:val="30"/>
          <w:lang w:val="es-ES"/>
        </w:rPr>
        <w:br/>
      </w:r>
      <w:r>
        <w:rPr>
          <w:rFonts w:eastAsia="Times New Roman"/>
          <w:sz w:val="30"/>
          <w:szCs w:val="30"/>
          <w:lang w:val="es-ES"/>
        </w:rPr>
        <w:br/>
        <w:t>1. Administrar el Seguro de Depósitos de los sectores financiero privado y del popular y solidario y los recursos q</w:t>
      </w:r>
      <w:r>
        <w:rPr>
          <w:rFonts w:eastAsia="Times New Roman"/>
          <w:sz w:val="30"/>
          <w:szCs w:val="30"/>
          <w:lang w:val="es-ES"/>
        </w:rPr>
        <w:t>ue lo constituyen;</w:t>
      </w:r>
      <w:r>
        <w:rPr>
          <w:rFonts w:eastAsia="Times New Roman"/>
          <w:sz w:val="30"/>
          <w:szCs w:val="30"/>
          <w:lang w:val="es-ES"/>
        </w:rPr>
        <w:br/>
      </w:r>
      <w:r>
        <w:rPr>
          <w:rFonts w:eastAsia="Times New Roman"/>
          <w:sz w:val="30"/>
          <w:szCs w:val="30"/>
          <w:lang w:val="es-ES"/>
        </w:rPr>
        <w:br/>
        <w:t>2. Administrar el Fondo de Liquidez de los sectores financiero privado y del popular y solidario y los aportes que lo constituyen;</w:t>
      </w:r>
      <w:r>
        <w:rPr>
          <w:rFonts w:eastAsia="Times New Roman"/>
          <w:sz w:val="30"/>
          <w:szCs w:val="30"/>
          <w:lang w:val="es-ES"/>
        </w:rPr>
        <w:br/>
      </w:r>
      <w:r>
        <w:rPr>
          <w:rFonts w:eastAsia="Times New Roman"/>
          <w:sz w:val="30"/>
          <w:szCs w:val="30"/>
          <w:lang w:val="es-ES"/>
        </w:rPr>
        <w:br/>
        <w:t>3. Administrar el Fondo de Seguros Privados y los recursos que lo constituyen;</w:t>
      </w:r>
      <w:r>
        <w:rPr>
          <w:rFonts w:eastAsia="Times New Roman"/>
          <w:sz w:val="30"/>
          <w:szCs w:val="30"/>
          <w:lang w:val="es-ES"/>
        </w:rPr>
        <w:br/>
      </w:r>
      <w:r>
        <w:rPr>
          <w:rFonts w:eastAsia="Times New Roman"/>
          <w:sz w:val="30"/>
          <w:szCs w:val="30"/>
          <w:lang w:val="es-ES"/>
        </w:rPr>
        <w:br/>
        <w:t>4. Pagar el seguro de de</w:t>
      </w:r>
      <w:r>
        <w:rPr>
          <w:rFonts w:eastAsia="Times New Roman"/>
          <w:sz w:val="30"/>
          <w:szCs w:val="30"/>
          <w:lang w:val="es-ES"/>
        </w:rPr>
        <w:t>pósitos;</w:t>
      </w:r>
      <w:r>
        <w:rPr>
          <w:rFonts w:eastAsia="Times New Roman"/>
          <w:sz w:val="30"/>
          <w:szCs w:val="30"/>
          <w:lang w:val="es-ES"/>
        </w:rPr>
        <w:br/>
      </w:r>
      <w:r>
        <w:rPr>
          <w:rFonts w:eastAsia="Times New Roman"/>
          <w:sz w:val="30"/>
          <w:szCs w:val="30"/>
          <w:lang w:val="es-ES"/>
        </w:rPr>
        <w:br/>
        <w:t>5. Pagar el seguro de seguros privados;</w:t>
      </w:r>
      <w:r>
        <w:rPr>
          <w:rFonts w:eastAsia="Times New Roman"/>
          <w:sz w:val="30"/>
          <w:szCs w:val="30"/>
          <w:lang w:val="es-ES"/>
        </w:rPr>
        <w:br/>
      </w:r>
      <w:r>
        <w:rPr>
          <w:rFonts w:eastAsia="Times New Roman"/>
          <w:sz w:val="30"/>
          <w:szCs w:val="30"/>
          <w:lang w:val="es-ES"/>
        </w:rPr>
        <w:br/>
        <w:t xml:space="preserve">6. Establecer, a requerimiento del organismo de control y en un plazo no superior a diez días, la regla de menor costo, para lo cual podrá solicitar la información que considere pertinente al organismo de </w:t>
      </w:r>
      <w:r>
        <w:rPr>
          <w:rFonts w:eastAsia="Times New Roman"/>
          <w:sz w:val="30"/>
          <w:szCs w:val="30"/>
          <w:lang w:val="es-ES"/>
        </w:rPr>
        <w:t>control y/o a la entidad, debiendo éstas entregar la información de manera obligatoria;</w:t>
      </w:r>
      <w:r>
        <w:rPr>
          <w:rFonts w:eastAsia="Times New Roman"/>
          <w:sz w:val="30"/>
          <w:szCs w:val="30"/>
          <w:lang w:val="es-ES"/>
        </w:rPr>
        <w:br/>
      </w:r>
      <w:r>
        <w:rPr>
          <w:rFonts w:eastAsia="Times New Roman"/>
          <w:sz w:val="30"/>
          <w:szCs w:val="30"/>
          <w:lang w:val="es-ES"/>
        </w:rPr>
        <w:br/>
        <w:t>7. (Reformado por el num. 4 de la Disposción Reformatoria Segunda de la Ley s/n, R.O. 986-S, 18-IV-2017).- Dentro del proceso de exclusión y transferencia de activos y</w:t>
      </w:r>
      <w:r>
        <w:rPr>
          <w:rFonts w:eastAsia="Times New Roman"/>
          <w:sz w:val="30"/>
          <w:szCs w:val="30"/>
          <w:lang w:val="es-ES"/>
        </w:rPr>
        <w:t xml:space="preserve"> pasivos, adquirir activos o derechos a su valor nominal o ejecutar cualquier otro procedimiento que permita la aplicación de la regla del menor costo respecto del pago del seguro de depósitos. Si existieren diferencias entre el valor nominal y el valor de</w:t>
      </w:r>
      <w:r>
        <w:rPr>
          <w:rFonts w:eastAsia="Times New Roman"/>
          <w:sz w:val="30"/>
          <w:szCs w:val="30"/>
          <w:lang w:val="es-ES"/>
        </w:rPr>
        <w:t xml:space="preserve"> mercado, la Corporación de Seguro de </w:t>
      </w:r>
      <w:r>
        <w:rPr>
          <w:rFonts w:eastAsia="Times New Roman"/>
          <w:sz w:val="30"/>
          <w:szCs w:val="30"/>
          <w:lang w:val="es-ES"/>
        </w:rPr>
        <w:lastRenderedPageBreak/>
        <w:t>Depósitos se constituirá en acreedora de los accionistas y administradores de la entidad financiera y administradores de las entidades de la economía popular y solidaria. Entre los procedimientos que permitan la aplica</w:t>
      </w:r>
      <w:r>
        <w:rPr>
          <w:rFonts w:eastAsia="Times New Roman"/>
          <w:sz w:val="30"/>
          <w:szCs w:val="30"/>
          <w:lang w:val="es-ES"/>
        </w:rPr>
        <w:t>ción de la regla del menor costo respecto del pago del Seguro de Depósitos, la COSEDE podrá invertir recursos del Seguro de Depósitos, hasta con dos (2) años de gracia y hasta veinte (20) años plazo, en entidades financieras que adquieran activos y pasivos</w:t>
      </w:r>
      <w:r>
        <w:rPr>
          <w:rFonts w:eastAsia="Times New Roman"/>
          <w:sz w:val="30"/>
          <w:szCs w:val="30"/>
          <w:lang w:val="es-ES"/>
        </w:rPr>
        <w:t xml:space="preserve"> de entidades financieras inviables, a la tasa de interés promedio ponderada de los rendimientosdel portafolio del Seguro de Depósitos más un margen determinado por la COSEDE.</w:t>
      </w:r>
      <w:r>
        <w:rPr>
          <w:rFonts w:eastAsia="Times New Roman"/>
          <w:sz w:val="30"/>
          <w:szCs w:val="30"/>
          <w:lang w:val="es-ES"/>
        </w:rPr>
        <w:br/>
      </w:r>
      <w:r>
        <w:rPr>
          <w:rFonts w:eastAsia="Times New Roman"/>
          <w:sz w:val="30"/>
          <w:szCs w:val="30"/>
          <w:lang w:val="es-ES"/>
        </w:rPr>
        <w:br/>
        <w:t>Dentro del proceso de exclusión de activos y pasivos, para aplicar la regla del</w:t>
      </w:r>
      <w:r>
        <w:rPr>
          <w:rFonts w:eastAsia="Times New Roman"/>
          <w:sz w:val="30"/>
          <w:szCs w:val="30"/>
          <w:lang w:val="es-ES"/>
        </w:rPr>
        <w:t xml:space="preserve"> menor costo la COSEDE utilizará la valoración de los activos establecida por el administrador temporal de la entidad inviable.</w:t>
      </w:r>
      <w:r>
        <w:rPr>
          <w:rFonts w:eastAsia="Times New Roman"/>
          <w:sz w:val="30"/>
          <w:szCs w:val="30"/>
          <w:lang w:val="es-ES"/>
        </w:rPr>
        <w:br/>
      </w:r>
      <w:r>
        <w:rPr>
          <w:rFonts w:eastAsia="Times New Roman"/>
          <w:sz w:val="30"/>
          <w:szCs w:val="30"/>
          <w:lang w:val="es-ES"/>
        </w:rPr>
        <w:br/>
        <w:t>La Corporación podrá ejercer contra ellos todas las acciones legales que correspondan;</w:t>
      </w:r>
      <w:r>
        <w:rPr>
          <w:rFonts w:eastAsia="Times New Roman"/>
          <w:sz w:val="30"/>
          <w:szCs w:val="30"/>
          <w:lang w:val="es-ES"/>
        </w:rPr>
        <w:br/>
      </w:r>
      <w:r>
        <w:rPr>
          <w:rFonts w:eastAsia="Times New Roman"/>
          <w:sz w:val="30"/>
          <w:szCs w:val="30"/>
          <w:lang w:val="es-ES"/>
        </w:rPr>
        <w:br/>
        <w:t>8. Enajenar los activos y derechos adqu</w:t>
      </w:r>
      <w:r>
        <w:rPr>
          <w:rFonts w:eastAsia="Times New Roman"/>
          <w:sz w:val="30"/>
          <w:szCs w:val="30"/>
          <w:lang w:val="es-ES"/>
        </w:rPr>
        <w:t>iridos por la aplicación de lo dispuesto en el numeral precedente. La Junta expedirá las normas que regule dicha enajenación;</w:t>
      </w:r>
      <w:r>
        <w:rPr>
          <w:rFonts w:eastAsia="Times New Roman"/>
          <w:sz w:val="30"/>
          <w:szCs w:val="30"/>
          <w:lang w:val="es-ES"/>
        </w:rPr>
        <w:br/>
      </w:r>
      <w:r>
        <w:rPr>
          <w:rFonts w:eastAsia="Times New Roman"/>
          <w:sz w:val="30"/>
          <w:szCs w:val="30"/>
          <w:lang w:val="es-ES"/>
        </w:rPr>
        <w:br/>
        <w:t>9. Presentar a la Junta de Política y Regulación Monetaria y Financiera propuestas de regulación en relación al seguro de depósit</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10. Cubrir los riesgos de las empresas del seguro privado legalmente constituidas en el país que entren en liquidación forzosa; y,</w:t>
      </w:r>
      <w:r>
        <w:rPr>
          <w:rFonts w:eastAsia="Times New Roman"/>
          <w:sz w:val="30"/>
          <w:szCs w:val="30"/>
          <w:lang w:val="es-ES"/>
        </w:rPr>
        <w:br/>
      </w:r>
      <w:r>
        <w:rPr>
          <w:rFonts w:eastAsia="Times New Roman"/>
          <w:sz w:val="30"/>
          <w:szCs w:val="30"/>
          <w:lang w:val="es-ES"/>
        </w:rPr>
        <w:br/>
        <w:t>11. Las demás funciones que le asigne la ley.</w:t>
      </w:r>
      <w:r>
        <w:rPr>
          <w:rFonts w:eastAsia="Times New Roman"/>
          <w:sz w:val="30"/>
          <w:szCs w:val="30"/>
          <w:lang w:val="es-ES"/>
        </w:rPr>
        <w:br/>
      </w:r>
      <w:r>
        <w:rPr>
          <w:rFonts w:eastAsia="Times New Roman"/>
          <w:sz w:val="30"/>
          <w:szCs w:val="30"/>
          <w:lang w:val="es-ES"/>
        </w:rPr>
        <w:br/>
        <w:t>La Corporación pagará los depósitos asegurados en caso de liquidación fo</w:t>
      </w:r>
      <w:r>
        <w:rPr>
          <w:rFonts w:eastAsia="Times New Roman"/>
          <w:sz w:val="30"/>
          <w:szCs w:val="30"/>
          <w:lang w:val="es-ES"/>
        </w:rPr>
        <w:t>rzosa de una entidad financiera y gestionará la recuperación de los recursos del seguro de depósitos utilizados en dicho proceso.</w:t>
      </w:r>
      <w:r>
        <w:rPr>
          <w:rFonts w:eastAsia="Times New Roman"/>
          <w:sz w:val="30"/>
          <w:szCs w:val="30"/>
          <w:lang w:val="es-ES"/>
        </w:rPr>
        <w:br/>
      </w:r>
      <w:r>
        <w:rPr>
          <w:rFonts w:eastAsia="Times New Roman"/>
          <w:sz w:val="30"/>
          <w:szCs w:val="30"/>
          <w:lang w:val="es-ES"/>
        </w:rPr>
        <w:br/>
        <w:t>La Corporación del Seguro de Depósitos y Fondo de Liquidez, para el cumplimiento de sus funciones, podrá realizar todos los a</w:t>
      </w:r>
      <w:r>
        <w:rPr>
          <w:rFonts w:eastAsia="Times New Roman"/>
          <w:sz w:val="30"/>
          <w:szCs w:val="30"/>
          <w:lang w:val="es-ES"/>
        </w:rPr>
        <w:t>ctos, contratos y operaciones que sean necesarios.</w:t>
      </w:r>
      <w:r>
        <w:rPr>
          <w:rFonts w:eastAsia="Times New Roman"/>
          <w:sz w:val="30"/>
          <w:szCs w:val="30"/>
          <w:lang w:val="es-ES"/>
        </w:rPr>
        <w:br/>
      </w:r>
      <w:r>
        <w:rPr>
          <w:rFonts w:eastAsia="Times New Roman"/>
          <w:sz w:val="30"/>
          <w:szCs w:val="30"/>
          <w:lang w:val="es-ES"/>
        </w:rPr>
        <w:lastRenderedPageBreak/>
        <w:br/>
        <w:t>Los actos expedidos por la Corporación se sujetarán a las normas y procedimiento determinados por el Estatuto del Régimen Jurídico Administrativo de la Función Ejecutiva, respecto de su impugnación, modif</w:t>
      </w:r>
      <w:r>
        <w:rPr>
          <w:rFonts w:eastAsia="Times New Roman"/>
          <w:sz w:val="30"/>
          <w:szCs w:val="30"/>
          <w:lang w:val="es-ES"/>
        </w:rPr>
        <w:t>icación, revocatoria o derogatoria, en su caso.</w:t>
      </w:r>
    </w:p>
    <w:p w:rsidR="00000000" w:rsidRDefault="0018461E">
      <w:pPr>
        <w:divId w:val="759328761"/>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 xml:space="preserve">Presupuesto. </w:t>
      </w:r>
      <w:r>
        <w:rPr>
          <w:rFonts w:eastAsia="Times New Roman"/>
          <w:sz w:val="30"/>
          <w:szCs w:val="30"/>
          <w:lang w:val="es-ES"/>
        </w:rPr>
        <w:t>El presupuesto de la Corporación de Seguro de Depósitos, Fondo de Liquidez y Fondo de Seguros Privados formará parte del Presupuesto General del Estado. Los recursos del seguro de depós</w:t>
      </w:r>
      <w:r>
        <w:rPr>
          <w:rFonts w:eastAsia="Times New Roman"/>
          <w:sz w:val="30"/>
          <w:szCs w:val="30"/>
          <w:lang w:val="es-ES"/>
        </w:rPr>
        <w:t>itos que administra no podrán ser destinados para financiar el presupuesto de la Corporación.</w:t>
      </w:r>
    </w:p>
    <w:p w:rsidR="00000000" w:rsidRDefault="0018461E">
      <w:pPr>
        <w:divId w:val="1355423244"/>
        <w:rPr>
          <w:rFonts w:eastAsia="Times New Roman"/>
          <w:sz w:val="30"/>
          <w:szCs w:val="30"/>
          <w:lang w:val="es-ES"/>
        </w:rPr>
      </w:pPr>
      <w:r>
        <w:rPr>
          <w:rFonts w:eastAsia="Times New Roman"/>
          <w:sz w:val="30"/>
          <w:szCs w:val="30"/>
          <w:lang w:val="es-ES"/>
        </w:rPr>
        <w:t xml:space="preserve">Art. 82.- </w:t>
      </w:r>
      <w:r>
        <w:rPr>
          <w:rFonts w:eastAsia="Times New Roman"/>
          <w:b/>
          <w:bCs/>
          <w:sz w:val="30"/>
          <w:szCs w:val="30"/>
          <w:lang w:val="es-ES"/>
        </w:rPr>
        <w:t xml:space="preserve">Gestión y estructura. </w:t>
      </w:r>
      <w:r>
        <w:rPr>
          <w:rFonts w:eastAsia="Times New Roman"/>
          <w:sz w:val="30"/>
          <w:szCs w:val="30"/>
          <w:lang w:val="es-ES"/>
        </w:rPr>
        <w:t>La estructura administrativa de la Corporación de Seguro de Depósitos, Fondo de Liquidez y Fondo de Seguros Privados se establecerá en su estatuto social y en el estatuto orgánico por procesos, que será aprobado de conformidad con la Ley Orgánica del Servi</w:t>
      </w:r>
      <w:r>
        <w:rPr>
          <w:rFonts w:eastAsia="Times New Roman"/>
          <w:sz w:val="30"/>
          <w:szCs w:val="30"/>
          <w:lang w:val="es-ES"/>
        </w:rPr>
        <w:t>cio Público.</w:t>
      </w:r>
    </w:p>
    <w:p w:rsidR="00000000" w:rsidRDefault="0018461E">
      <w:pPr>
        <w:divId w:val="833838610"/>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 xml:space="preserve">Del directorio. </w:t>
      </w:r>
      <w:r>
        <w:rPr>
          <w:rFonts w:eastAsia="Times New Roman"/>
          <w:sz w:val="30"/>
          <w:szCs w:val="30"/>
          <w:lang w:val="es-ES"/>
        </w:rPr>
        <w:t>La Corporación de Seguro de Depósitos, Fondo de Liquidez y Fondo de Seguros Privados tendrá un directorio integrado por tres miembros plenos: un delegado del Presidente de la República, que lo presidirá, el titular de</w:t>
      </w:r>
      <w:r>
        <w:rPr>
          <w:rFonts w:eastAsia="Times New Roman"/>
          <w:sz w:val="30"/>
          <w:szCs w:val="30"/>
          <w:lang w:val="es-ES"/>
        </w:rPr>
        <w:t xml:space="preserve"> la secretaría de Estado a cargo de la política económica o su delegado y el titular de la secretaría de Estado a cargo de las finanzas públicas o su delegado.</w:t>
      </w:r>
      <w:r>
        <w:rPr>
          <w:rFonts w:eastAsia="Times New Roman"/>
          <w:sz w:val="30"/>
          <w:szCs w:val="30"/>
          <w:lang w:val="es-ES"/>
        </w:rPr>
        <w:br/>
      </w:r>
      <w:r>
        <w:rPr>
          <w:rFonts w:eastAsia="Times New Roman"/>
          <w:sz w:val="30"/>
          <w:szCs w:val="30"/>
          <w:lang w:val="es-ES"/>
        </w:rPr>
        <w:br/>
        <w:t>El Superintendente de Bancos, el Superintendente de Economía Popular y Solidaria, el Superinten</w:t>
      </w:r>
      <w:r>
        <w:rPr>
          <w:rFonts w:eastAsia="Times New Roman"/>
          <w:sz w:val="30"/>
          <w:szCs w:val="30"/>
          <w:lang w:val="es-ES"/>
        </w:rPr>
        <w:t>dente de Compañías, Valores y Seguros y el Gerente General del Banco Central del Ecuador o sus delegados participarán en las sesiones del directorio en el ámbito de sus competencias con voz y sin voto.</w:t>
      </w:r>
      <w:r>
        <w:rPr>
          <w:rFonts w:eastAsia="Times New Roman"/>
          <w:sz w:val="30"/>
          <w:szCs w:val="30"/>
          <w:lang w:val="es-ES"/>
        </w:rPr>
        <w:br/>
      </w:r>
      <w:r>
        <w:rPr>
          <w:rFonts w:eastAsia="Times New Roman"/>
          <w:sz w:val="30"/>
          <w:szCs w:val="30"/>
          <w:lang w:val="es-ES"/>
        </w:rPr>
        <w:br/>
        <w:t>Actuará como secretario del directorio el Gerente Gen</w:t>
      </w:r>
      <w:r>
        <w:rPr>
          <w:rFonts w:eastAsia="Times New Roman"/>
          <w:sz w:val="30"/>
          <w:szCs w:val="30"/>
          <w:lang w:val="es-ES"/>
        </w:rPr>
        <w:t>eral de la Corporación, quien participará en las deliberaciones con voz, sin derecho a voto.</w:t>
      </w:r>
      <w:r>
        <w:rPr>
          <w:rFonts w:eastAsia="Times New Roman"/>
          <w:sz w:val="30"/>
          <w:szCs w:val="30"/>
          <w:lang w:val="es-ES"/>
        </w:rPr>
        <w:br/>
      </w:r>
      <w:r>
        <w:rPr>
          <w:rFonts w:eastAsia="Times New Roman"/>
          <w:sz w:val="30"/>
          <w:szCs w:val="30"/>
          <w:lang w:val="es-ES"/>
        </w:rPr>
        <w:br/>
        <w:t>Cuando el directorio trate temas relacionados con el Fondo de Liquidez, se integrarán al cuerpo colegiado dos delegados adicionales que representarán al sector fi</w:t>
      </w:r>
      <w:r>
        <w:rPr>
          <w:rFonts w:eastAsia="Times New Roman"/>
          <w:sz w:val="30"/>
          <w:szCs w:val="30"/>
          <w:lang w:val="es-ES"/>
        </w:rPr>
        <w:t>nanciero privado y al sector financiero popular y solidario, respectivamente, con voz, que serán designados de acuerdo con las normas que expida la Junta.</w:t>
      </w:r>
    </w:p>
    <w:p w:rsidR="00000000" w:rsidRDefault="0018461E">
      <w:pPr>
        <w:divId w:val="32659653"/>
        <w:rPr>
          <w:rFonts w:eastAsia="Times New Roman"/>
          <w:sz w:val="30"/>
          <w:szCs w:val="30"/>
          <w:lang w:val="es-ES"/>
        </w:rPr>
      </w:pPr>
      <w:r>
        <w:rPr>
          <w:rFonts w:eastAsia="Times New Roman"/>
          <w:sz w:val="30"/>
          <w:szCs w:val="30"/>
          <w:lang w:val="es-ES"/>
        </w:rPr>
        <w:t xml:space="preserve">Art. 84.- </w:t>
      </w:r>
      <w:r>
        <w:rPr>
          <w:rFonts w:eastAsia="Times New Roman"/>
          <w:b/>
          <w:bCs/>
          <w:sz w:val="30"/>
          <w:szCs w:val="30"/>
          <w:lang w:val="es-ES"/>
        </w:rPr>
        <w:t xml:space="preserve">Designación y requisitos. </w:t>
      </w:r>
      <w:r>
        <w:rPr>
          <w:rFonts w:eastAsia="Times New Roman"/>
          <w:sz w:val="30"/>
          <w:szCs w:val="30"/>
          <w:lang w:val="es-ES"/>
        </w:rPr>
        <w:t>Los delegados de las entidades públicas miembros del directorio s</w:t>
      </w:r>
      <w:r>
        <w:rPr>
          <w:rFonts w:eastAsia="Times New Roman"/>
          <w:sz w:val="30"/>
          <w:szCs w:val="30"/>
          <w:lang w:val="es-ES"/>
        </w:rPr>
        <w:t>erán designados mediante acto administrativo y deberán cumplir con los siguientes requisitos:</w:t>
      </w:r>
      <w:r>
        <w:rPr>
          <w:rFonts w:eastAsia="Times New Roman"/>
          <w:sz w:val="30"/>
          <w:szCs w:val="30"/>
          <w:lang w:val="es-ES"/>
        </w:rPr>
        <w:br/>
      </w:r>
      <w:r>
        <w:rPr>
          <w:rFonts w:eastAsia="Times New Roman"/>
          <w:sz w:val="30"/>
          <w:szCs w:val="30"/>
          <w:lang w:val="es-ES"/>
        </w:rPr>
        <w:lastRenderedPageBreak/>
        <w:br/>
        <w:t>1. Ciudadano ecuatoriano;</w:t>
      </w:r>
      <w:r>
        <w:rPr>
          <w:rFonts w:eastAsia="Times New Roman"/>
          <w:sz w:val="30"/>
          <w:szCs w:val="30"/>
          <w:lang w:val="es-ES"/>
        </w:rPr>
        <w:br/>
      </w:r>
      <w:r>
        <w:rPr>
          <w:rFonts w:eastAsia="Times New Roman"/>
          <w:sz w:val="30"/>
          <w:szCs w:val="30"/>
          <w:lang w:val="es-ES"/>
        </w:rPr>
        <w:br/>
        <w:t>2. Título profesional de tercer nivel en economía, finanzas, administración, derecho o áreas relacionadas;</w:t>
      </w:r>
      <w:r>
        <w:rPr>
          <w:rFonts w:eastAsia="Times New Roman"/>
          <w:sz w:val="30"/>
          <w:szCs w:val="30"/>
          <w:lang w:val="es-ES"/>
        </w:rPr>
        <w:br/>
      </w:r>
      <w:r>
        <w:rPr>
          <w:rFonts w:eastAsia="Times New Roman"/>
          <w:sz w:val="30"/>
          <w:szCs w:val="30"/>
          <w:lang w:val="es-ES"/>
        </w:rPr>
        <w:br/>
        <w:t>3. Experiencia profesional</w:t>
      </w:r>
      <w:r>
        <w:rPr>
          <w:rFonts w:eastAsia="Times New Roman"/>
          <w:sz w:val="30"/>
          <w:szCs w:val="30"/>
          <w:lang w:val="es-ES"/>
        </w:rPr>
        <w:t xml:space="preserve"> en áreas relacionadas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p>
    <w:p w:rsidR="00000000" w:rsidRDefault="0018461E">
      <w:pPr>
        <w:divId w:val="515388533"/>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 xml:space="preserve">Funciones del directorio. </w:t>
      </w:r>
      <w:r>
        <w:rPr>
          <w:rFonts w:eastAsia="Times New Roman"/>
          <w:sz w:val="30"/>
          <w:szCs w:val="30"/>
          <w:lang w:val="es-ES"/>
        </w:rPr>
        <w:t>El directorio de la Corporación del Seguro de</w:t>
      </w:r>
      <w:r>
        <w:rPr>
          <w:rFonts w:eastAsia="Times New Roman"/>
          <w:sz w:val="30"/>
          <w:szCs w:val="30"/>
          <w:lang w:val="es-ES"/>
        </w:rPr>
        <w:t xml:space="preserve"> Depósitos, Fondo de Liquidez y Fondo de Seguros Privados tendrá las siguientes funciones:</w:t>
      </w:r>
      <w:r>
        <w:rPr>
          <w:rFonts w:eastAsia="Times New Roman"/>
          <w:sz w:val="30"/>
          <w:szCs w:val="30"/>
          <w:lang w:val="es-ES"/>
        </w:rPr>
        <w:br/>
      </w:r>
      <w:r>
        <w:rPr>
          <w:rFonts w:eastAsia="Times New Roman"/>
          <w:sz w:val="30"/>
          <w:szCs w:val="30"/>
          <w:lang w:val="es-ES"/>
        </w:rPr>
        <w:br/>
        <w:t>1. Ejecutar las políticas definidas por la Junta de Política y Regulación Monetaria y Financiera para el Seguro de Depósitos, Fondo de Liquidez y Fondo de Seguro Pr</w:t>
      </w:r>
      <w:r>
        <w:rPr>
          <w:rFonts w:eastAsia="Times New Roman"/>
          <w:sz w:val="30"/>
          <w:szCs w:val="30"/>
          <w:lang w:val="es-ES"/>
        </w:rPr>
        <w:t>ivados;</w:t>
      </w:r>
      <w:r>
        <w:rPr>
          <w:rFonts w:eastAsia="Times New Roman"/>
          <w:sz w:val="30"/>
          <w:szCs w:val="30"/>
          <w:lang w:val="es-ES"/>
        </w:rPr>
        <w:br/>
      </w:r>
      <w:r>
        <w:rPr>
          <w:rFonts w:eastAsia="Times New Roman"/>
          <w:sz w:val="30"/>
          <w:szCs w:val="30"/>
          <w:lang w:val="es-ES"/>
        </w:rPr>
        <w:br/>
        <w:t>2. Aprobar los créditos extraordinarios de liquidez;</w:t>
      </w:r>
      <w:r>
        <w:rPr>
          <w:rFonts w:eastAsia="Times New Roman"/>
          <w:sz w:val="30"/>
          <w:szCs w:val="30"/>
          <w:lang w:val="es-ES"/>
        </w:rPr>
        <w:br/>
      </w:r>
      <w:r>
        <w:rPr>
          <w:rFonts w:eastAsia="Times New Roman"/>
          <w:sz w:val="30"/>
          <w:szCs w:val="30"/>
          <w:lang w:val="es-ES"/>
        </w:rPr>
        <w:br/>
        <w:t>3. Aprobar la devolución de los aportes al Fondo de Liquidez, de conformidad con este Código y de acuerdo con el procedimiento que establezca la Junta;</w:t>
      </w:r>
      <w:r>
        <w:rPr>
          <w:rFonts w:eastAsia="Times New Roman"/>
          <w:sz w:val="30"/>
          <w:szCs w:val="30"/>
          <w:lang w:val="es-ES"/>
        </w:rPr>
        <w:br/>
      </w:r>
      <w:r>
        <w:rPr>
          <w:rFonts w:eastAsia="Times New Roman"/>
          <w:sz w:val="30"/>
          <w:szCs w:val="30"/>
          <w:lang w:val="es-ES"/>
        </w:rPr>
        <w:br/>
        <w:t>4. Informar semestralmente o a pedido de</w:t>
      </w:r>
      <w:r>
        <w:rPr>
          <w:rFonts w:eastAsia="Times New Roman"/>
          <w:sz w:val="30"/>
          <w:szCs w:val="30"/>
          <w:lang w:val="es-ES"/>
        </w:rPr>
        <w:t xml:space="preserve"> la Junta de Política y Regulación Monetaria y Financiera sobre sus actividades;</w:t>
      </w:r>
      <w:r>
        <w:rPr>
          <w:rFonts w:eastAsia="Times New Roman"/>
          <w:sz w:val="30"/>
          <w:szCs w:val="30"/>
          <w:lang w:val="es-ES"/>
        </w:rPr>
        <w:br/>
      </w:r>
      <w:r>
        <w:rPr>
          <w:rFonts w:eastAsia="Times New Roman"/>
          <w:sz w:val="30"/>
          <w:szCs w:val="30"/>
          <w:lang w:val="es-ES"/>
        </w:rPr>
        <w:br/>
        <w:t>5. Seleccionar a la firma de auditoría externa;</w:t>
      </w:r>
      <w:r>
        <w:rPr>
          <w:rFonts w:eastAsia="Times New Roman"/>
          <w:sz w:val="30"/>
          <w:szCs w:val="30"/>
          <w:lang w:val="es-ES"/>
        </w:rPr>
        <w:br/>
      </w:r>
      <w:r>
        <w:rPr>
          <w:rFonts w:eastAsia="Times New Roman"/>
          <w:sz w:val="30"/>
          <w:szCs w:val="30"/>
          <w:lang w:val="es-ES"/>
        </w:rPr>
        <w:br/>
        <w:t>6. Aprobar el presupuesto anual de la Corporación, previo a su envío al ente rector de las finanzas públicas;</w:t>
      </w:r>
      <w:r>
        <w:rPr>
          <w:rFonts w:eastAsia="Times New Roman"/>
          <w:sz w:val="30"/>
          <w:szCs w:val="30"/>
          <w:lang w:val="es-ES"/>
        </w:rPr>
        <w:br/>
      </w:r>
      <w:r>
        <w:rPr>
          <w:rFonts w:eastAsia="Times New Roman"/>
          <w:sz w:val="30"/>
          <w:szCs w:val="30"/>
          <w:lang w:val="es-ES"/>
        </w:rPr>
        <w:br/>
        <w:t>7. Designar al</w:t>
      </w:r>
      <w:r>
        <w:rPr>
          <w:rFonts w:eastAsia="Times New Roman"/>
          <w:sz w:val="30"/>
          <w:szCs w:val="30"/>
          <w:lang w:val="es-ES"/>
        </w:rPr>
        <w:t xml:space="preserve"> Gerente General;</w:t>
      </w:r>
      <w:r>
        <w:rPr>
          <w:rFonts w:eastAsia="Times New Roman"/>
          <w:sz w:val="30"/>
          <w:szCs w:val="30"/>
          <w:lang w:val="es-ES"/>
        </w:rPr>
        <w:br/>
      </w:r>
      <w:r>
        <w:rPr>
          <w:rFonts w:eastAsia="Times New Roman"/>
          <w:sz w:val="30"/>
          <w:szCs w:val="30"/>
          <w:lang w:val="es-ES"/>
        </w:rPr>
        <w:br/>
        <w:t>8. Calificar como reservada la información que pudiera poner en peligro el normal desenvolvimiento del sistema financiero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Dictar las normas administrativas y expedir los manuales operativos que regirán su funcionamiento;</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0. (Derogado por el num. 7 de la Disposción Reformatoria Segunda de la Ley s/n, R.O. 986-S, 18-IV-2017).</w:t>
      </w:r>
      <w:r>
        <w:rPr>
          <w:rFonts w:eastAsia="Times New Roman"/>
          <w:sz w:val="30"/>
          <w:szCs w:val="30"/>
          <w:lang w:val="es-ES"/>
        </w:rPr>
        <w:br/>
      </w:r>
      <w:r>
        <w:rPr>
          <w:rFonts w:eastAsia="Times New Roman"/>
          <w:sz w:val="30"/>
          <w:szCs w:val="30"/>
          <w:lang w:val="es-ES"/>
        </w:rPr>
        <w:br/>
        <w:t>11. Proponer a la Junta de Política y Regulación Monetaria y Financiera el monto de la cobertura del seguro de seguros privados; y,</w:t>
      </w:r>
      <w:r>
        <w:rPr>
          <w:rFonts w:eastAsia="Times New Roman"/>
          <w:sz w:val="30"/>
          <w:szCs w:val="30"/>
          <w:lang w:val="es-ES"/>
        </w:rPr>
        <w:br/>
      </w:r>
      <w:r>
        <w:rPr>
          <w:rFonts w:eastAsia="Times New Roman"/>
          <w:sz w:val="30"/>
          <w:szCs w:val="30"/>
          <w:lang w:val="es-ES"/>
        </w:rPr>
        <w:br/>
        <w:t>12. Las demás que</w:t>
      </w:r>
      <w:r>
        <w:rPr>
          <w:rFonts w:eastAsia="Times New Roman"/>
          <w:sz w:val="30"/>
          <w:szCs w:val="30"/>
          <w:lang w:val="es-ES"/>
        </w:rPr>
        <w:t xml:space="preserve"> sean necesarias para el cumplimiento de sus funciones.</w:t>
      </w:r>
    </w:p>
    <w:p w:rsidR="00000000" w:rsidRDefault="0018461E">
      <w:pPr>
        <w:divId w:val="35394588"/>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 xml:space="preserve">Funcionamiento. </w:t>
      </w:r>
      <w:r>
        <w:rPr>
          <w:rFonts w:eastAsia="Times New Roman"/>
          <w:sz w:val="30"/>
          <w:szCs w:val="30"/>
          <w:lang w:val="es-ES"/>
        </w:rPr>
        <w:t>El directorio se reunirá de manera ordinaria cada dos meses y de manera extraordinaria cuando lo convoque el presidente o a pedido de alguno de los miembros para tratar temas</w:t>
      </w:r>
      <w:r>
        <w:rPr>
          <w:rFonts w:eastAsia="Times New Roman"/>
          <w:sz w:val="30"/>
          <w:szCs w:val="30"/>
          <w:lang w:val="es-ES"/>
        </w:rPr>
        <w:t xml:space="preserve"> específicos.</w:t>
      </w:r>
      <w:r>
        <w:rPr>
          <w:rFonts w:eastAsia="Times New Roman"/>
          <w:sz w:val="30"/>
          <w:szCs w:val="30"/>
          <w:lang w:val="es-ES"/>
        </w:rPr>
        <w:br/>
      </w:r>
      <w:r>
        <w:rPr>
          <w:rFonts w:eastAsia="Times New Roman"/>
          <w:sz w:val="30"/>
          <w:szCs w:val="30"/>
          <w:lang w:val="es-ES"/>
        </w:rPr>
        <w:br/>
        <w:t>El quórum requerido para la instalación del directorio es con la totalidad sus miembros.</w:t>
      </w:r>
      <w:r>
        <w:rPr>
          <w:rFonts w:eastAsia="Times New Roman"/>
          <w:sz w:val="30"/>
          <w:szCs w:val="30"/>
          <w:lang w:val="es-ES"/>
        </w:rPr>
        <w:br/>
      </w:r>
      <w:r>
        <w:rPr>
          <w:rFonts w:eastAsia="Times New Roman"/>
          <w:sz w:val="30"/>
          <w:szCs w:val="30"/>
          <w:lang w:val="es-ES"/>
        </w:rPr>
        <w:br/>
        <w:t>Las decisiones del directorio se tomarán por mayoría simple.</w:t>
      </w:r>
      <w:r>
        <w:rPr>
          <w:rFonts w:eastAsia="Times New Roman"/>
          <w:sz w:val="30"/>
          <w:szCs w:val="30"/>
          <w:lang w:val="es-ES"/>
        </w:rPr>
        <w:br/>
      </w:r>
      <w:r>
        <w:rPr>
          <w:rFonts w:eastAsia="Times New Roman"/>
          <w:sz w:val="30"/>
          <w:szCs w:val="30"/>
          <w:lang w:val="es-ES"/>
        </w:rPr>
        <w:br/>
        <w:t xml:space="preserve">Los votos de los miembros del directorio se expresarán en forma positiva o negativa y no </w:t>
      </w:r>
      <w:r>
        <w:rPr>
          <w:rFonts w:eastAsia="Times New Roman"/>
          <w:sz w:val="30"/>
          <w:szCs w:val="30"/>
          <w:lang w:val="es-ES"/>
        </w:rPr>
        <w:t>se permite la abstención.</w:t>
      </w:r>
      <w:r>
        <w:rPr>
          <w:rFonts w:eastAsia="Times New Roman"/>
          <w:sz w:val="30"/>
          <w:szCs w:val="30"/>
          <w:lang w:val="es-ES"/>
        </w:rPr>
        <w:br/>
      </w:r>
      <w:r>
        <w:rPr>
          <w:rFonts w:eastAsia="Times New Roman"/>
          <w:sz w:val="30"/>
          <w:szCs w:val="30"/>
          <w:lang w:val="es-ES"/>
        </w:rPr>
        <w:br/>
        <w:t>El funcionamiento del directorio será normado por el propio directorio.</w:t>
      </w:r>
    </w:p>
    <w:p w:rsidR="00000000" w:rsidRDefault="0018461E">
      <w:pPr>
        <w:divId w:val="12611821"/>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Del Gerente General. </w:t>
      </w:r>
      <w:r>
        <w:rPr>
          <w:rFonts w:eastAsia="Times New Roman"/>
          <w:sz w:val="30"/>
          <w:szCs w:val="30"/>
          <w:lang w:val="es-ES"/>
        </w:rPr>
        <w:t>La Corporación del Seguro de Depósitos, Fondo de Liquidez y Fondo de Seguros Privados estará dirigida y representada por el Ge</w:t>
      </w:r>
      <w:r>
        <w:rPr>
          <w:rFonts w:eastAsia="Times New Roman"/>
          <w:sz w:val="30"/>
          <w:szCs w:val="30"/>
          <w:lang w:val="es-ES"/>
        </w:rPr>
        <w:t>rente General.</w:t>
      </w:r>
    </w:p>
    <w:p w:rsidR="00000000" w:rsidRDefault="0018461E">
      <w:pPr>
        <w:divId w:val="1810198062"/>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 xml:space="preserve">Designación y requisitos. </w:t>
      </w:r>
      <w:r>
        <w:rPr>
          <w:rFonts w:eastAsia="Times New Roman"/>
          <w:sz w:val="30"/>
          <w:szCs w:val="30"/>
          <w:lang w:val="es-ES"/>
        </w:rPr>
        <w:t>El Gerente General de la Corporación del Seguro de Depósitos, Fondo de Liquidez y Fondo de Seguros Privados será designado por el directorio y deberá cumplir con los siguientes requisitos:</w:t>
      </w:r>
      <w:r>
        <w:rPr>
          <w:rFonts w:eastAsia="Times New Roman"/>
          <w:sz w:val="30"/>
          <w:szCs w:val="30"/>
          <w:lang w:val="es-ES"/>
        </w:rPr>
        <w:br/>
      </w:r>
      <w:r>
        <w:rPr>
          <w:rFonts w:eastAsia="Times New Roman"/>
          <w:sz w:val="30"/>
          <w:szCs w:val="30"/>
          <w:lang w:val="es-ES"/>
        </w:rPr>
        <w:br/>
        <w:t>1. Ciudadano ec</w:t>
      </w:r>
      <w:r>
        <w:rPr>
          <w:rFonts w:eastAsia="Times New Roman"/>
          <w:sz w:val="30"/>
          <w:szCs w:val="30"/>
          <w:lang w:val="es-ES"/>
        </w:rPr>
        <w:t>uatoriano;</w:t>
      </w:r>
      <w:r>
        <w:rPr>
          <w:rFonts w:eastAsia="Times New Roman"/>
          <w:sz w:val="30"/>
          <w:szCs w:val="30"/>
          <w:lang w:val="es-ES"/>
        </w:rPr>
        <w:br/>
      </w:r>
      <w:r>
        <w:rPr>
          <w:rFonts w:eastAsia="Times New Roman"/>
          <w:sz w:val="30"/>
          <w:szCs w:val="30"/>
          <w:lang w:val="es-ES"/>
        </w:rPr>
        <w:br/>
        <w:t>2. Título profesional de cuarto nivel en economía, finanzas, administración, derecho o áreas relacionadas;</w:t>
      </w:r>
      <w:r>
        <w:rPr>
          <w:rFonts w:eastAsia="Times New Roman"/>
          <w:sz w:val="30"/>
          <w:szCs w:val="30"/>
          <w:lang w:val="es-ES"/>
        </w:rPr>
        <w:br/>
      </w:r>
      <w:r>
        <w:rPr>
          <w:rFonts w:eastAsia="Times New Roman"/>
          <w:sz w:val="30"/>
          <w:szCs w:val="30"/>
          <w:lang w:val="es-ES"/>
        </w:rPr>
        <w:br/>
        <w:t xml:space="preserve">3. Experiencia profesional en áreas relacionadas de por lo menos </w:t>
      </w:r>
      <w:r>
        <w:rPr>
          <w:rFonts w:eastAsia="Times New Roman"/>
          <w:sz w:val="30"/>
          <w:szCs w:val="30"/>
          <w:lang w:val="es-ES"/>
        </w:rPr>
        <w:lastRenderedPageBreak/>
        <w:t>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w:t>
      </w:r>
      <w:r>
        <w:rPr>
          <w:rFonts w:eastAsia="Times New Roman"/>
          <w:sz w:val="30"/>
          <w:szCs w:val="30"/>
          <w:lang w:val="es-ES"/>
        </w:rPr>
        <w:t>ir los requisitos exigidos para ser funcionario o servidor público.</w:t>
      </w:r>
      <w:r>
        <w:rPr>
          <w:rFonts w:eastAsia="Times New Roman"/>
          <w:sz w:val="30"/>
          <w:szCs w:val="30"/>
          <w:lang w:val="es-ES"/>
        </w:rPr>
        <w:br/>
      </w:r>
      <w:r>
        <w:rPr>
          <w:rFonts w:eastAsia="Times New Roman"/>
          <w:sz w:val="30"/>
          <w:szCs w:val="30"/>
          <w:lang w:val="es-ES"/>
        </w:rPr>
        <w:br/>
        <w:t xml:space="preserve">El Gerente General de la Corporación del Seguro de Depósitos, Fondo de Liquidez y Fondo de Seguros Privados no podrá ejercer ninguna otra actividad pública o privada remunerada, salvo la </w:t>
      </w:r>
      <w:r>
        <w:rPr>
          <w:rFonts w:eastAsia="Times New Roman"/>
          <w:sz w:val="30"/>
          <w:szCs w:val="30"/>
          <w:lang w:val="es-ES"/>
        </w:rPr>
        <w:t>docencia universitaria.</w:t>
      </w:r>
    </w:p>
    <w:p w:rsidR="00000000" w:rsidRDefault="0018461E">
      <w:pPr>
        <w:divId w:val="221790772"/>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 xml:space="preserve">Obligaciones. </w:t>
      </w:r>
      <w:r>
        <w:rPr>
          <w:rFonts w:eastAsia="Times New Roman"/>
          <w:sz w:val="30"/>
          <w:szCs w:val="30"/>
          <w:lang w:val="es-ES"/>
        </w:rPr>
        <w:t xml:space="preserve">Los miembros del directorio, el Gerente General y demás funcionarios de la Corporación del Seguro de Depósitos, Fondo de Liquidez y Fondo de Seguros Privados deberán observar, en todo momento, los principios </w:t>
      </w:r>
      <w:r>
        <w:rPr>
          <w:rFonts w:eastAsia="Times New Roman"/>
          <w:sz w:val="30"/>
          <w:szCs w:val="30"/>
          <w:lang w:val="es-ES"/>
        </w:rPr>
        <w:t>de prudencia y reserva y guardar el secreto profesional respecto de la información que manejen en el cumplimiento de sus funciones específicas.</w:t>
      </w:r>
      <w:r>
        <w:rPr>
          <w:rFonts w:eastAsia="Times New Roman"/>
          <w:sz w:val="30"/>
          <w:szCs w:val="30"/>
          <w:lang w:val="es-ES"/>
        </w:rPr>
        <w:br/>
      </w:r>
      <w:r>
        <w:rPr>
          <w:rFonts w:eastAsia="Times New Roman"/>
          <w:sz w:val="30"/>
          <w:szCs w:val="30"/>
          <w:lang w:val="es-ES"/>
        </w:rPr>
        <w:br/>
        <w:t>Los informes relacionados con los préstamos del Fondo de Liquidez tendrán el carácter de reservados.</w:t>
      </w:r>
    </w:p>
    <w:p w:rsidR="00000000" w:rsidRDefault="0018461E">
      <w:pPr>
        <w:divId w:val="1654604555"/>
        <w:rPr>
          <w:rFonts w:eastAsia="Times New Roman"/>
          <w:sz w:val="30"/>
          <w:szCs w:val="30"/>
          <w:lang w:val="es-ES"/>
        </w:rPr>
      </w:pPr>
      <w:r>
        <w:rPr>
          <w:rFonts w:eastAsia="Times New Roman"/>
          <w:sz w:val="30"/>
          <w:szCs w:val="30"/>
          <w:lang w:val="es-ES"/>
        </w:rPr>
        <w:t xml:space="preserve">Art. 90.- </w:t>
      </w:r>
      <w:r>
        <w:rPr>
          <w:rFonts w:eastAsia="Times New Roman"/>
          <w:b/>
          <w:bCs/>
          <w:sz w:val="30"/>
          <w:szCs w:val="30"/>
          <w:lang w:val="es-ES"/>
        </w:rPr>
        <w:t xml:space="preserve">Prohibición. </w:t>
      </w:r>
      <w:r>
        <w:rPr>
          <w:rFonts w:eastAsia="Times New Roman"/>
          <w:sz w:val="30"/>
          <w:szCs w:val="30"/>
          <w:lang w:val="es-ES"/>
        </w:rPr>
        <w:t>El Gerente General de la Corporación del Seguro de Depósitos, Fondo de Liquidez y Fondo de Seguros Privados y los servidores de dicha institución están sometidos a las limitaciones dispuestas en el artículo 8.</w:t>
      </w:r>
    </w:p>
    <w:p w:rsidR="00000000" w:rsidRDefault="0018461E">
      <w:pPr>
        <w:divId w:val="136534869"/>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Funciones del Gerente G</w:t>
      </w:r>
      <w:r>
        <w:rPr>
          <w:rFonts w:eastAsia="Times New Roman"/>
          <w:b/>
          <w:bCs/>
          <w:sz w:val="30"/>
          <w:szCs w:val="30"/>
          <w:lang w:val="es-ES"/>
        </w:rPr>
        <w:t xml:space="preserve">eneral. </w:t>
      </w:r>
      <w:r>
        <w:rPr>
          <w:rFonts w:eastAsia="Times New Roman"/>
          <w:sz w:val="30"/>
          <w:szCs w:val="30"/>
          <w:lang w:val="es-ES"/>
        </w:rPr>
        <w:t>El Gerente General tendrá las siguientes funciones:</w:t>
      </w:r>
      <w:r>
        <w:rPr>
          <w:rFonts w:eastAsia="Times New Roman"/>
          <w:sz w:val="30"/>
          <w:szCs w:val="30"/>
          <w:lang w:val="es-ES"/>
        </w:rPr>
        <w:br/>
      </w:r>
      <w:r>
        <w:rPr>
          <w:rFonts w:eastAsia="Times New Roman"/>
          <w:sz w:val="30"/>
          <w:szCs w:val="30"/>
          <w:lang w:val="es-ES"/>
        </w:rPr>
        <w:br/>
        <w:t>1. Ejercer la representación legal, judicial y extrajudicial de la Corporación;</w:t>
      </w:r>
      <w:r>
        <w:rPr>
          <w:rFonts w:eastAsia="Times New Roman"/>
          <w:sz w:val="30"/>
          <w:szCs w:val="30"/>
          <w:lang w:val="es-ES"/>
        </w:rPr>
        <w:br/>
      </w:r>
      <w:r>
        <w:rPr>
          <w:rFonts w:eastAsia="Times New Roman"/>
          <w:sz w:val="30"/>
          <w:szCs w:val="30"/>
          <w:lang w:val="es-ES"/>
        </w:rPr>
        <w:br/>
        <w:t>2. Disponer el pago del Seguro de Depósito y del Fondo de Seguros Privados;</w:t>
      </w:r>
      <w:r>
        <w:rPr>
          <w:rFonts w:eastAsia="Times New Roman"/>
          <w:sz w:val="30"/>
          <w:szCs w:val="30"/>
          <w:lang w:val="es-ES"/>
        </w:rPr>
        <w:br/>
      </w:r>
      <w:r>
        <w:rPr>
          <w:rFonts w:eastAsia="Times New Roman"/>
          <w:sz w:val="30"/>
          <w:szCs w:val="30"/>
          <w:lang w:val="es-ES"/>
        </w:rPr>
        <w:br/>
        <w:t xml:space="preserve">3. Ejecutar las políticas dispuestas </w:t>
      </w:r>
      <w:r>
        <w:rPr>
          <w:rFonts w:eastAsia="Times New Roman"/>
          <w:sz w:val="30"/>
          <w:szCs w:val="30"/>
          <w:lang w:val="es-ES"/>
        </w:rPr>
        <w:t>por la Junta de Política y Regulación Monetaria y Financiera y su directorio;</w:t>
      </w:r>
      <w:r>
        <w:rPr>
          <w:rFonts w:eastAsia="Times New Roman"/>
          <w:sz w:val="30"/>
          <w:szCs w:val="30"/>
          <w:lang w:val="es-ES"/>
        </w:rPr>
        <w:br/>
      </w:r>
      <w:r>
        <w:rPr>
          <w:rFonts w:eastAsia="Times New Roman"/>
          <w:sz w:val="30"/>
          <w:szCs w:val="30"/>
          <w:lang w:val="es-ES"/>
        </w:rPr>
        <w:br/>
        <w:t>4. Autorizar la compra de activos en el proceso de exclusión y transferencia de activos y pasivos, respetando la regla del menor costo;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Dirigir, coordinar y supervisar la ge</w:t>
      </w:r>
      <w:r>
        <w:rPr>
          <w:rFonts w:eastAsia="Times New Roman"/>
          <w:sz w:val="30"/>
          <w:szCs w:val="30"/>
          <w:lang w:val="es-ES"/>
        </w:rPr>
        <w:t>stión administrativa de la Corporación;</w:t>
      </w:r>
      <w:r>
        <w:rPr>
          <w:rFonts w:eastAsia="Times New Roman"/>
          <w:sz w:val="30"/>
          <w:szCs w:val="30"/>
          <w:lang w:val="es-ES"/>
        </w:rPr>
        <w:br/>
      </w:r>
      <w:r>
        <w:rPr>
          <w:rFonts w:eastAsia="Times New Roman"/>
          <w:sz w:val="30"/>
          <w:szCs w:val="30"/>
          <w:lang w:val="es-ES"/>
        </w:rPr>
        <w:br/>
        <w:t>6. Celebrar a nombre de la Corporación los actos, contratos, convenios y negocios jurídicos que requiera la gestión institucional y las obligaciones que contraiga;</w:t>
      </w:r>
      <w:r>
        <w:rPr>
          <w:rFonts w:eastAsia="Times New Roman"/>
          <w:sz w:val="30"/>
          <w:szCs w:val="30"/>
          <w:lang w:val="es-ES"/>
        </w:rPr>
        <w:br/>
      </w:r>
      <w:r>
        <w:rPr>
          <w:rFonts w:eastAsia="Times New Roman"/>
          <w:sz w:val="30"/>
          <w:szCs w:val="30"/>
          <w:lang w:val="es-ES"/>
        </w:rPr>
        <w:br/>
        <w:t>7. Actuar como autoridad nominadora;</w:t>
      </w:r>
      <w:r>
        <w:rPr>
          <w:rFonts w:eastAsia="Times New Roman"/>
          <w:sz w:val="30"/>
          <w:szCs w:val="30"/>
          <w:lang w:val="es-ES"/>
        </w:rPr>
        <w:br/>
      </w:r>
      <w:r>
        <w:rPr>
          <w:rFonts w:eastAsia="Times New Roman"/>
          <w:sz w:val="30"/>
          <w:szCs w:val="30"/>
          <w:lang w:val="es-ES"/>
        </w:rPr>
        <w:br/>
        <w:t xml:space="preserve">8. Elaborar </w:t>
      </w:r>
      <w:r>
        <w:rPr>
          <w:rFonts w:eastAsia="Times New Roman"/>
          <w:sz w:val="30"/>
          <w:szCs w:val="30"/>
          <w:lang w:val="es-ES"/>
        </w:rPr>
        <w:t>y ejecutar el presupuesto anual de la Corporación;</w:t>
      </w:r>
      <w:r>
        <w:rPr>
          <w:rFonts w:eastAsia="Times New Roman"/>
          <w:sz w:val="30"/>
          <w:szCs w:val="30"/>
          <w:lang w:val="es-ES"/>
        </w:rPr>
        <w:br/>
      </w:r>
      <w:r>
        <w:rPr>
          <w:rFonts w:eastAsia="Times New Roman"/>
          <w:sz w:val="30"/>
          <w:szCs w:val="30"/>
          <w:lang w:val="es-ES"/>
        </w:rPr>
        <w:br/>
        <w:t>9. Ejercer y delegar la jurisdicción coactiva; y,</w:t>
      </w:r>
      <w:r>
        <w:rPr>
          <w:rFonts w:eastAsia="Times New Roman"/>
          <w:sz w:val="30"/>
          <w:szCs w:val="30"/>
          <w:lang w:val="es-ES"/>
        </w:rPr>
        <w:br/>
      </w:r>
      <w:r>
        <w:rPr>
          <w:rFonts w:eastAsia="Times New Roman"/>
          <w:sz w:val="30"/>
          <w:szCs w:val="30"/>
          <w:lang w:val="es-ES"/>
        </w:rPr>
        <w:br/>
        <w:t>10. Ejercer las demás funciones que le asigne la ley.</w:t>
      </w:r>
    </w:p>
    <w:p w:rsidR="00000000" w:rsidRDefault="0018461E">
      <w:pPr>
        <w:divId w:val="1608804144"/>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 xml:space="preserve">Fuero. </w:t>
      </w:r>
      <w:r>
        <w:rPr>
          <w:rFonts w:eastAsia="Times New Roman"/>
          <w:sz w:val="30"/>
          <w:szCs w:val="30"/>
          <w:lang w:val="es-ES"/>
        </w:rPr>
        <w:t>Los miembros del directorio de la Corporación de Seguro de Depósitos, Fondo de Liq</w:t>
      </w:r>
      <w:r>
        <w:rPr>
          <w:rFonts w:eastAsia="Times New Roman"/>
          <w:sz w:val="30"/>
          <w:szCs w:val="30"/>
          <w:lang w:val="es-ES"/>
        </w:rPr>
        <w:t>uidez y Fondo de Seguros Privados o sus delegados y el Gerente General gozarán de fuero de Corte Nacional de Justicia por los actos y decisiones administrativas tomadas en el ejercicio de sus funciones específicas.</w:t>
      </w:r>
    </w:p>
    <w:p w:rsidR="00000000" w:rsidRDefault="0018461E">
      <w:pPr>
        <w:divId w:val="1328510919"/>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 xml:space="preserve">Información al público. </w:t>
      </w:r>
      <w:r>
        <w:rPr>
          <w:rFonts w:eastAsia="Times New Roman"/>
          <w:sz w:val="30"/>
          <w:szCs w:val="30"/>
          <w:lang w:val="es-ES"/>
        </w:rPr>
        <w:t>El dire</w:t>
      </w:r>
      <w:r>
        <w:rPr>
          <w:rFonts w:eastAsia="Times New Roman"/>
          <w:sz w:val="30"/>
          <w:szCs w:val="30"/>
          <w:lang w:val="es-ES"/>
        </w:rPr>
        <w:t>ctorio elaborará y ejecutará un programa de comunicación pública con el objeto de divulgar información acerca de los mecanismos, beneficios y limitaciones del Seguro de Depósitos a los depositantes y a la ciudadanía en general.</w:t>
      </w:r>
      <w:r>
        <w:rPr>
          <w:rFonts w:eastAsia="Times New Roman"/>
          <w:sz w:val="30"/>
          <w:szCs w:val="30"/>
          <w:lang w:val="es-ES"/>
        </w:rPr>
        <w:br/>
      </w:r>
      <w:r>
        <w:rPr>
          <w:rFonts w:eastAsia="Times New Roman"/>
          <w:sz w:val="30"/>
          <w:szCs w:val="30"/>
          <w:lang w:val="es-ES"/>
        </w:rPr>
        <w:br/>
        <w:t>Asimismo, el directorio exp</w:t>
      </w:r>
      <w:r>
        <w:rPr>
          <w:rFonts w:eastAsia="Times New Roman"/>
          <w:sz w:val="30"/>
          <w:szCs w:val="30"/>
          <w:lang w:val="es-ES"/>
        </w:rPr>
        <w:t>edirá las normas sobre la información que deben brindar las entidades financieras sobre la cobertura, exclusiones y pagos respecto del seguro de depósitos.</w:t>
      </w:r>
      <w:r>
        <w:rPr>
          <w:rFonts w:eastAsia="Times New Roman"/>
          <w:sz w:val="30"/>
          <w:szCs w:val="30"/>
          <w:lang w:val="es-ES"/>
        </w:rPr>
        <w:br/>
      </w:r>
      <w:r>
        <w:rPr>
          <w:rFonts w:eastAsia="Times New Roman"/>
          <w:sz w:val="30"/>
          <w:szCs w:val="30"/>
          <w:lang w:val="es-ES"/>
        </w:rPr>
        <w:br/>
        <w:t xml:space="preserve">Los informes relacionados con entidades financieras perderán su condición de reservados después de </w:t>
      </w:r>
      <w:r>
        <w:rPr>
          <w:rFonts w:eastAsia="Times New Roman"/>
          <w:sz w:val="30"/>
          <w:szCs w:val="30"/>
          <w:lang w:val="es-ES"/>
        </w:rPr>
        <w:t>ciento ochenta días desde la fecha de la resolución que dispone la liquidación de una entidad.</w:t>
      </w:r>
    </w:p>
    <w:p w:rsidR="00000000" w:rsidRDefault="0018461E">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SISTEMA MONETARIO</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1 </w:t>
      </w:r>
      <w:r>
        <w:rPr>
          <w:rFonts w:eastAsia="Times New Roman"/>
          <w:b/>
          <w:bCs/>
          <w:sz w:val="36"/>
          <w:szCs w:val="36"/>
          <w:lang w:val="es-ES"/>
        </w:rPr>
        <w:br/>
        <w:t>DE LA MONEDA Y EL DINERO</w:t>
      </w:r>
    </w:p>
    <w:p w:rsidR="00000000" w:rsidRDefault="0018461E">
      <w:pPr>
        <w:divId w:val="819158358"/>
        <w:rPr>
          <w:rFonts w:eastAsia="Times New Roman"/>
          <w:sz w:val="30"/>
          <w:szCs w:val="30"/>
          <w:lang w:val="es-ES"/>
        </w:rPr>
      </w:pPr>
      <w:r>
        <w:rPr>
          <w:rFonts w:eastAsia="Times New Roman"/>
          <w:sz w:val="30"/>
          <w:szCs w:val="30"/>
          <w:lang w:val="es-ES"/>
        </w:rPr>
        <w:t xml:space="preserve">Art. 94.- </w:t>
      </w:r>
      <w:r>
        <w:rPr>
          <w:rFonts w:eastAsia="Times New Roman"/>
          <w:b/>
          <w:bCs/>
          <w:sz w:val="30"/>
          <w:szCs w:val="30"/>
          <w:lang w:val="es-ES"/>
        </w:rPr>
        <w:t xml:space="preserve">De la moneda en la República del Ecuador. </w:t>
      </w:r>
      <w:r>
        <w:rPr>
          <w:rFonts w:eastAsia="Times New Roman"/>
          <w:sz w:val="30"/>
          <w:szCs w:val="30"/>
          <w:lang w:val="es-ES"/>
        </w:rPr>
        <w:t>Todas las transacciones, operaciones monet</w:t>
      </w:r>
      <w:r>
        <w:rPr>
          <w:rFonts w:eastAsia="Times New Roman"/>
          <w:sz w:val="30"/>
          <w:szCs w:val="30"/>
          <w:lang w:val="es-ES"/>
        </w:rPr>
        <w:t xml:space="preserve">arias, financieras y sus registros </w:t>
      </w:r>
      <w:r>
        <w:rPr>
          <w:rFonts w:eastAsia="Times New Roman"/>
          <w:sz w:val="30"/>
          <w:szCs w:val="30"/>
          <w:lang w:val="es-ES"/>
        </w:rPr>
        <w:lastRenderedPageBreak/>
        <w:t>contables, realizados en la República del Ecuador, se expresarán en dólares de los Estados Unidos de América, de conformidad con este Código.</w:t>
      </w:r>
      <w:r>
        <w:rPr>
          <w:rFonts w:eastAsia="Times New Roman"/>
          <w:sz w:val="30"/>
          <w:szCs w:val="30"/>
          <w:lang w:val="es-ES"/>
        </w:rPr>
        <w:br/>
      </w:r>
      <w:r>
        <w:rPr>
          <w:rFonts w:eastAsia="Times New Roman"/>
          <w:sz w:val="30"/>
          <w:szCs w:val="30"/>
          <w:lang w:val="es-ES"/>
        </w:rPr>
        <w:br/>
        <w:t>La circulación, canje, retiro y desmonetización de dólares de los Estados Unid</w:t>
      </w:r>
      <w:r>
        <w:rPr>
          <w:rFonts w:eastAsia="Times New Roman"/>
          <w:sz w:val="30"/>
          <w:szCs w:val="30"/>
          <w:lang w:val="es-ES"/>
        </w:rPr>
        <w:t>os de América, moneda en la República del Ecuador, corresponden exclusivamente al Banco Central del Ecuador, de acuerdo con las disposiciones de este Código y con la regulación que emita la Junta de Política y Regulación Monetaria y Financiera.</w:t>
      </w:r>
      <w:r>
        <w:rPr>
          <w:rFonts w:eastAsia="Times New Roman"/>
          <w:sz w:val="30"/>
          <w:szCs w:val="30"/>
          <w:lang w:val="es-ES"/>
        </w:rPr>
        <w:br/>
      </w:r>
      <w:r>
        <w:rPr>
          <w:rFonts w:eastAsia="Times New Roman"/>
          <w:sz w:val="30"/>
          <w:szCs w:val="30"/>
          <w:lang w:val="es-ES"/>
        </w:rPr>
        <w:br/>
        <w:t>El Banco C</w:t>
      </w:r>
      <w:r>
        <w:rPr>
          <w:rFonts w:eastAsia="Times New Roman"/>
          <w:sz w:val="30"/>
          <w:szCs w:val="30"/>
          <w:lang w:val="es-ES"/>
        </w:rPr>
        <w:t>entral del Ecuador es la única entidad autorizada para proveer y gestionar moneda metálica nacional o electrónica en la República del Ecuador, equivalente y convertible a dólares de los Estados Unidos de América, de acuerdo con las disposiciones de este Có</w:t>
      </w:r>
      <w:r>
        <w:rPr>
          <w:rFonts w:eastAsia="Times New Roman"/>
          <w:sz w:val="30"/>
          <w:szCs w:val="30"/>
          <w:lang w:val="es-ES"/>
        </w:rPr>
        <w:t>digo y con la regulación y autorización de la Junta de Política y Regulación Monetaria y Financiera.</w:t>
      </w:r>
      <w:r>
        <w:rPr>
          <w:rFonts w:eastAsia="Times New Roman"/>
          <w:sz w:val="30"/>
          <w:szCs w:val="30"/>
          <w:lang w:val="es-ES"/>
        </w:rPr>
        <w:br/>
      </w:r>
      <w:r>
        <w:rPr>
          <w:rFonts w:eastAsia="Times New Roman"/>
          <w:sz w:val="30"/>
          <w:szCs w:val="30"/>
          <w:lang w:val="es-ES"/>
        </w:rPr>
        <w:br/>
        <w:t>La moneda determinada en este artículo es medio de pago.</w:t>
      </w:r>
      <w:r>
        <w:rPr>
          <w:rFonts w:eastAsia="Times New Roman"/>
          <w:sz w:val="30"/>
          <w:szCs w:val="30"/>
          <w:lang w:val="es-ES"/>
        </w:rPr>
        <w:br/>
      </w:r>
      <w:r>
        <w:rPr>
          <w:rFonts w:eastAsia="Times New Roman"/>
          <w:sz w:val="30"/>
          <w:szCs w:val="30"/>
          <w:lang w:val="es-ES"/>
        </w:rPr>
        <w:br/>
        <w:t>La moneda tiene poder liberatorio y curso legal en la República del Ecuador en el marco de las r</w:t>
      </w:r>
      <w:r>
        <w:rPr>
          <w:rFonts w:eastAsia="Times New Roman"/>
          <w:sz w:val="30"/>
          <w:szCs w:val="30"/>
          <w:lang w:val="es-ES"/>
        </w:rPr>
        <w:t>egulaciones que emita la Junta de Política y Regulación Monetaria y Financiera. En ningún caso el Estado podrá obligar a una persona natural o jurídica de derecho privado a recibir moneda distinta del dólar de los Estados Unidos de América.</w:t>
      </w:r>
    </w:p>
    <w:p w:rsidR="00000000" w:rsidRDefault="0018461E">
      <w:pPr>
        <w:divId w:val="1054237739"/>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Oblig</w:t>
      </w:r>
      <w:r>
        <w:rPr>
          <w:rFonts w:eastAsia="Times New Roman"/>
          <w:b/>
          <w:bCs/>
          <w:sz w:val="30"/>
          <w:szCs w:val="30"/>
          <w:lang w:val="es-ES"/>
        </w:rPr>
        <w:t xml:space="preserve">ación de proveer liquidez. </w:t>
      </w:r>
      <w:r>
        <w:rPr>
          <w:rFonts w:eastAsia="Times New Roman"/>
          <w:sz w:val="30"/>
          <w:szCs w:val="30"/>
          <w:lang w:val="es-ES"/>
        </w:rPr>
        <w:t>El Banco Central del Ecuador estará obligado a satisfacer oportunamente la demanda de liquidez en la República del Ecuador con el objeto de garantizar el desenvolvimiento de las transacciones económicas.</w:t>
      </w:r>
      <w:r>
        <w:rPr>
          <w:rFonts w:eastAsia="Times New Roman"/>
          <w:sz w:val="30"/>
          <w:szCs w:val="30"/>
          <w:lang w:val="es-ES"/>
        </w:rPr>
        <w:br/>
      </w:r>
      <w:r>
        <w:rPr>
          <w:rFonts w:eastAsia="Times New Roman"/>
          <w:sz w:val="30"/>
          <w:szCs w:val="30"/>
          <w:lang w:val="es-ES"/>
        </w:rPr>
        <w:br/>
        <w:t>Para este efecto, está f</w:t>
      </w:r>
      <w:r>
        <w:rPr>
          <w:rFonts w:eastAsia="Times New Roman"/>
          <w:sz w:val="30"/>
          <w:szCs w:val="30"/>
          <w:lang w:val="es-ES"/>
        </w:rPr>
        <w:t>acultado a efectuar las remesas que sean necesarias, las cuales no se considerarán operaciones de importación o exportación. Estas operaciones que realice el Banco Central del Ecuador no estarán sujetas a tributo alguno en el país.</w:t>
      </w:r>
    </w:p>
    <w:p w:rsidR="00000000" w:rsidRDefault="0018461E">
      <w:pPr>
        <w:divId w:val="1812483555"/>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Remesas de dinero físico para garantizar el circulante. </w:t>
      </w:r>
      <w:r>
        <w:rPr>
          <w:rFonts w:eastAsia="Times New Roman"/>
          <w:sz w:val="30"/>
          <w:szCs w:val="30"/>
          <w:lang w:val="es-ES"/>
        </w:rPr>
        <w:t>Las remesas de dinero físico para garantizar el circulante en la economía nacional, desde y hacia el Ecuador, solo podrán ser efectuadas por el Banco Central del Ecuador y, excepcionalmente, por las e</w:t>
      </w:r>
      <w:r>
        <w:rPr>
          <w:rFonts w:eastAsia="Times New Roman"/>
          <w:sz w:val="30"/>
          <w:szCs w:val="30"/>
          <w:lang w:val="es-ES"/>
        </w:rPr>
        <w:t xml:space="preserve">ntidades del sistema financiero nacional, de acuerdo con las normas que para el efecto dicte la Junta de Política y Regulación Monetaria y Financiera. Estas operaciones deberán cumplir con las </w:t>
      </w:r>
      <w:r>
        <w:rPr>
          <w:rFonts w:eastAsia="Times New Roman"/>
          <w:sz w:val="30"/>
          <w:szCs w:val="30"/>
          <w:lang w:val="es-ES"/>
        </w:rPr>
        <w:lastRenderedPageBreak/>
        <w:t>disposiciones de la Ley de Prevención, Detección y Erradicación</w:t>
      </w:r>
      <w:r>
        <w:rPr>
          <w:rFonts w:eastAsia="Times New Roman"/>
          <w:sz w:val="30"/>
          <w:szCs w:val="30"/>
          <w:lang w:val="es-ES"/>
        </w:rPr>
        <w:t xml:space="preserve"> del Delito de Lavado de Activos y Financiamiento de Delitos.</w:t>
      </w:r>
    </w:p>
    <w:p w:rsidR="00000000" w:rsidRDefault="0018461E">
      <w:pPr>
        <w:divId w:val="563956484"/>
        <w:rPr>
          <w:rFonts w:eastAsia="Times New Roman"/>
          <w:sz w:val="30"/>
          <w:szCs w:val="30"/>
          <w:lang w:val="es-ES"/>
        </w:rPr>
      </w:pPr>
      <w:r>
        <w:rPr>
          <w:rFonts w:eastAsia="Times New Roman"/>
          <w:sz w:val="30"/>
          <w:szCs w:val="30"/>
          <w:lang w:val="es-ES"/>
        </w:rPr>
        <w:t xml:space="preserve">Art. 97.- </w:t>
      </w:r>
      <w:r>
        <w:rPr>
          <w:rFonts w:eastAsia="Times New Roman"/>
          <w:b/>
          <w:bCs/>
          <w:sz w:val="30"/>
          <w:szCs w:val="30"/>
          <w:lang w:val="es-ES"/>
        </w:rPr>
        <w:t xml:space="preserve">Canje de moneda. </w:t>
      </w:r>
      <w:r>
        <w:rPr>
          <w:rFonts w:eastAsia="Times New Roman"/>
          <w:sz w:val="30"/>
          <w:szCs w:val="30"/>
          <w:lang w:val="es-ES"/>
        </w:rPr>
        <w:t>El canje de la moneda, a la que se refiere el artículo 94, de cualquier clase o denominación será realizada por el Banco Central del Ecuador, al portador y a la vista,</w:t>
      </w:r>
      <w:r>
        <w:rPr>
          <w:rFonts w:eastAsia="Times New Roman"/>
          <w:sz w:val="30"/>
          <w:szCs w:val="30"/>
          <w:lang w:val="es-ES"/>
        </w:rPr>
        <w:t xml:space="preserve"> sin cargo de ninguna naturaleza, por moneda de denominación mayor o menor que se le solicite. Si el Banco Central del Ecuador no dispusiere temporalmente de moneda en las denominaciones requeridas, podrá entregar moneda en los valores que más se aproximen</w:t>
      </w:r>
      <w:r>
        <w:rPr>
          <w:rFonts w:eastAsia="Times New Roman"/>
          <w:sz w:val="30"/>
          <w:szCs w:val="30"/>
          <w:lang w:val="es-ES"/>
        </w:rPr>
        <w:t xml:space="preserve"> a los solicitados.</w:t>
      </w:r>
      <w:r>
        <w:rPr>
          <w:rFonts w:eastAsia="Times New Roman"/>
          <w:sz w:val="30"/>
          <w:szCs w:val="30"/>
          <w:lang w:val="es-ES"/>
        </w:rPr>
        <w:br/>
      </w:r>
      <w:r>
        <w:rPr>
          <w:rFonts w:eastAsia="Times New Roman"/>
          <w:sz w:val="30"/>
          <w:szCs w:val="30"/>
          <w:lang w:val="es-ES"/>
        </w:rPr>
        <w:br/>
        <w:t>Las entidades del sistema financiero nacional estarán obligadas a prestar los servicios de canje de moneda de conformidad con los términos que disponga la Junta de Política y Regulación Monetaria y Financiera, con las excepciones que s</w:t>
      </w:r>
      <w:r>
        <w:rPr>
          <w:rFonts w:eastAsia="Times New Roman"/>
          <w:sz w:val="30"/>
          <w:szCs w:val="30"/>
          <w:lang w:val="es-ES"/>
        </w:rPr>
        <w:t>e determinen.</w:t>
      </w:r>
    </w:p>
    <w:p w:rsidR="00000000" w:rsidRDefault="0018461E">
      <w:pPr>
        <w:divId w:val="2126538641"/>
        <w:rPr>
          <w:rFonts w:eastAsia="Times New Roman"/>
          <w:sz w:val="30"/>
          <w:szCs w:val="30"/>
          <w:lang w:val="es-ES"/>
        </w:rPr>
      </w:pPr>
      <w:r>
        <w:rPr>
          <w:rFonts w:eastAsia="Times New Roman"/>
          <w:sz w:val="30"/>
          <w:szCs w:val="30"/>
          <w:lang w:val="es-ES"/>
        </w:rPr>
        <w:t xml:space="preserve">Art. 98.- </w:t>
      </w:r>
      <w:r>
        <w:rPr>
          <w:rFonts w:eastAsia="Times New Roman"/>
          <w:b/>
          <w:bCs/>
          <w:sz w:val="30"/>
          <w:szCs w:val="30"/>
          <w:lang w:val="es-ES"/>
        </w:rPr>
        <w:t xml:space="preserve">Prohibiciones. </w:t>
      </w:r>
      <w:r>
        <w:rPr>
          <w:rFonts w:eastAsia="Times New Roman"/>
          <w:sz w:val="30"/>
          <w:szCs w:val="30"/>
          <w:lang w:val="es-ES"/>
        </w:rPr>
        <w:t>Se prohíbe de forma general:</w:t>
      </w:r>
      <w:r>
        <w:rPr>
          <w:rFonts w:eastAsia="Times New Roman"/>
          <w:sz w:val="30"/>
          <w:szCs w:val="30"/>
          <w:lang w:val="es-ES"/>
        </w:rPr>
        <w:br/>
      </w:r>
      <w:r>
        <w:rPr>
          <w:rFonts w:eastAsia="Times New Roman"/>
          <w:sz w:val="30"/>
          <w:szCs w:val="30"/>
          <w:lang w:val="es-ES"/>
        </w:rPr>
        <w:br/>
        <w:t>1. La emisión, reproducción, imitación, falsificación o simulación total o parcial de moneda y dinero, así como su circulación por cualquier medio, soporte o forma de representación;</w:t>
      </w:r>
      <w:r>
        <w:rPr>
          <w:rFonts w:eastAsia="Times New Roman"/>
          <w:sz w:val="30"/>
          <w:szCs w:val="30"/>
          <w:lang w:val="es-ES"/>
        </w:rPr>
        <w:br/>
      </w:r>
      <w:r>
        <w:rPr>
          <w:rFonts w:eastAsia="Times New Roman"/>
          <w:sz w:val="30"/>
          <w:szCs w:val="30"/>
          <w:lang w:val="es-ES"/>
        </w:rPr>
        <w:br/>
        <w:t xml:space="preserve">2. </w:t>
      </w:r>
      <w:r>
        <w:rPr>
          <w:rFonts w:eastAsia="Times New Roman"/>
          <w:sz w:val="30"/>
          <w:szCs w:val="30"/>
          <w:lang w:val="es-ES"/>
        </w:rPr>
        <w:t>La alteración o transformación de la moneda metálica en circulación, mediante su fundición o cualquier otro procedimiento que tenga por objeto aprovechar su contenido metálico. Esta prohibición no es aplicable al Banco Central del Ecuador; y,</w:t>
      </w:r>
      <w:r>
        <w:rPr>
          <w:rFonts w:eastAsia="Times New Roman"/>
          <w:sz w:val="30"/>
          <w:szCs w:val="30"/>
          <w:lang w:val="es-ES"/>
        </w:rPr>
        <w:br/>
      </w:r>
      <w:r>
        <w:rPr>
          <w:rFonts w:eastAsia="Times New Roman"/>
          <w:sz w:val="30"/>
          <w:szCs w:val="30"/>
          <w:lang w:val="es-ES"/>
        </w:rPr>
        <w:br/>
        <w:t>3. La circul</w:t>
      </w:r>
      <w:r>
        <w:rPr>
          <w:rFonts w:eastAsia="Times New Roman"/>
          <w:sz w:val="30"/>
          <w:szCs w:val="30"/>
          <w:lang w:val="es-ES"/>
        </w:rPr>
        <w:t>ación y recepción de moneda y dinero no autorizados por la Junta de Política y Regulación Monetaria y Financiera.</w:t>
      </w:r>
      <w:r>
        <w:rPr>
          <w:rFonts w:eastAsia="Times New Roman"/>
          <w:sz w:val="30"/>
          <w:szCs w:val="30"/>
          <w:lang w:val="es-ES"/>
        </w:rPr>
        <w:br/>
      </w:r>
      <w:r>
        <w:rPr>
          <w:rFonts w:eastAsia="Times New Roman"/>
          <w:sz w:val="30"/>
          <w:szCs w:val="30"/>
          <w:lang w:val="es-ES"/>
        </w:rPr>
        <w:br/>
        <w:t>La violación de estas prohibiciones será sancionada conforme lo dispone el Código Orgánico Integral Penal y con el comiso de dicha moneda y d</w:t>
      </w:r>
      <w:r>
        <w:rPr>
          <w:rFonts w:eastAsia="Times New Roman"/>
          <w:sz w:val="30"/>
          <w:szCs w:val="30"/>
          <w:lang w:val="es-ES"/>
        </w:rPr>
        <w:t>inero y de los productos adquiridos con esta moneda o dinero.</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MEDIOS DE PAGO</w:t>
      </w:r>
    </w:p>
    <w:p w:rsidR="00000000" w:rsidRDefault="0018461E">
      <w:pPr>
        <w:divId w:val="1606186028"/>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 xml:space="preserve">Otros medios de pago. </w:t>
      </w:r>
      <w:r>
        <w:rPr>
          <w:rFonts w:eastAsia="Times New Roman"/>
          <w:sz w:val="30"/>
          <w:szCs w:val="30"/>
          <w:lang w:val="es-ES"/>
        </w:rPr>
        <w:t>Son medios de pago las divisas distintas del dólar de los Estados Unidos de América, los cheques, las transferencias por medios electr</w:t>
      </w:r>
      <w:r>
        <w:rPr>
          <w:rFonts w:eastAsia="Times New Roman"/>
          <w:sz w:val="30"/>
          <w:szCs w:val="30"/>
          <w:lang w:val="es-ES"/>
        </w:rPr>
        <w:t xml:space="preserve">ónicos o digitales, las tarjetas de </w:t>
      </w:r>
      <w:r>
        <w:rPr>
          <w:rFonts w:eastAsia="Times New Roman"/>
          <w:sz w:val="30"/>
          <w:szCs w:val="30"/>
          <w:lang w:val="es-ES"/>
        </w:rPr>
        <w:lastRenderedPageBreak/>
        <w:t>crédito y débito y otros de similar naturaleza, en los términos que determine y regule la Junta de Política y Regulación Monetaria y Financiera.</w:t>
      </w:r>
    </w:p>
    <w:p w:rsidR="00000000" w:rsidRDefault="0018461E">
      <w:pPr>
        <w:divId w:val="1962302483"/>
        <w:rPr>
          <w:rFonts w:eastAsia="Times New Roman"/>
          <w:sz w:val="30"/>
          <w:szCs w:val="30"/>
          <w:lang w:val="es-ES"/>
        </w:rPr>
      </w:pPr>
      <w:r>
        <w:rPr>
          <w:rFonts w:eastAsia="Times New Roman"/>
          <w:sz w:val="30"/>
          <w:szCs w:val="30"/>
          <w:lang w:val="es-ES"/>
        </w:rPr>
        <w:t xml:space="preserve">Art. 100.- </w:t>
      </w:r>
      <w:r>
        <w:rPr>
          <w:rFonts w:eastAsia="Times New Roman"/>
          <w:b/>
          <w:bCs/>
          <w:sz w:val="30"/>
          <w:szCs w:val="30"/>
          <w:lang w:val="es-ES"/>
        </w:rPr>
        <w:t xml:space="preserve">Obligaciones en otros medios de pago. </w:t>
      </w:r>
      <w:r>
        <w:rPr>
          <w:rFonts w:eastAsia="Times New Roman"/>
          <w:sz w:val="30"/>
          <w:szCs w:val="30"/>
          <w:lang w:val="es-ES"/>
        </w:rPr>
        <w:t>Se podrán pactar obligacio</w:t>
      </w:r>
      <w:r>
        <w:rPr>
          <w:rFonts w:eastAsia="Times New Roman"/>
          <w:sz w:val="30"/>
          <w:szCs w:val="30"/>
          <w:lang w:val="es-ES"/>
        </w:rPr>
        <w:t>nes en medios de pago distintos a los del artículo 94, de conformidad con las regulaciones que emita la Junta de Política y Regulación Monetaria y Financiera.</w:t>
      </w:r>
      <w:r>
        <w:rPr>
          <w:rFonts w:eastAsia="Times New Roman"/>
          <w:sz w:val="30"/>
          <w:szCs w:val="30"/>
          <w:lang w:val="es-ES"/>
        </w:rPr>
        <w:br/>
      </w:r>
      <w:r>
        <w:rPr>
          <w:rFonts w:eastAsia="Times New Roman"/>
          <w:sz w:val="30"/>
          <w:szCs w:val="30"/>
          <w:lang w:val="es-ES"/>
        </w:rPr>
        <w:br/>
        <w:t>Si por el acto mediante el cual se ha constituido una obligación en la que se ha convenido pagar</w:t>
      </w:r>
      <w:r>
        <w:rPr>
          <w:rFonts w:eastAsia="Times New Roman"/>
          <w:sz w:val="30"/>
          <w:szCs w:val="30"/>
          <w:lang w:val="es-ES"/>
        </w:rPr>
        <w:t xml:space="preserve"> con divisas distintas del dólar de los Estados Unidos de América, se cumplirá la obligación entregando la divisa acordada o la moneda determinada en el artículo 94, al cambio vigente en el lugar y fecha del vencimiento de la obligación.</w:t>
      </w:r>
    </w:p>
    <w:p w:rsidR="00000000" w:rsidRDefault="0018461E">
      <w:pPr>
        <w:divId w:val="2027445070"/>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 xml:space="preserve">Moneda </w:t>
      </w:r>
      <w:r>
        <w:rPr>
          <w:rFonts w:eastAsia="Times New Roman"/>
          <w:b/>
          <w:bCs/>
          <w:sz w:val="30"/>
          <w:szCs w:val="30"/>
          <w:lang w:val="es-ES"/>
        </w:rPr>
        <w:t xml:space="preserve">electrónica. </w:t>
      </w:r>
      <w:r>
        <w:rPr>
          <w:rFonts w:eastAsia="Times New Roman"/>
          <w:sz w:val="30"/>
          <w:szCs w:val="30"/>
          <w:lang w:val="es-ES"/>
        </w:rPr>
        <w:t>La moneda electrónica será puesta en circulación privativamente por el Banco Central del Ecuador, respaldada con sus activos líquidos, sobre la base de las políticas y regulaciones que expida la Junta de Política y Regulación Monetaria y Finan</w:t>
      </w:r>
      <w:r>
        <w:rPr>
          <w:rFonts w:eastAsia="Times New Roman"/>
          <w:sz w:val="30"/>
          <w:szCs w:val="30"/>
          <w:lang w:val="es-ES"/>
        </w:rPr>
        <w:t>ciera.</w:t>
      </w:r>
    </w:p>
    <w:p w:rsidR="00000000" w:rsidRDefault="0018461E">
      <w:pPr>
        <w:divId w:val="1517042685"/>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 xml:space="preserve">Obligaciones de depósitos monetarios. </w:t>
      </w:r>
      <w:r>
        <w:rPr>
          <w:rFonts w:eastAsia="Times New Roman"/>
          <w:sz w:val="30"/>
          <w:szCs w:val="30"/>
          <w:lang w:val="es-ES"/>
        </w:rPr>
        <w:t>Únicamente el Banco Central del Ecuador y las entidades del sistema financiero nacional autorizadas pueden contraer obligaciones que tengan el carácter de depósitos monetarios con terceros.</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w:t>
      </w:r>
      <w:r>
        <w:rPr>
          <w:rFonts w:eastAsia="Times New Roman"/>
          <w:b/>
          <w:bCs/>
          <w:sz w:val="36"/>
          <w:szCs w:val="36"/>
          <w:lang w:val="es-ES"/>
        </w:rPr>
        <w:t xml:space="preserve">3 </w:t>
      </w:r>
      <w:r>
        <w:rPr>
          <w:rFonts w:eastAsia="Times New Roman"/>
          <w:b/>
          <w:bCs/>
          <w:sz w:val="36"/>
          <w:szCs w:val="36"/>
          <w:lang w:val="es-ES"/>
        </w:rPr>
        <w:br/>
        <w:t>DE LOS PAGOS Y DE LOS SISTEMAS DE PAGOS</w:t>
      </w:r>
    </w:p>
    <w:p w:rsidR="00000000" w:rsidRDefault="0018461E">
      <w:pPr>
        <w:divId w:val="1760641507"/>
        <w:rPr>
          <w:rFonts w:eastAsia="Times New Roman"/>
          <w:sz w:val="30"/>
          <w:szCs w:val="30"/>
          <w:lang w:val="es-ES"/>
        </w:rPr>
      </w:pPr>
      <w:r>
        <w:rPr>
          <w:rFonts w:eastAsia="Times New Roman"/>
          <w:sz w:val="30"/>
          <w:szCs w:val="30"/>
          <w:lang w:val="es-ES"/>
        </w:rPr>
        <w:t xml:space="preserve">Art. 103.- </w:t>
      </w:r>
      <w:r>
        <w:rPr>
          <w:rFonts w:eastAsia="Times New Roman"/>
          <w:b/>
          <w:bCs/>
          <w:sz w:val="30"/>
          <w:szCs w:val="30"/>
          <w:lang w:val="es-ES"/>
        </w:rPr>
        <w:t xml:space="preserve">Sistema nacional de pagos. </w:t>
      </w:r>
      <w:r>
        <w:rPr>
          <w:rFonts w:eastAsia="Times New Roman"/>
          <w:sz w:val="30"/>
          <w:szCs w:val="30"/>
          <w:lang w:val="es-ES"/>
        </w:rPr>
        <w:t>El sistema nacional de pagos comprende el conjunto de políticas, normas, instrumentos, procedimientos y servicios por medio de los cuales se efectúan, de forma directa o indir</w:t>
      </w:r>
      <w:r>
        <w:rPr>
          <w:rFonts w:eastAsia="Times New Roman"/>
          <w:sz w:val="30"/>
          <w:szCs w:val="30"/>
          <w:lang w:val="es-ES"/>
        </w:rPr>
        <w:t>ecta, las transferencias de recursos gestionados a través de medios de pago y la liquidación de valores entre sus distintos participantes.</w:t>
      </w:r>
      <w:r>
        <w:rPr>
          <w:rFonts w:eastAsia="Times New Roman"/>
          <w:sz w:val="30"/>
          <w:szCs w:val="30"/>
          <w:lang w:val="es-ES"/>
        </w:rPr>
        <w:br/>
      </w:r>
      <w:r>
        <w:rPr>
          <w:rFonts w:eastAsia="Times New Roman"/>
          <w:sz w:val="30"/>
          <w:szCs w:val="30"/>
          <w:lang w:val="es-ES"/>
        </w:rPr>
        <w:br/>
        <w:t>El sistema nacional de pagos está integrado por el sistema central de pagos y los sistemas auxiliares de pago. El Ba</w:t>
      </w:r>
      <w:r>
        <w:rPr>
          <w:rFonts w:eastAsia="Times New Roman"/>
          <w:sz w:val="30"/>
          <w:szCs w:val="30"/>
          <w:lang w:val="es-ES"/>
        </w:rPr>
        <w:t>nco Central del Ecuador establecerá los requisitos de operación, autorización, registro y divulgación de los servicios e información. El régimen tarifario correspondiente estará regulado por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Ban</w:t>
      </w:r>
      <w:r>
        <w:rPr>
          <w:rFonts w:eastAsia="Times New Roman"/>
          <w:sz w:val="30"/>
          <w:szCs w:val="30"/>
          <w:lang w:val="es-ES"/>
        </w:rPr>
        <w:t>co Central del Ecuador promoverá la participación de las entidades que conforman el sistema financiero nacional en el sistema nacional de pagos, y tendrá el deber de fomentar la inclusión financiera mediante la ampliación del acceso y utilización de los se</w:t>
      </w:r>
      <w:r>
        <w:rPr>
          <w:rFonts w:eastAsia="Times New Roman"/>
          <w:sz w:val="30"/>
          <w:szCs w:val="30"/>
          <w:lang w:val="es-ES"/>
        </w:rPr>
        <w:t>rvicios financieros formales a segmentos de la población excluidos o con limitado acceso a ellos.</w:t>
      </w:r>
      <w:r>
        <w:rPr>
          <w:rFonts w:eastAsia="Times New Roman"/>
          <w:sz w:val="30"/>
          <w:szCs w:val="30"/>
          <w:lang w:val="es-ES"/>
        </w:rPr>
        <w:br/>
      </w:r>
      <w:r>
        <w:rPr>
          <w:rFonts w:eastAsia="Times New Roman"/>
          <w:sz w:val="30"/>
          <w:szCs w:val="30"/>
          <w:lang w:val="es-ES"/>
        </w:rPr>
        <w:br/>
        <w:t xml:space="preserve">Los informes que emitan los servidores y funcionarios del Banco Central del Ecuador, en el ejercicio de las funciones de supervisión del sistema nacional de </w:t>
      </w:r>
      <w:r>
        <w:rPr>
          <w:rFonts w:eastAsia="Times New Roman"/>
          <w:sz w:val="30"/>
          <w:szCs w:val="30"/>
          <w:lang w:val="es-ES"/>
        </w:rPr>
        <w:t>pagos, serán escritos y reservados, así como los documentos que el Gerente General califique como tales en virtud de precautelar la estabilidad del sistema.</w:t>
      </w:r>
      <w:r>
        <w:rPr>
          <w:rFonts w:eastAsia="Times New Roman"/>
          <w:sz w:val="30"/>
          <w:szCs w:val="30"/>
          <w:lang w:val="es-ES"/>
        </w:rPr>
        <w:br/>
      </w:r>
      <w:r>
        <w:rPr>
          <w:rFonts w:eastAsia="Times New Roman"/>
          <w:sz w:val="30"/>
          <w:szCs w:val="30"/>
          <w:lang w:val="es-ES"/>
        </w:rPr>
        <w:br/>
        <w:t>Estos informes no se divulgarán a terceros, en todo ni en parte, por el banco, por la entidad supe</w:t>
      </w:r>
      <w:r>
        <w:rPr>
          <w:rFonts w:eastAsia="Times New Roman"/>
          <w:sz w:val="30"/>
          <w:szCs w:val="30"/>
          <w:lang w:val="es-ES"/>
        </w:rPr>
        <w:t>rvisada ni por ninguna persona que actúe por ellos, salvo cuando lo requiera la Junta de Política y Regulación Monetaria y Financiera o cuando se ha determinado indicios de responsabilidad penal, que deberán ser denunciados a la Fiscalía General del Estado</w:t>
      </w:r>
      <w:r>
        <w:rPr>
          <w:rFonts w:eastAsia="Times New Roman"/>
          <w:sz w:val="30"/>
          <w:szCs w:val="30"/>
          <w:lang w:val="es-ES"/>
        </w:rPr>
        <w:t>.</w:t>
      </w:r>
    </w:p>
    <w:p w:rsidR="00000000" w:rsidRDefault="0018461E">
      <w:pPr>
        <w:divId w:val="988482248"/>
        <w:rPr>
          <w:rFonts w:eastAsia="Times New Roman"/>
          <w:sz w:val="30"/>
          <w:szCs w:val="30"/>
          <w:lang w:val="es-ES"/>
        </w:rPr>
      </w:pPr>
      <w:r>
        <w:rPr>
          <w:rFonts w:eastAsia="Times New Roman"/>
          <w:sz w:val="30"/>
          <w:szCs w:val="30"/>
          <w:lang w:val="es-ES"/>
        </w:rPr>
        <w:t xml:space="preserve">Art. 104.- </w:t>
      </w:r>
      <w:r>
        <w:rPr>
          <w:rFonts w:eastAsia="Times New Roman"/>
          <w:b/>
          <w:bCs/>
          <w:sz w:val="30"/>
          <w:szCs w:val="30"/>
          <w:lang w:val="es-ES"/>
        </w:rPr>
        <w:t xml:space="preserve">Sistema central de pagos. </w:t>
      </w:r>
      <w:r>
        <w:rPr>
          <w:rFonts w:eastAsia="Times New Roman"/>
          <w:sz w:val="30"/>
          <w:szCs w:val="30"/>
          <w:lang w:val="es-ES"/>
        </w:rPr>
        <w:t>El sistema central de pagos es el conjunto de políticas, normas, instrumentos, procedimientos y servicios articulados y coordinados, a cargo del Banco Central del Ecuador, a través del cual se efectúan las transferenc</w:t>
      </w:r>
      <w:r>
        <w:rPr>
          <w:rFonts w:eastAsia="Times New Roman"/>
          <w:sz w:val="30"/>
          <w:szCs w:val="30"/>
          <w:lang w:val="es-ES"/>
        </w:rPr>
        <w:t>ias de recursos de sus participantes, así como su compensación y liquidación.</w:t>
      </w:r>
      <w:r>
        <w:rPr>
          <w:rFonts w:eastAsia="Times New Roman"/>
          <w:sz w:val="30"/>
          <w:szCs w:val="30"/>
          <w:lang w:val="es-ES"/>
        </w:rPr>
        <w:br/>
      </w:r>
      <w:r>
        <w:rPr>
          <w:rFonts w:eastAsia="Times New Roman"/>
          <w:sz w:val="30"/>
          <w:szCs w:val="30"/>
          <w:lang w:val="es-ES"/>
        </w:rPr>
        <w:br/>
        <w:t>La Junta de Política y Regulación Monetaria y Financiera establecerá los requisitos y las condiciones para el acceso al sistema central de pagos.</w:t>
      </w:r>
    </w:p>
    <w:p w:rsidR="00000000" w:rsidRDefault="0018461E">
      <w:pPr>
        <w:divId w:val="784621876"/>
        <w:rPr>
          <w:rFonts w:eastAsia="Times New Roman"/>
          <w:sz w:val="30"/>
          <w:szCs w:val="30"/>
          <w:lang w:val="es-ES"/>
        </w:rPr>
      </w:pPr>
      <w:r>
        <w:rPr>
          <w:rFonts w:eastAsia="Times New Roman"/>
          <w:sz w:val="30"/>
          <w:szCs w:val="30"/>
          <w:lang w:val="es-ES"/>
        </w:rPr>
        <w:t xml:space="preserve">Art. 105.- </w:t>
      </w:r>
      <w:r>
        <w:rPr>
          <w:rFonts w:eastAsia="Times New Roman"/>
          <w:b/>
          <w:bCs/>
          <w:sz w:val="30"/>
          <w:szCs w:val="30"/>
          <w:lang w:val="es-ES"/>
        </w:rPr>
        <w:t xml:space="preserve">Sistemas auxiliares </w:t>
      </w:r>
      <w:r>
        <w:rPr>
          <w:rFonts w:eastAsia="Times New Roman"/>
          <w:b/>
          <w:bCs/>
          <w:sz w:val="30"/>
          <w:szCs w:val="30"/>
          <w:lang w:val="es-ES"/>
        </w:rPr>
        <w:t xml:space="preserve">de pago. </w:t>
      </w:r>
      <w:r>
        <w:rPr>
          <w:rFonts w:eastAsia="Times New Roman"/>
          <w:sz w:val="30"/>
          <w:szCs w:val="30"/>
          <w:lang w:val="es-ES"/>
        </w:rPr>
        <w:t xml:space="preserve">Los sistemas auxiliares de pago son el conjunto de políticas, normas, instrumentos, procedimientos y servicios articulados y coordinados, públicos o privados, autorizados por el Banco Central del Ecuador, interconectados con el sistema central de </w:t>
      </w:r>
      <w:r>
        <w:rPr>
          <w:rFonts w:eastAsia="Times New Roman"/>
          <w:sz w:val="30"/>
          <w:szCs w:val="30"/>
          <w:lang w:val="es-ES"/>
        </w:rPr>
        <w:t>pagos, establecidos para efectuar transferencias de recursos y compensación entre sus distintos participantes.</w:t>
      </w:r>
      <w:r>
        <w:rPr>
          <w:rFonts w:eastAsia="Times New Roman"/>
          <w:sz w:val="30"/>
          <w:szCs w:val="30"/>
          <w:lang w:val="es-ES"/>
        </w:rPr>
        <w:br/>
      </w:r>
      <w:r>
        <w:rPr>
          <w:rFonts w:eastAsia="Times New Roman"/>
          <w:sz w:val="30"/>
          <w:szCs w:val="30"/>
          <w:lang w:val="es-ES"/>
        </w:rPr>
        <w:br/>
        <w:t>Las entidades de servicios auxiliares del sistema financiero nacional que realicen actividades transaccionales y las empresas que realicen remes</w:t>
      </w:r>
      <w:r>
        <w:rPr>
          <w:rFonts w:eastAsia="Times New Roman"/>
          <w:sz w:val="30"/>
          <w:szCs w:val="30"/>
          <w:lang w:val="es-ES"/>
        </w:rPr>
        <w:t>as de dinero y giro postal, para su operación requerirán la autorización previa del Banco Central del Ecuador.</w:t>
      </w:r>
    </w:p>
    <w:p w:rsidR="00000000" w:rsidRDefault="0018461E">
      <w:pPr>
        <w:divId w:val="749815710"/>
        <w:rPr>
          <w:rFonts w:eastAsia="Times New Roman"/>
          <w:sz w:val="30"/>
          <w:szCs w:val="30"/>
          <w:lang w:val="es-ES"/>
        </w:rPr>
      </w:pPr>
      <w:r>
        <w:rPr>
          <w:rFonts w:eastAsia="Times New Roman"/>
          <w:sz w:val="30"/>
          <w:szCs w:val="30"/>
          <w:lang w:val="es-ES"/>
        </w:rPr>
        <w:lastRenderedPageBreak/>
        <w:t xml:space="preserve">Art. 106.- </w:t>
      </w:r>
      <w:r>
        <w:rPr>
          <w:rFonts w:eastAsia="Times New Roman"/>
          <w:b/>
          <w:bCs/>
          <w:sz w:val="30"/>
          <w:szCs w:val="30"/>
          <w:lang w:val="es-ES"/>
        </w:rPr>
        <w:t xml:space="preserve">Pagos y su irrevocabilidad. </w:t>
      </w:r>
      <w:r>
        <w:rPr>
          <w:rFonts w:eastAsia="Times New Roman"/>
          <w:sz w:val="30"/>
          <w:szCs w:val="30"/>
          <w:lang w:val="es-ES"/>
        </w:rPr>
        <w:t xml:space="preserve">Los pagos ordenados y aceptados a través del sistema nacional de pagos tienen la calidad de irrevocables, </w:t>
      </w:r>
      <w:r>
        <w:rPr>
          <w:rFonts w:eastAsia="Times New Roman"/>
          <w:sz w:val="30"/>
          <w:szCs w:val="30"/>
          <w:lang w:val="es-ES"/>
        </w:rPr>
        <w:t>vinculantes y oponibles a terceros, no podrán suspenderse o dejarse sin efecto, son legalmente exigibles y tendrán igual valor jurídico que los documentos escritos.</w:t>
      </w:r>
      <w:r>
        <w:rPr>
          <w:rFonts w:eastAsia="Times New Roman"/>
          <w:sz w:val="30"/>
          <w:szCs w:val="30"/>
          <w:lang w:val="es-ES"/>
        </w:rPr>
        <w:br/>
      </w:r>
      <w:r>
        <w:rPr>
          <w:rFonts w:eastAsia="Times New Roman"/>
          <w:sz w:val="30"/>
          <w:szCs w:val="30"/>
          <w:lang w:val="es-ES"/>
        </w:rPr>
        <w:br/>
        <w:t>Ninguna providencia judicial, decisión arbitral, acto administrativo, medida cautelar ni e</w:t>
      </w:r>
      <w:r>
        <w:rPr>
          <w:rFonts w:eastAsia="Times New Roman"/>
          <w:sz w:val="30"/>
          <w:szCs w:val="30"/>
          <w:lang w:val="es-ES"/>
        </w:rPr>
        <w:t xml:space="preserve">mbargo podrá suspender, revocar o dejar sin efecto un pago previamente ordenado por el participante y aceptado por el administrador del sistema. Estas medidas solo regirán a futuro y surtirán efecto a partir de la notificación de la autoridad competente a </w:t>
      </w:r>
      <w:r>
        <w:rPr>
          <w:rFonts w:eastAsia="Times New Roman"/>
          <w:sz w:val="30"/>
          <w:szCs w:val="30"/>
          <w:lang w:val="es-ES"/>
        </w:rPr>
        <w:t>la respectiva entidad del Sistema Financiero Nacional o del mercado de valores, al participante o al administrador del sistema, según corresponda.</w:t>
      </w:r>
      <w:r>
        <w:rPr>
          <w:rFonts w:eastAsia="Times New Roman"/>
          <w:sz w:val="30"/>
          <w:szCs w:val="30"/>
          <w:lang w:val="es-ES"/>
        </w:rPr>
        <w:br/>
      </w:r>
      <w:r>
        <w:rPr>
          <w:rFonts w:eastAsia="Times New Roman"/>
          <w:sz w:val="30"/>
          <w:szCs w:val="30"/>
          <w:lang w:val="es-ES"/>
        </w:rPr>
        <w:br/>
        <w:t>Las firmas electrónicas y el uso de claves oficiales para las transacciones canalizadas a través del sistema</w:t>
      </w:r>
      <w:r>
        <w:rPr>
          <w:rFonts w:eastAsia="Times New Roman"/>
          <w:sz w:val="30"/>
          <w:szCs w:val="30"/>
          <w:lang w:val="es-ES"/>
        </w:rPr>
        <w:t xml:space="preserve"> nacional de pagos tendrán igual validez y se les reconocerán los efectos jurídicos que las firmas ológrafas.</w:t>
      </w:r>
    </w:p>
    <w:p w:rsidR="00000000" w:rsidRDefault="0018461E">
      <w:pPr>
        <w:divId w:val="408036968"/>
        <w:rPr>
          <w:rFonts w:eastAsia="Times New Roman"/>
          <w:sz w:val="30"/>
          <w:szCs w:val="30"/>
          <w:lang w:val="es-ES"/>
        </w:rPr>
      </w:pPr>
      <w:r>
        <w:rPr>
          <w:rFonts w:eastAsia="Times New Roman"/>
          <w:sz w:val="30"/>
          <w:szCs w:val="30"/>
          <w:lang w:val="es-ES"/>
        </w:rPr>
        <w:t xml:space="preserve">Art. 107.- </w:t>
      </w:r>
      <w:r>
        <w:rPr>
          <w:rFonts w:eastAsia="Times New Roman"/>
          <w:b/>
          <w:bCs/>
          <w:sz w:val="30"/>
          <w:szCs w:val="30"/>
          <w:lang w:val="es-ES"/>
        </w:rPr>
        <w:t xml:space="preserve">Responsabilidad. </w:t>
      </w:r>
      <w:r>
        <w:rPr>
          <w:rFonts w:eastAsia="Times New Roman"/>
          <w:sz w:val="30"/>
          <w:szCs w:val="30"/>
          <w:lang w:val="es-ES"/>
        </w:rPr>
        <w:t>Los participantes del sistema nacional de pagos deberán mantener debidamente archivados todos los documentos de soport</w:t>
      </w:r>
      <w:r>
        <w:rPr>
          <w:rFonts w:eastAsia="Times New Roman"/>
          <w:sz w:val="30"/>
          <w:szCs w:val="30"/>
          <w:lang w:val="es-ES"/>
        </w:rPr>
        <w:t>e y serán responsables administrativa, civil y penalmente por las solicitudes realizadas con base en información imprecisa, incompleta o falsa.</w:t>
      </w:r>
    </w:p>
    <w:p w:rsidR="00000000" w:rsidRDefault="0018461E">
      <w:pPr>
        <w:divId w:val="55278527"/>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 xml:space="preserve">Compensación y liquidación. </w:t>
      </w:r>
      <w:r>
        <w:rPr>
          <w:rFonts w:eastAsia="Times New Roman"/>
          <w:sz w:val="30"/>
          <w:szCs w:val="30"/>
          <w:lang w:val="es-ES"/>
        </w:rPr>
        <w:t>El Banco Central del Ecuador es el compensador y liquidador de recursos e</w:t>
      </w:r>
      <w:r>
        <w:rPr>
          <w:rFonts w:eastAsia="Times New Roman"/>
          <w:sz w:val="30"/>
          <w:szCs w:val="30"/>
          <w:lang w:val="es-ES"/>
        </w:rPr>
        <w:t>n el sistema central de pagos y liquidador de recursos en los sistemas auxiliares de pagos. Estos sistemas auxiliares, así como las entidades del sistema financiero nacional, remitirán con la periodicidad y en la forma que determine el Banco Central del Ec</w:t>
      </w:r>
      <w:r>
        <w:rPr>
          <w:rFonts w:eastAsia="Times New Roman"/>
          <w:sz w:val="30"/>
          <w:szCs w:val="30"/>
          <w:lang w:val="es-ES"/>
        </w:rPr>
        <w:t>uador el detalle y los resultados de los procesos de compensación a ser liquidados.</w:t>
      </w:r>
      <w:r>
        <w:rPr>
          <w:rFonts w:eastAsia="Times New Roman"/>
          <w:sz w:val="30"/>
          <w:szCs w:val="30"/>
          <w:lang w:val="es-ES"/>
        </w:rPr>
        <w:br/>
      </w:r>
      <w:r>
        <w:rPr>
          <w:rFonts w:eastAsia="Times New Roman"/>
          <w:sz w:val="30"/>
          <w:szCs w:val="30"/>
          <w:lang w:val="es-ES"/>
        </w:rPr>
        <w:br/>
        <w:t>Las deficiencias en las cámaras de compensación y liquidación del sistema central de pagos de las entidades que aportan al Fondo de Liquidez del sistema financiero naciona</w:t>
      </w:r>
      <w:r>
        <w:rPr>
          <w:rFonts w:eastAsia="Times New Roman"/>
          <w:sz w:val="30"/>
          <w:szCs w:val="30"/>
          <w:lang w:val="es-ES"/>
        </w:rPr>
        <w:t>l serán cubiertas con los recursos de dicho fondo.</w:t>
      </w:r>
    </w:p>
    <w:p w:rsidR="00000000" w:rsidRDefault="0018461E">
      <w:pPr>
        <w:divId w:val="243151467"/>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 xml:space="preserve">Supervisión de los sistemas auxiliares de pagos. </w:t>
      </w:r>
      <w:r>
        <w:rPr>
          <w:rFonts w:eastAsia="Times New Roman"/>
          <w:sz w:val="30"/>
          <w:szCs w:val="30"/>
          <w:lang w:val="es-ES"/>
        </w:rPr>
        <w:t>El Banco Central del Ecuador efectuará la vigilancia y supervisión de los sistemas auxiliares de pagos y de sus entidades administradoras así com</w:t>
      </w:r>
      <w:r>
        <w:rPr>
          <w:rFonts w:eastAsia="Times New Roman"/>
          <w:sz w:val="30"/>
          <w:szCs w:val="30"/>
          <w:lang w:val="es-ES"/>
        </w:rPr>
        <w:t xml:space="preserve">o de cualquier infraestructura de pagos o de transferencias de </w:t>
      </w:r>
      <w:r>
        <w:rPr>
          <w:rFonts w:eastAsia="Times New Roman"/>
          <w:sz w:val="30"/>
          <w:szCs w:val="30"/>
          <w:lang w:val="es-ES"/>
        </w:rPr>
        <w:lastRenderedPageBreak/>
        <w:t>recursos monetarios que actúen en el mercado, debidamente autorizados por autoridad competente, para asegurar el correcto funcionamiento de los canales, instrumentos y medios de pago que se pro</w:t>
      </w:r>
      <w:r>
        <w:rPr>
          <w:rFonts w:eastAsia="Times New Roman"/>
          <w:sz w:val="30"/>
          <w:szCs w:val="30"/>
          <w:lang w:val="es-ES"/>
        </w:rPr>
        <w:t>cesen por su intermedio.</w:t>
      </w:r>
      <w:r>
        <w:rPr>
          <w:rFonts w:eastAsia="Times New Roman"/>
          <w:sz w:val="30"/>
          <w:szCs w:val="30"/>
          <w:lang w:val="es-ES"/>
        </w:rPr>
        <w:br/>
      </w:r>
      <w:r>
        <w:rPr>
          <w:rFonts w:eastAsia="Times New Roman"/>
          <w:sz w:val="30"/>
          <w:szCs w:val="30"/>
          <w:lang w:val="es-ES"/>
        </w:rPr>
        <w:br/>
        <w:t>Los administradores de los sistemas auxiliares de pagos incluyendo cualquier infraestructura de pagos o de transferencias de recursos monetarios, estarán obligados a remitir al Banco Central del Ecuador la información que este req</w:t>
      </w:r>
      <w:r>
        <w:rPr>
          <w:rFonts w:eastAsia="Times New Roman"/>
          <w:sz w:val="30"/>
          <w:szCs w:val="30"/>
          <w:lang w:val="es-ES"/>
        </w:rPr>
        <w:t>uiera y en los plazos que determine.</w:t>
      </w:r>
    </w:p>
    <w:p w:rsidR="00000000" w:rsidRDefault="0018461E">
      <w:pPr>
        <w:divId w:val="1461535319"/>
        <w:rPr>
          <w:rFonts w:eastAsia="Times New Roman"/>
          <w:sz w:val="30"/>
          <w:szCs w:val="30"/>
          <w:lang w:val="es-ES"/>
        </w:rPr>
      </w:pPr>
      <w:r>
        <w:rPr>
          <w:rFonts w:eastAsia="Times New Roman"/>
          <w:sz w:val="30"/>
          <w:szCs w:val="30"/>
          <w:lang w:val="es-ES"/>
        </w:rPr>
        <w:t xml:space="preserve">Art. 110.- </w:t>
      </w:r>
      <w:r>
        <w:rPr>
          <w:rFonts w:eastAsia="Times New Roman"/>
          <w:b/>
          <w:bCs/>
          <w:sz w:val="30"/>
          <w:szCs w:val="30"/>
          <w:lang w:val="es-ES"/>
        </w:rPr>
        <w:t xml:space="preserve">Medidas correctivas. </w:t>
      </w:r>
      <w:r>
        <w:rPr>
          <w:rFonts w:eastAsia="Times New Roman"/>
          <w:sz w:val="30"/>
          <w:szCs w:val="30"/>
          <w:lang w:val="es-ES"/>
        </w:rPr>
        <w:t>El Banco Central del Ecuador dispondrá la aplicación de medidas correctivas a los sistemas de pagos auxiliares que hayan incumplido la normativa correspondiente.</w:t>
      </w:r>
    </w:p>
    <w:p w:rsidR="00000000" w:rsidRDefault="0018461E">
      <w:pPr>
        <w:divId w:val="284234466"/>
        <w:rPr>
          <w:rFonts w:eastAsia="Times New Roman"/>
          <w:sz w:val="30"/>
          <w:szCs w:val="30"/>
          <w:lang w:val="es-ES"/>
        </w:rPr>
      </w:pPr>
      <w:r>
        <w:rPr>
          <w:rFonts w:eastAsia="Times New Roman"/>
          <w:sz w:val="30"/>
          <w:szCs w:val="30"/>
          <w:lang w:val="es-ES"/>
        </w:rPr>
        <w:t xml:space="preserve">Art. 111.- </w:t>
      </w:r>
      <w:r>
        <w:rPr>
          <w:rFonts w:eastAsia="Times New Roman"/>
          <w:b/>
          <w:bCs/>
          <w:sz w:val="30"/>
          <w:szCs w:val="30"/>
          <w:lang w:val="es-ES"/>
        </w:rPr>
        <w:t xml:space="preserve">Infracciones. </w:t>
      </w:r>
      <w:r>
        <w:rPr>
          <w:rFonts w:eastAsia="Times New Roman"/>
          <w:sz w:val="30"/>
          <w:szCs w:val="30"/>
          <w:lang w:val="es-ES"/>
        </w:rPr>
        <w:t>El Banco Central del Ecuador sancionará a las entidades a cargo de los sistemas auxiliares de pagos y a sus administradores, cuando corresponda, por las siguientes causas:</w:t>
      </w:r>
      <w:r>
        <w:rPr>
          <w:rFonts w:eastAsia="Times New Roman"/>
          <w:sz w:val="30"/>
          <w:szCs w:val="30"/>
          <w:lang w:val="es-ES"/>
        </w:rPr>
        <w:br/>
      </w:r>
      <w:r>
        <w:rPr>
          <w:rFonts w:eastAsia="Times New Roman"/>
          <w:sz w:val="30"/>
          <w:szCs w:val="30"/>
          <w:lang w:val="es-ES"/>
        </w:rPr>
        <w:br/>
        <w:t>1. No ajustar la reglamentación interna a la normativa que emita la Junta de Políti</w:t>
      </w:r>
      <w:r>
        <w:rPr>
          <w:rFonts w:eastAsia="Times New Roman"/>
          <w:sz w:val="30"/>
          <w:szCs w:val="30"/>
          <w:lang w:val="es-ES"/>
        </w:rPr>
        <w:t>ca y Regulación Monetaria y Financiera;</w:t>
      </w:r>
      <w:r>
        <w:rPr>
          <w:rFonts w:eastAsia="Times New Roman"/>
          <w:sz w:val="30"/>
          <w:szCs w:val="30"/>
          <w:lang w:val="es-ES"/>
        </w:rPr>
        <w:br/>
      </w:r>
      <w:r>
        <w:rPr>
          <w:rFonts w:eastAsia="Times New Roman"/>
          <w:sz w:val="30"/>
          <w:szCs w:val="30"/>
          <w:lang w:val="es-ES"/>
        </w:rPr>
        <w:br/>
        <w:t>2. No realizar las modificaciones a la reglamentación interna requeridas por el Banco Central del Ecuador dentro del plazo que se determine;</w:t>
      </w:r>
      <w:r>
        <w:rPr>
          <w:rFonts w:eastAsia="Times New Roman"/>
          <w:sz w:val="30"/>
          <w:szCs w:val="30"/>
          <w:lang w:val="es-ES"/>
        </w:rPr>
        <w:br/>
      </w:r>
      <w:r>
        <w:rPr>
          <w:rFonts w:eastAsia="Times New Roman"/>
          <w:sz w:val="30"/>
          <w:szCs w:val="30"/>
          <w:lang w:val="es-ES"/>
        </w:rPr>
        <w:br/>
        <w:t>3. Modificar los reglamentos internos sin contar con la autorización prev</w:t>
      </w:r>
      <w:r>
        <w:rPr>
          <w:rFonts w:eastAsia="Times New Roman"/>
          <w:sz w:val="30"/>
          <w:szCs w:val="30"/>
          <w:lang w:val="es-ES"/>
        </w:rPr>
        <w:t>ia del Banco Central del Ecuador;</w:t>
      </w:r>
      <w:r>
        <w:rPr>
          <w:rFonts w:eastAsia="Times New Roman"/>
          <w:sz w:val="30"/>
          <w:szCs w:val="30"/>
          <w:lang w:val="es-ES"/>
        </w:rPr>
        <w:br/>
      </w:r>
      <w:r>
        <w:rPr>
          <w:rFonts w:eastAsia="Times New Roman"/>
          <w:sz w:val="30"/>
          <w:szCs w:val="30"/>
          <w:lang w:val="es-ES"/>
        </w:rPr>
        <w:br/>
        <w:t>4. No presentar la información que el Banco Central del Ecuador requiera o presentarla de manera imprecisa, incompleta o extemporánea;</w:t>
      </w:r>
      <w:r>
        <w:rPr>
          <w:rFonts w:eastAsia="Times New Roman"/>
          <w:sz w:val="30"/>
          <w:szCs w:val="30"/>
          <w:lang w:val="es-ES"/>
        </w:rPr>
        <w:br/>
      </w:r>
      <w:r>
        <w:rPr>
          <w:rFonts w:eastAsia="Times New Roman"/>
          <w:sz w:val="30"/>
          <w:szCs w:val="30"/>
          <w:lang w:val="es-ES"/>
        </w:rPr>
        <w:br/>
        <w:t>5. Proporcionar al Banco Central del Ecuador información falsa relacionada con el sis</w:t>
      </w:r>
      <w:r>
        <w:rPr>
          <w:rFonts w:eastAsia="Times New Roman"/>
          <w:sz w:val="30"/>
          <w:szCs w:val="30"/>
          <w:lang w:val="es-ES"/>
        </w:rPr>
        <w:t>tema de pagos respectivo;</w:t>
      </w:r>
      <w:r>
        <w:rPr>
          <w:rFonts w:eastAsia="Times New Roman"/>
          <w:sz w:val="30"/>
          <w:szCs w:val="30"/>
          <w:lang w:val="es-ES"/>
        </w:rPr>
        <w:br/>
      </w:r>
      <w:r>
        <w:rPr>
          <w:rFonts w:eastAsia="Times New Roman"/>
          <w:sz w:val="30"/>
          <w:szCs w:val="30"/>
          <w:lang w:val="es-ES"/>
        </w:rPr>
        <w:br/>
        <w:t>6. Incumplir las medidas correctivas; y,</w:t>
      </w:r>
      <w:r>
        <w:rPr>
          <w:rFonts w:eastAsia="Times New Roman"/>
          <w:sz w:val="30"/>
          <w:szCs w:val="30"/>
          <w:lang w:val="es-ES"/>
        </w:rPr>
        <w:br/>
      </w:r>
      <w:r>
        <w:rPr>
          <w:rFonts w:eastAsia="Times New Roman"/>
          <w:sz w:val="30"/>
          <w:szCs w:val="30"/>
          <w:lang w:val="es-ES"/>
        </w:rPr>
        <w:br/>
        <w:t>7. Incumplir con cualquier otra obligación prevista en este Código o en la normativa que regule a los sistemas de pagos.</w:t>
      </w:r>
      <w:r>
        <w:rPr>
          <w:rFonts w:eastAsia="Times New Roman"/>
          <w:sz w:val="30"/>
          <w:szCs w:val="30"/>
          <w:lang w:val="es-ES"/>
        </w:rPr>
        <w:br/>
      </w:r>
      <w:r>
        <w:rPr>
          <w:rFonts w:eastAsia="Times New Roman"/>
          <w:sz w:val="30"/>
          <w:szCs w:val="30"/>
          <w:lang w:val="es-ES"/>
        </w:rPr>
        <w:br/>
        <w:t xml:space="preserve">Las infracciones contenidas en los numerales 1, 2 y 3 serán </w:t>
      </w:r>
      <w:r>
        <w:rPr>
          <w:rFonts w:eastAsia="Times New Roman"/>
          <w:sz w:val="30"/>
          <w:szCs w:val="30"/>
          <w:lang w:val="es-ES"/>
        </w:rPr>
        <w:lastRenderedPageBreak/>
        <w:t>consi</w:t>
      </w:r>
      <w:r>
        <w:rPr>
          <w:rFonts w:eastAsia="Times New Roman"/>
          <w:sz w:val="30"/>
          <w:szCs w:val="30"/>
          <w:lang w:val="es-ES"/>
        </w:rPr>
        <w:t>deradas graves. Las infracciones de los numerales 4, 5, 6 y 7 serán consideradas como muy graves.</w:t>
      </w:r>
    </w:p>
    <w:p w:rsidR="00000000" w:rsidRDefault="0018461E">
      <w:pPr>
        <w:divId w:val="1875265195"/>
        <w:rPr>
          <w:rFonts w:eastAsia="Times New Roman"/>
          <w:sz w:val="30"/>
          <w:szCs w:val="30"/>
          <w:lang w:val="es-ES"/>
        </w:rPr>
      </w:pPr>
      <w:r>
        <w:rPr>
          <w:rFonts w:eastAsia="Times New Roman"/>
          <w:sz w:val="30"/>
          <w:szCs w:val="30"/>
          <w:lang w:val="es-ES"/>
        </w:rPr>
        <w:t xml:space="preserve">Art. 112.- </w:t>
      </w:r>
      <w:r>
        <w:rPr>
          <w:rFonts w:eastAsia="Times New Roman"/>
          <w:b/>
          <w:bCs/>
          <w:sz w:val="30"/>
          <w:szCs w:val="30"/>
          <w:lang w:val="es-ES"/>
        </w:rPr>
        <w:t xml:space="preserve">Sanciones. </w:t>
      </w:r>
      <w:r>
        <w:rPr>
          <w:rFonts w:eastAsia="Times New Roman"/>
          <w:sz w:val="30"/>
          <w:szCs w:val="30"/>
          <w:lang w:val="es-ES"/>
        </w:rPr>
        <w:t>Por el cometimiento de las infracciones señaladas en el artículo precedente, el Banco Central del Ecuador impondrá las siguientes sancio</w:t>
      </w:r>
      <w:r>
        <w:rPr>
          <w:rFonts w:eastAsia="Times New Roman"/>
          <w:sz w:val="30"/>
          <w:szCs w:val="30"/>
          <w:lang w:val="es-ES"/>
        </w:rPr>
        <w:t>nes:</w:t>
      </w:r>
      <w:r>
        <w:rPr>
          <w:rFonts w:eastAsia="Times New Roman"/>
          <w:sz w:val="30"/>
          <w:szCs w:val="30"/>
          <w:lang w:val="es-ES"/>
        </w:rPr>
        <w:br/>
      </w:r>
      <w:r>
        <w:rPr>
          <w:rFonts w:eastAsia="Times New Roman"/>
          <w:sz w:val="30"/>
          <w:szCs w:val="30"/>
          <w:lang w:val="es-ES"/>
        </w:rPr>
        <w:br/>
        <w:t>1. Por las infracciones graves tipificadas en los numerales 1, 2 y 3 se aplicará una multa de hasta trescientos salarios básicos unificados; y,</w:t>
      </w:r>
      <w:r>
        <w:rPr>
          <w:rFonts w:eastAsia="Times New Roman"/>
          <w:sz w:val="30"/>
          <w:szCs w:val="30"/>
          <w:lang w:val="es-ES"/>
        </w:rPr>
        <w:br/>
      </w:r>
      <w:r>
        <w:rPr>
          <w:rFonts w:eastAsia="Times New Roman"/>
          <w:sz w:val="30"/>
          <w:szCs w:val="30"/>
          <w:lang w:val="es-ES"/>
        </w:rPr>
        <w:br/>
        <w:t>2. Por las infracciones muy graves tipificadas en los numerales 4, 5, 6 y 7 se aplicará una multa no meno</w:t>
      </w:r>
      <w:r>
        <w:rPr>
          <w:rFonts w:eastAsia="Times New Roman"/>
          <w:sz w:val="30"/>
          <w:szCs w:val="30"/>
          <w:lang w:val="es-ES"/>
        </w:rPr>
        <w:t>r de trescientos salarios básicos unificados, ni más de mil salarios básicos unificados.</w:t>
      </w:r>
      <w:r>
        <w:rPr>
          <w:rFonts w:eastAsia="Times New Roman"/>
          <w:sz w:val="30"/>
          <w:szCs w:val="30"/>
          <w:lang w:val="es-ES"/>
        </w:rPr>
        <w:br/>
      </w:r>
      <w:r>
        <w:rPr>
          <w:rFonts w:eastAsia="Times New Roman"/>
          <w:sz w:val="30"/>
          <w:szCs w:val="30"/>
          <w:lang w:val="es-ES"/>
        </w:rPr>
        <w:br/>
        <w:t>Estas sanciones se aplicarán sin perjuicio de la obligación que tiene la entidad de subsanar el incumplimiento que motivó tal sanción. En caso de no subsanarse tal in</w:t>
      </w:r>
      <w:r>
        <w:rPr>
          <w:rFonts w:eastAsia="Times New Roman"/>
          <w:sz w:val="30"/>
          <w:szCs w:val="30"/>
          <w:lang w:val="es-ES"/>
        </w:rPr>
        <w:t>cumplimiento, el Banco Central del Ecuador solicitará a la superintendencia respectiva la remoción del correspondiente representante legal o, de ser el caso, suspenderá a la entidad en el sistema de pagos. La aplicación de estas sanciones no releva la resp</w:t>
      </w:r>
      <w:r>
        <w:rPr>
          <w:rFonts w:eastAsia="Times New Roman"/>
          <w:sz w:val="30"/>
          <w:szCs w:val="30"/>
          <w:lang w:val="es-ES"/>
        </w:rPr>
        <w:t>onsabilidad directa de los administradores.</w:t>
      </w:r>
    </w:p>
    <w:p w:rsidR="00000000" w:rsidRDefault="0018461E">
      <w:pPr>
        <w:divId w:val="941763131"/>
        <w:rPr>
          <w:rFonts w:eastAsia="Times New Roman"/>
          <w:sz w:val="30"/>
          <w:szCs w:val="30"/>
          <w:lang w:val="es-ES"/>
        </w:rPr>
      </w:pPr>
      <w:r>
        <w:rPr>
          <w:rFonts w:eastAsia="Times New Roman"/>
          <w:sz w:val="30"/>
          <w:szCs w:val="30"/>
          <w:lang w:val="es-ES"/>
        </w:rPr>
        <w:t xml:space="preserve">Art. 113.- </w:t>
      </w:r>
      <w:r>
        <w:rPr>
          <w:rFonts w:eastAsia="Times New Roman"/>
          <w:b/>
          <w:bCs/>
          <w:sz w:val="30"/>
          <w:szCs w:val="30"/>
          <w:lang w:val="es-ES"/>
        </w:rPr>
        <w:t xml:space="preserve">Sanción por operaciones sin autorización. </w:t>
      </w:r>
      <w:r>
        <w:rPr>
          <w:rFonts w:eastAsia="Times New Roman"/>
          <w:sz w:val="30"/>
          <w:szCs w:val="30"/>
          <w:lang w:val="es-ES"/>
        </w:rPr>
        <w:t>El Banco Central del Ecuador sancionará con una multa de hasta USD 800.000,00 (ochocientos mil dólares de los Estados Unidos de América), monto que será actual</w:t>
      </w:r>
      <w:r>
        <w:rPr>
          <w:rFonts w:eastAsia="Times New Roman"/>
          <w:sz w:val="30"/>
          <w:szCs w:val="30"/>
          <w:lang w:val="es-ES"/>
        </w:rPr>
        <w:t>izado por la Junta de conformidad con el índice de precios al consumidor, o hasta el nivel de ingresos del último ejercicio económico de la entidad, y la orden de suspensión inmediata de operaciones a las entidades que efectúen compensación o liquidación s</w:t>
      </w:r>
      <w:r>
        <w:rPr>
          <w:rFonts w:eastAsia="Times New Roman"/>
          <w:sz w:val="30"/>
          <w:szCs w:val="30"/>
          <w:lang w:val="es-ES"/>
        </w:rPr>
        <w:t>in contar con la autorización respectiva.</w:t>
      </w:r>
    </w:p>
    <w:p w:rsidR="00000000" w:rsidRDefault="0018461E">
      <w:pPr>
        <w:divId w:val="503321114"/>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 xml:space="preserve">Aplicación y procedimiento sancionador. </w:t>
      </w:r>
      <w:r>
        <w:rPr>
          <w:rFonts w:eastAsia="Times New Roman"/>
          <w:sz w:val="30"/>
          <w:szCs w:val="30"/>
          <w:lang w:val="es-ES"/>
        </w:rPr>
        <w:t>Las sanciones se determinarán en esta Ley, en atención a la gravedad de la falta, perjuicios causados a terceros, negligencia, intencionalidad, reincidencia o cual</w:t>
      </w:r>
      <w:r>
        <w:rPr>
          <w:rFonts w:eastAsia="Times New Roman"/>
          <w:sz w:val="30"/>
          <w:szCs w:val="30"/>
          <w:lang w:val="es-ES"/>
        </w:rPr>
        <w:t>quier otra circunstancia agravante o atenuante.</w:t>
      </w:r>
      <w:r>
        <w:rPr>
          <w:rFonts w:eastAsia="Times New Roman"/>
          <w:sz w:val="30"/>
          <w:szCs w:val="30"/>
          <w:lang w:val="es-ES"/>
        </w:rPr>
        <w:br/>
      </w:r>
      <w:r>
        <w:rPr>
          <w:rFonts w:eastAsia="Times New Roman"/>
          <w:sz w:val="30"/>
          <w:szCs w:val="30"/>
          <w:lang w:val="es-ES"/>
        </w:rPr>
        <w:br/>
        <w:t>Si un mismo hecho fuere constitutivo de dos o más infracciones administrativas, se tomará en consideración la más grave. Si las dos infracciones son igualmente graves, se tomará en consideración la que conll</w:t>
      </w:r>
      <w:r>
        <w:rPr>
          <w:rFonts w:eastAsia="Times New Roman"/>
          <w:sz w:val="30"/>
          <w:szCs w:val="30"/>
          <w:lang w:val="es-ES"/>
        </w:rPr>
        <w:t>eve una sanción de mayor valor pecuniario.</w:t>
      </w:r>
      <w:r>
        <w:rPr>
          <w:rFonts w:eastAsia="Times New Roman"/>
          <w:sz w:val="30"/>
          <w:szCs w:val="30"/>
          <w:lang w:val="es-ES"/>
        </w:rPr>
        <w:br/>
      </w:r>
      <w:r>
        <w:rPr>
          <w:rFonts w:eastAsia="Times New Roman"/>
          <w:sz w:val="30"/>
          <w:szCs w:val="30"/>
          <w:lang w:val="es-ES"/>
        </w:rPr>
        <w:br/>
        <w:t>Las sanciones pecuniarias en firme causarán los intereses correspondientes.</w:t>
      </w:r>
      <w:r>
        <w:rPr>
          <w:rFonts w:eastAsia="Times New Roman"/>
          <w:sz w:val="30"/>
          <w:szCs w:val="30"/>
          <w:lang w:val="es-ES"/>
        </w:rPr>
        <w:br/>
      </w:r>
      <w:r>
        <w:rPr>
          <w:rFonts w:eastAsia="Times New Roman"/>
          <w:sz w:val="30"/>
          <w:szCs w:val="30"/>
          <w:lang w:val="es-ES"/>
        </w:rPr>
        <w:lastRenderedPageBreak/>
        <w:br/>
        <w:t>El Banco Central del Ecuador aplicará el procedimiento administrativo sancionador dispuesto en el artículo 277.</w:t>
      </w:r>
    </w:p>
    <w:p w:rsidR="00000000" w:rsidRDefault="0018461E">
      <w:pPr>
        <w:divId w:val="1792475879"/>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Responsabili</w:t>
      </w:r>
      <w:r>
        <w:rPr>
          <w:rFonts w:eastAsia="Times New Roman"/>
          <w:b/>
          <w:bCs/>
          <w:sz w:val="30"/>
          <w:szCs w:val="30"/>
          <w:lang w:val="es-ES"/>
        </w:rPr>
        <w:t xml:space="preserve">dad civil y penal. </w:t>
      </w:r>
      <w:r>
        <w:rPr>
          <w:rFonts w:eastAsia="Times New Roman"/>
          <w:sz w:val="30"/>
          <w:szCs w:val="30"/>
          <w:lang w:val="es-ES"/>
        </w:rPr>
        <w:t>Las sanciones previstas en este título serán impuestas sin perjuicio de las responsabilidades civiles y penales que correspondan y la obligación de la entidad de subsanar el incumplimiento.</w:t>
      </w:r>
    </w:p>
    <w:p w:rsidR="00000000" w:rsidRDefault="0018461E">
      <w:pPr>
        <w:divId w:val="1459496778"/>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 xml:space="preserve">Depósito Centralizado de Valores. </w:t>
      </w:r>
      <w:r>
        <w:rPr>
          <w:rFonts w:eastAsia="Times New Roman"/>
          <w:sz w:val="30"/>
          <w:szCs w:val="30"/>
          <w:lang w:val="es-ES"/>
        </w:rPr>
        <w:t>El</w:t>
      </w:r>
      <w:r>
        <w:rPr>
          <w:rFonts w:eastAsia="Times New Roman"/>
          <w:sz w:val="30"/>
          <w:szCs w:val="30"/>
          <w:lang w:val="es-ES"/>
        </w:rPr>
        <w:t xml:space="preserve"> Banco Central del Ecuador efectuará la función de Depósito Centralizado de Compensación y Liquidación de Valores, con valores e intermediarios inscritos en el Registro del Mercado de Valores. También efectuará la función de único Depósito Centralizado de </w:t>
      </w:r>
      <w:r>
        <w:rPr>
          <w:rFonts w:eastAsia="Times New Roman"/>
          <w:sz w:val="30"/>
          <w:szCs w:val="30"/>
          <w:lang w:val="es-ES"/>
        </w:rPr>
        <w:t>Compensación y Liquidación de Valores para los títulos que hayan sido emitidos por el Banco Central del Ecuador, el ente rector de las finanzas públicas y las demás entidades del sector público.</w:t>
      </w:r>
    </w:p>
    <w:p w:rsidR="00000000" w:rsidRDefault="0018461E">
      <w:pPr>
        <w:divId w:val="1175264781"/>
        <w:rPr>
          <w:rFonts w:eastAsia="Times New Roman"/>
          <w:sz w:val="30"/>
          <w:szCs w:val="30"/>
          <w:lang w:val="es-ES"/>
        </w:rPr>
      </w:pPr>
      <w:r>
        <w:rPr>
          <w:rFonts w:eastAsia="Times New Roman"/>
          <w:sz w:val="30"/>
          <w:szCs w:val="30"/>
          <w:lang w:val="es-ES"/>
        </w:rPr>
        <w:t xml:space="preserve">Art. 117.- </w:t>
      </w:r>
      <w:r>
        <w:rPr>
          <w:rFonts w:eastAsia="Times New Roman"/>
          <w:b/>
          <w:bCs/>
          <w:sz w:val="30"/>
          <w:szCs w:val="30"/>
          <w:lang w:val="es-ES"/>
        </w:rPr>
        <w:t>Sistemas de compensación y liquidación de obligaci</w:t>
      </w:r>
      <w:r>
        <w:rPr>
          <w:rFonts w:eastAsia="Times New Roman"/>
          <w:b/>
          <w:bCs/>
          <w:sz w:val="30"/>
          <w:szCs w:val="30"/>
          <w:lang w:val="es-ES"/>
        </w:rPr>
        <w:t xml:space="preserve">ones comerciales. </w:t>
      </w:r>
      <w:r>
        <w:rPr>
          <w:rFonts w:eastAsia="Times New Roman"/>
          <w:sz w:val="30"/>
          <w:szCs w:val="30"/>
          <w:lang w:val="es-ES"/>
        </w:rPr>
        <w:t>La Junta de Política y Regulación Monetaria y Financiera definirá las políticas y normativa que regirá el funcionamiento de los instrumentos que permitan a los sectores no financieros de la economía del país acceder a mecanismos de liquidez inmediata, a tr</w:t>
      </w:r>
      <w:r>
        <w:rPr>
          <w:rFonts w:eastAsia="Times New Roman"/>
          <w:sz w:val="30"/>
          <w:szCs w:val="30"/>
          <w:lang w:val="es-ES"/>
        </w:rPr>
        <w:t>avés de la compensación y liquidación de las obligaciones comerciales generadas en las actividades propias del giro del negocio, por medio de la transferencia y/o extinción de una obligación comercial entre los integrantes del sistema.</w:t>
      </w:r>
      <w:r>
        <w:rPr>
          <w:rFonts w:eastAsia="Times New Roman"/>
          <w:sz w:val="30"/>
          <w:szCs w:val="30"/>
          <w:lang w:val="es-ES"/>
        </w:rPr>
        <w:br/>
      </w:r>
      <w:r>
        <w:rPr>
          <w:rFonts w:eastAsia="Times New Roman"/>
          <w:sz w:val="30"/>
          <w:szCs w:val="30"/>
          <w:lang w:val="es-ES"/>
        </w:rPr>
        <w:br/>
        <w:t>La Junta podrá cons</w:t>
      </w:r>
      <w:r>
        <w:rPr>
          <w:rFonts w:eastAsia="Times New Roman"/>
          <w:sz w:val="30"/>
          <w:szCs w:val="30"/>
          <w:lang w:val="es-ES"/>
        </w:rPr>
        <w:t>iderar la constitución de un fondo, con cargo al presupuesto del Banco Central del Ecuador, para cubrir los descalces que surjan en la operatividad del sistema. El fondo podrá conformarse con recursos de orden público.</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4 </w:t>
      </w:r>
      <w:r>
        <w:rPr>
          <w:rFonts w:eastAsia="Times New Roman"/>
          <w:b/>
          <w:bCs/>
          <w:sz w:val="36"/>
          <w:szCs w:val="36"/>
          <w:lang w:val="es-ES"/>
        </w:rPr>
        <w:br/>
        <w:t>INSTRUMENTOS DE POLÍTICA</w:t>
      </w:r>
      <w:r>
        <w:rPr>
          <w:rFonts w:eastAsia="Times New Roman"/>
          <w:b/>
          <w:bCs/>
          <w:sz w:val="36"/>
          <w:szCs w:val="36"/>
          <w:lang w:val="es-ES"/>
        </w:rPr>
        <w:t xml:space="preserve"> MONETARIA</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MANEJO DE LA LIQUIDEZ DE LA ECONOMÍA</w:t>
      </w:r>
    </w:p>
    <w:p w:rsidR="00000000" w:rsidRDefault="0018461E">
      <w:pPr>
        <w:divId w:val="1508717590"/>
        <w:rPr>
          <w:rFonts w:eastAsia="Times New Roman"/>
          <w:sz w:val="30"/>
          <w:szCs w:val="30"/>
          <w:lang w:val="es-ES"/>
        </w:rPr>
      </w:pPr>
      <w:r>
        <w:rPr>
          <w:rFonts w:eastAsia="Times New Roman"/>
          <w:sz w:val="30"/>
          <w:szCs w:val="30"/>
          <w:lang w:val="es-ES"/>
        </w:rPr>
        <w:t xml:space="preserve">Art. 118.- </w:t>
      </w:r>
      <w:r>
        <w:rPr>
          <w:rFonts w:eastAsia="Times New Roman"/>
          <w:b/>
          <w:bCs/>
          <w:sz w:val="30"/>
          <w:szCs w:val="30"/>
          <w:lang w:val="es-ES"/>
        </w:rPr>
        <w:t xml:space="preserve">Liquidez. </w:t>
      </w:r>
      <w:r>
        <w:rPr>
          <w:rFonts w:eastAsia="Times New Roman"/>
          <w:sz w:val="30"/>
          <w:szCs w:val="30"/>
          <w:lang w:val="es-ES"/>
        </w:rPr>
        <w:t xml:space="preserve">La Junta de Política y Regulación Monetaria y Financiera definirá las políticas de liquidez para garantizar la eficacia de la política monetaria enfocada en la consecución de </w:t>
      </w:r>
      <w:r>
        <w:rPr>
          <w:rFonts w:eastAsia="Times New Roman"/>
          <w:sz w:val="30"/>
          <w:szCs w:val="30"/>
          <w:lang w:val="es-ES"/>
        </w:rPr>
        <w:t xml:space="preserve">los objetivos establecidos en este Código. Asimismo, establecerá y regulará los </w:t>
      </w:r>
      <w:r>
        <w:rPr>
          <w:rFonts w:eastAsia="Times New Roman"/>
          <w:sz w:val="30"/>
          <w:szCs w:val="30"/>
          <w:lang w:val="es-ES"/>
        </w:rPr>
        <w:lastRenderedPageBreak/>
        <w:t xml:space="preserve">instrumentos de política monetaria a utilizarse, tales como: reservas de liquidez, proporción de la liquidez doméstica y la composición de la liquidez total, tasas de interés, </w:t>
      </w:r>
      <w:r>
        <w:rPr>
          <w:rFonts w:eastAsia="Times New Roman"/>
          <w:sz w:val="30"/>
          <w:szCs w:val="30"/>
          <w:lang w:val="es-ES"/>
        </w:rPr>
        <w:t>operaciones de mercado abierto y ventanilla de redescuento, entre otros. La implementación de estos instrumentos se la hará a través del Banco Central del Ecuador.</w:t>
      </w:r>
    </w:p>
    <w:p w:rsidR="00000000" w:rsidRDefault="0018461E">
      <w:pPr>
        <w:divId w:val="1112437263"/>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 xml:space="preserve">Informes sobre liquidez. </w:t>
      </w:r>
      <w:r>
        <w:rPr>
          <w:rFonts w:eastAsia="Times New Roman"/>
          <w:sz w:val="30"/>
          <w:szCs w:val="30"/>
          <w:lang w:val="es-ES"/>
        </w:rPr>
        <w:t>El Banco Central del Ecuador, en coordinación con el ent</w:t>
      </w:r>
      <w:r>
        <w:rPr>
          <w:rFonts w:eastAsia="Times New Roman"/>
          <w:sz w:val="30"/>
          <w:szCs w:val="30"/>
          <w:lang w:val="es-ES"/>
        </w:rPr>
        <w:t>e rector de las finanzas públicas y el ministerio a cargo de la política económica, deberá presentar al menos semestralmente a la Junta de Política y Regulación Monetaria y Financiera un informe de la liquidez de la economía del país, que servirá de base p</w:t>
      </w:r>
      <w:r>
        <w:rPr>
          <w:rFonts w:eastAsia="Times New Roman"/>
          <w:sz w:val="30"/>
          <w:szCs w:val="30"/>
          <w:lang w:val="es-ES"/>
        </w:rPr>
        <w:t>ara la adopción de las políticas que correspondan en la materia.</w:t>
      </w:r>
    </w:p>
    <w:p w:rsidR="00000000" w:rsidRDefault="0018461E">
      <w:pPr>
        <w:divId w:val="1489979116"/>
        <w:rPr>
          <w:rFonts w:eastAsia="Times New Roman"/>
          <w:sz w:val="30"/>
          <w:szCs w:val="30"/>
          <w:lang w:val="es-ES"/>
        </w:rPr>
      </w:pPr>
      <w:r>
        <w:rPr>
          <w:rFonts w:eastAsia="Times New Roman"/>
          <w:sz w:val="30"/>
          <w:szCs w:val="30"/>
          <w:lang w:val="es-ES"/>
        </w:rPr>
        <w:t xml:space="preserve">Art. 120.- </w:t>
      </w:r>
      <w:r>
        <w:rPr>
          <w:rFonts w:eastAsia="Times New Roman"/>
          <w:b/>
          <w:bCs/>
          <w:sz w:val="30"/>
          <w:szCs w:val="30"/>
          <w:lang w:val="es-ES"/>
        </w:rPr>
        <w:t xml:space="preserve">Proporción de liquidez doméstica. </w:t>
      </w:r>
      <w:r>
        <w:rPr>
          <w:rFonts w:eastAsia="Times New Roman"/>
          <w:sz w:val="30"/>
          <w:szCs w:val="30"/>
          <w:lang w:val="es-ES"/>
        </w:rPr>
        <w:t>Las entidades del sistema financiero nacional, para conservar un nivel de liquidez adecuado que promueva el crecimiento y el trabajo, están obligadas a mantener en el país la proporción de la liquidez total que determine la Junta de Política y Regulación M</w:t>
      </w:r>
      <w:r>
        <w:rPr>
          <w:rFonts w:eastAsia="Times New Roman"/>
          <w:sz w:val="30"/>
          <w:szCs w:val="30"/>
          <w:lang w:val="es-ES"/>
        </w:rPr>
        <w:t>onetaria y Financiera.</w:t>
      </w:r>
    </w:p>
    <w:p w:rsidR="00000000" w:rsidRDefault="0018461E">
      <w:pPr>
        <w:divId w:val="1524248617"/>
        <w:rPr>
          <w:rFonts w:eastAsia="Times New Roman"/>
          <w:sz w:val="30"/>
          <w:szCs w:val="30"/>
          <w:lang w:val="es-ES"/>
        </w:rPr>
      </w:pPr>
      <w:r>
        <w:rPr>
          <w:rFonts w:eastAsia="Times New Roman"/>
          <w:sz w:val="30"/>
          <w:szCs w:val="30"/>
          <w:lang w:val="es-ES"/>
        </w:rPr>
        <w:t xml:space="preserve">Art. 121.- </w:t>
      </w:r>
      <w:r>
        <w:rPr>
          <w:rFonts w:eastAsia="Times New Roman"/>
          <w:b/>
          <w:bCs/>
          <w:sz w:val="30"/>
          <w:szCs w:val="30"/>
          <w:lang w:val="es-ES"/>
        </w:rPr>
        <w:t xml:space="preserve">Reservas de liquidez. </w:t>
      </w:r>
      <w:r>
        <w:rPr>
          <w:rFonts w:eastAsia="Times New Roman"/>
          <w:sz w:val="30"/>
          <w:szCs w:val="30"/>
          <w:lang w:val="es-ES"/>
        </w:rPr>
        <w:t>Las entidades del sistema financiero nacional y las entidades no financieras que otorgan crédito por sobre los límites que expida la Junta de Política y Regulación Monetaria y Financiera están obligad</w:t>
      </w:r>
      <w:r>
        <w:rPr>
          <w:rFonts w:eastAsia="Times New Roman"/>
          <w:sz w:val="30"/>
          <w:szCs w:val="30"/>
          <w:lang w:val="es-ES"/>
        </w:rPr>
        <w:t>as a mantener reservas de liquidez en el Banco Central del Ecuador respecto de sus activos y/o pasivos, de acuerdo a las regulaciones que se expidan para el efecto, las que podrán ser establecidas por segmento de crédito, tipo de entidad, sector y activida</w:t>
      </w:r>
      <w:r>
        <w:rPr>
          <w:rFonts w:eastAsia="Times New Roman"/>
          <w:sz w:val="30"/>
          <w:szCs w:val="30"/>
          <w:lang w:val="es-ES"/>
        </w:rPr>
        <w:t>d, entre otros.</w:t>
      </w:r>
    </w:p>
    <w:p w:rsidR="00000000" w:rsidRDefault="0018461E">
      <w:pPr>
        <w:divId w:val="893154757"/>
        <w:rPr>
          <w:rFonts w:eastAsia="Times New Roman"/>
          <w:sz w:val="30"/>
          <w:szCs w:val="30"/>
          <w:lang w:val="es-ES"/>
        </w:rPr>
      </w:pPr>
      <w:r>
        <w:rPr>
          <w:rFonts w:eastAsia="Times New Roman"/>
          <w:sz w:val="30"/>
          <w:szCs w:val="30"/>
          <w:lang w:val="es-ES"/>
        </w:rPr>
        <w:t xml:space="preserve">Art. 122.- </w:t>
      </w:r>
      <w:r>
        <w:rPr>
          <w:rFonts w:eastAsia="Times New Roman"/>
          <w:b/>
          <w:bCs/>
          <w:sz w:val="30"/>
          <w:szCs w:val="30"/>
          <w:lang w:val="es-ES"/>
        </w:rPr>
        <w:t xml:space="preserve">Remuneración por exceso de reservas de liquidez. </w:t>
      </w:r>
      <w:r>
        <w:rPr>
          <w:rFonts w:eastAsia="Times New Roman"/>
          <w:sz w:val="30"/>
          <w:szCs w:val="30"/>
          <w:lang w:val="es-ES"/>
        </w:rPr>
        <w:t>El Banco Central del Ecuador no reconocerá remuneración alguna sobre la porción de la reserva de liquidez depositada en las cuentas corrientes que las entidades del sistema financi</w:t>
      </w:r>
      <w:r>
        <w:rPr>
          <w:rFonts w:eastAsia="Times New Roman"/>
          <w:sz w:val="30"/>
          <w:szCs w:val="30"/>
          <w:lang w:val="es-ES"/>
        </w:rPr>
        <w:t>ero nacional mantengan en el Banco.</w:t>
      </w:r>
      <w:r>
        <w:rPr>
          <w:rFonts w:eastAsia="Times New Roman"/>
          <w:sz w:val="30"/>
          <w:szCs w:val="30"/>
          <w:lang w:val="es-ES"/>
        </w:rPr>
        <w:br/>
      </w:r>
      <w:r>
        <w:rPr>
          <w:rFonts w:eastAsia="Times New Roman"/>
          <w:sz w:val="30"/>
          <w:szCs w:val="30"/>
          <w:lang w:val="es-ES"/>
        </w:rPr>
        <w:br/>
        <w:t>Los excesos de reservas de liquidez depositados en cuentas corrientes podrán, de forma transitoria, ser remunerados conforme lo establezca la Junta. Esta remuneración no podrá superar al equivalente de la variación anua</w:t>
      </w:r>
      <w:r>
        <w:rPr>
          <w:rFonts w:eastAsia="Times New Roman"/>
          <w:sz w:val="30"/>
          <w:szCs w:val="30"/>
          <w:lang w:val="es-ES"/>
        </w:rPr>
        <w:t>l del índice de precios al consumidor del año inmediato anterior, para el período de exceso de reservas.</w:t>
      </w:r>
    </w:p>
    <w:p w:rsidR="00000000" w:rsidRDefault="0018461E">
      <w:pPr>
        <w:divId w:val="714546276"/>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 xml:space="preserve">Sanción por deficiencias de liquidez. </w:t>
      </w:r>
      <w:r>
        <w:rPr>
          <w:rFonts w:eastAsia="Times New Roman"/>
          <w:sz w:val="30"/>
          <w:szCs w:val="30"/>
          <w:lang w:val="es-ES"/>
        </w:rPr>
        <w:t>Si la proporción de liquidez doméstica de una entidad financiera acusara deficiencia, el Banco Central</w:t>
      </w:r>
      <w:r>
        <w:rPr>
          <w:rFonts w:eastAsia="Times New Roman"/>
          <w:sz w:val="30"/>
          <w:szCs w:val="30"/>
          <w:lang w:val="es-ES"/>
        </w:rPr>
        <w:t xml:space="preserve"> del Ecuador aplicará una multa equivalente a la tasa máxima legal de interés vigente a la fecha del incumplimiento, </w:t>
      </w:r>
      <w:r>
        <w:rPr>
          <w:rFonts w:eastAsia="Times New Roman"/>
          <w:sz w:val="30"/>
          <w:szCs w:val="30"/>
          <w:lang w:val="es-ES"/>
        </w:rPr>
        <w:lastRenderedPageBreak/>
        <w:t>calculada sobre el monto de la deficiencia, sin perjuicio de la obligación que tiene la entidad financiera de superar la deficiencia en for</w:t>
      </w:r>
      <w:r>
        <w:rPr>
          <w:rFonts w:eastAsia="Times New Roman"/>
          <w:sz w:val="30"/>
          <w:szCs w:val="30"/>
          <w:lang w:val="es-ES"/>
        </w:rPr>
        <w:t>ma inmediata.</w:t>
      </w:r>
      <w:r>
        <w:rPr>
          <w:rFonts w:eastAsia="Times New Roman"/>
          <w:sz w:val="30"/>
          <w:szCs w:val="30"/>
          <w:lang w:val="es-ES"/>
        </w:rPr>
        <w:br/>
      </w:r>
      <w:r>
        <w:rPr>
          <w:rFonts w:eastAsia="Times New Roman"/>
          <w:sz w:val="30"/>
          <w:szCs w:val="30"/>
          <w:lang w:val="es-ES"/>
        </w:rPr>
        <w:br/>
        <w:t>Si una entidad financiera incumple las reservas de liquidez y los requisitos establecidos por la Junta para recibir un crédito extraordinario del Fondo de Liquidez para cubrir dicha deficiencia, se le aplicará una multa equivalente a la tasa</w:t>
      </w:r>
      <w:r>
        <w:rPr>
          <w:rFonts w:eastAsia="Times New Roman"/>
          <w:sz w:val="30"/>
          <w:szCs w:val="30"/>
          <w:lang w:val="es-ES"/>
        </w:rPr>
        <w:t xml:space="preserve"> máxima legal de interés vigente a la fecha del incumplimiento, calculada sobre el monto de la deficiencia, sin perjuicio de la obligación que tiene la entidad financiera de superar la deficiencia en forma inmediata.</w:t>
      </w:r>
      <w:r>
        <w:rPr>
          <w:rFonts w:eastAsia="Times New Roman"/>
          <w:sz w:val="30"/>
          <w:szCs w:val="30"/>
          <w:lang w:val="es-ES"/>
        </w:rPr>
        <w:br/>
      </w:r>
      <w:r>
        <w:rPr>
          <w:rFonts w:eastAsia="Times New Roman"/>
          <w:sz w:val="30"/>
          <w:szCs w:val="30"/>
          <w:lang w:val="es-ES"/>
        </w:rPr>
        <w:br/>
        <w:t>La reincidencia en el incumplimiento d</w:t>
      </w:r>
      <w:r>
        <w:rPr>
          <w:rFonts w:eastAsia="Times New Roman"/>
          <w:sz w:val="30"/>
          <w:szCs w:val="30"/>
          <w:lang w:val="es-ES"/>
        </w:rPr>
        <w:t>e las disposiciones señaladas en los incisos precedentes, en un año calendario, se castigará como sanción grave de acuerdo con el artículo 264 numeral 2.</w:t>
      </w:r>
      <w:r>
        <w:rPr>
          <w:rFonts w:eastAsia="Times New Roman"/>
          <w:sz w:val="30"/>
          <w:szCs w:val="30"/>
          <w:lang w:val="es-ES"/>
        </w:rPr>
        <w:br/>
      </w:r>
      <w:r>
        <w:rPr>
          <w:rFonts w:eastAsia="Times New Roman"/>
          <w:sz w:val="30"/>
          <w:szCs w:val="30"/>
          <w:lang w:val="es-ES"/>
        </w:rPr>
        <w:br/>
        <w:t>Las entidades financieras que incumplan las reservas de liquidez pero cumplan con las regulaciones di</w:t>
      </w:r>
      <w:r>
        <w:rPr>
          <w:rFonts w:eastAsia="Times New Roman"/>
          <w:sz w:val="30"/>
          <w:szCs w:val="30"/>
          <w:lang w:val="es-ES"/>
        </w:rPr>
        <w:t>ctadas por la Junta para acceder a los créditos de la ventanilla de redescuento podrán recibir un crédito por el monto igual a la deficiencia con la tasa de interés y condiciones que la Junta determine.</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OPERACIONES DEL BANCO CENTRAL DEL ECUADOR</w:t>
      </w:r>
    </w:p>
    <w:p w:rsidR="00000000" w:rsidRDefault="0018461E">
      <w:pPr>
        <w:divId w:val="651446801"/>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 xml:space="preserve">Inversión de excedentes de liquidez. </w:t>
      </w:r>
      <w:r>
        <w:rPr>
          <w:rFonts w:eastAsia="Times New Roman"/>
          <w:sz w:val="30"/>
          <w:szCs w:val="30"/>
          <w:lang w:val="es-ES"/>
        </w:rPr>
        <w:t>El Banco Central del Ecuador podrá invertir los excedentes de liquidez de la economía en las entidades del sector financiero público, por medio de instrumentos financieros reembolsables de inversión doméstic</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El Banco Central del Ecuador podrá invertir los excedentes de liquidez de la economía en las entidades del sector financiero privado o entidades del segmento 1 del sector financiero popular y solidario, por medio de instrumentos financieros reembolsabl</w:t>
      </w:r>
      <w:r>
        <w:rPr>
          <w:rFonts w:eastAsia="Times New Roman"/>
          <w:sz w:val="30"/>
          <w:szCs w:val="30"/>
          <w:lang w:val="es-ES"/>
        </w:rPr>
        <w:t>es de inversión doméstica, previa rendición de garantías con títulos emitidos por el ente rector de las finanzas públicas, títulos del Banco Central del Ecuador o cartera de créditos con calificación de al menos A. Los recursos que la entidad financiera ma</w:t>
      </w:r>
      <w:r>
        <w:rPr>
          <w:rFonts w:eastAsia="Times New Roman"/>
          <w:sz w:val="30"/>
          <w:szCs w:val="30"/>
          <w:lang w:val="es-ES"/>
        </w:rPr>
        <w:t xml:space="preserve">ntenga en el Fondo de Liquidez se constituirán en garantía de última instancia sobre las operaciones de </w:t>
      </w:r>
      <w:r>
        <w:rPr>
          <w:rFonts w:eastAsia="Times New Roman"/>
          <w:sz w:val="30"/>
          <w:szCs w:val="30"/>
          <w:lang w:val="es-ES"/>
        </w:rPr>
        <w:lastRenderedPageBreak/>
        <w:t>inversión doméstica.</w:t>
      </w:r>
      <w:r>
        <w:rPr>
          <w:rFonts w:eastAsia="Times New Roman"/>
          <w:sz w:val="30"/>
          <w:szCs w:val="30"/>
          <w:lang w:val="es-ES"/>
        </w:rPr>
        <w:br/>
      </w:r>
      <w:r>
        <w:rPr>
          <w:rFonts w:eastAsia="Times New Roman"/>
          <w:sz w:val="30"/>
          <w:szCs w:val="30"/>
          <w:lang w:val="es-ES"/>
        </w:rPr>
        <w:br/>
        <w:t>La inversión detallada en los incisos precedentes se orientará prioritariamente a promover el cambio del patrón de especialización</w:t>
      </w:r>
      <w:r>
        <w:rPr>
          <w:rFonts w:eastAsia="Times New Roman"/>
          <w:sz w:val="30"/>
          <w:szCs w:val="30"/>
          <w:lang w:val="es-ES"/>
        </w:rPr>
        <w:t xml:space="preserve"> de la economía nacional, la innovación y el emprendimiento para incrementar la intensidad tecnológica y de conocimiento de la producción nacional, la sustitución selectiva de importaciones y la promoción de exportaciones.</w:t>
      </w:r>
      <w:r>
        <w:rPr>
          <w:rFonts w:eastAsia="Times New Roman"/>
          <w:sz w:val="30"/>
          <w:szCs w:val="30"/>
          <w:lang w:val="es-ES"/>
        </w:rPr>
        <w:br/>
      </w:r>
      <w:r>
        <w:rPr>
          <w:rFonts w:eastAsia="Times New Roman"/>
          <w:sz w:val="30"/>
          <w:szCs w:val="30"/>
          <w:lang w:val="es-ES"/>
        </w:rPr>
        <w:br/>
        <w:t>El Banco Central del Ecuador, en</w:t>
      </w:r>
      <w:r>
        <w:rPr>
          <w:rFonts w:eastAsia="Times New Roman"/>
          <w:sz w:val="30"/>
          <w:szCs w:val="30"/>
          <w:lang w:val="es-ES"/>
        </w:rPr>
        <w:t xml:space="preserve"> coordinación con el ente rector de las finanzas públicas y el ministerio a cargo de la política económica, deberá cuantificar el excedente de liquidez que corresponda destinar a inversión doméstica, a fin de encaminarla a los sectores de interés del Estad</w:t>
      </w:r>
      <w:r>
        <w:rPr>
          <w:rFonts w:eastAsia="Times New Roman"/>
          <w:sz w:val="30"/>
          <w:szCs w:val="30"/>
          <w:lang w:val="es-ES"/>
        </w:rPr>
        <w:t>o. La Junta determinará las condiciones financieras de los instrumentos de inversión doméstica, precautelando la liquidez doméstica y la sostenibilidad de este mecanismo en el tiempo.</w:t>
      </w:r>
      <w:r>
        <w:rPr>
          <w:rFonts w:eastAsia="Times New Roman"/>
          <w:sz w:val="30"/>
          <w:szCs w:val="30"/>
          <w:lang w:val="es-ES"/>
        </w:rPr>
        <w:br/>
      </w:r>
      <w:r>
        <w:rPr>
          <w:rFonts w:eastAsia="Times New Roman"/>
          <w:sz w:val="30"/>
          <w:szCs w:val="30"/>
          <w:lang w:val="es-ES"/>
        </w:rPr>
        <w:br/>
        <w:t>Para la cuantificación de los excedentes de liquidez, las entidades púb</w:t>
      </w:r>
      <w:r>
        <w:rPr>
          <w:rFonts w:eastAsia="Times New Roman"/>
          <w:sz w:val="30"/>
          <w:szCs w:val="30"/>
          <w:lang w:val="es-ES"/>
        </w:rPr>
        <w:t>licas y privadas proporcionarán de manera obligatoria la información que el Banco Central del Ecuador requiera para el efecto.</w:t>
      </w:r>
    </w:p>
    <w:p w:rsidR="00000000" w:rsidRDefault="0018461E">
      <w:pPr>
        <w:divId w:val="11880131"/>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 xml:space="preserve">Plan de inversión doméstica. </w:t>
      </w:r>
      <w:r>
        <w:rPr>
          <w:rFonts w:eastAsia="Times New Roman"/>
          <w:sz w:val="30"/>
          <w:szCs w:val="30"/>
          <w:lang w:val="es-ES"/>
        </w:rPr>
        <w:t>La Junta de Política y Regulación Monetaria y Financiera aprobará el plan de inversión do</w:t>
      </w:r>
      <w:r>
        <w:rPr>
          <w:rFonts w:eastAsia="Times New Roman"/>
          <w:sz w:val="30"/>
          <w:szCs w:val="30"/>
          <w:lang w:val="es-ES"/>
        </w:rPr>
        <w:t>méstica, que es el instrumento que viabiliza la inversión de los excedentes de liquidez.</w:t>
      </w:r>
      <w:r>
        <w:rPr>
          <w:rFonts w:eastAsia="Times New Roman"/>
          <w:sz w:val="30"/>
          <w:szCs w:val="30"/>
          <w:lang w:val="es-ES"/>
        </w:rPr>
        <w:br/>
      </w:r>
      <w:r>
        <w:rPr>
          <w:rFonts w:eastAsia="Times New Roman"/>
          <w:sz w:val="30"/>
          <w:szCs w:val="30"/>
          <w:lang w:val="es-ES"/>
        </w:rPr>
        <w:br/>
        <w:t>Los recursos provenientes de la implementación del plan de inversión doméstica no podrán ser utilizados en fines distintos a los aprobados. El control del uso de esto</w:t>
      </w:r>
      <w:r>
        <w:rPr>
          <w:rFonts w:eastAsia="Times New Roman"/>
          <w:sz w:val="30"/>
          <w:szCs w:val="30"/>
          <w:lang w:val="es-ES"/>
        </w:rPr>
        <w:t>s recursos estará a cargo de los organismos de control.</w:t>
      </w:r>
    </w:p>
    <w:p w:rsidR="00000000" w:rsidRDefault="0018461E">
      <w:pPr>
        <w:divId w:val="1327897708"/>
        <w:rPr>
          <w:rFonts w:eastAsia="Times New Roman"/>
          <w:sz w:val="30"/>
          <w:szCs w:val="30"/>
          <w:lang w:val="es-ES"/>
        </w:rPr>
      </w:pPr>
      <w:r>
        <w:rPr>
          <w:rFonts w:eastAsia="Times New Roman"/>
          <w:sz w:val="30"/>
          <w:szCs w:val="30"/>
          <w:lang w:val="es-ES"/>
        </w:rPr>
        <w:t xml:space="preserve">Art. 126.- </w:t>
      </w:r>
      <w:r>
        <w:rPr>
          <w:rFonts w:eastAsia="Times New Roman"/>
          <w:b/>
          <w:bCs/>
          <w:sz w:val="30"/>
          <w:szCs w:val="30"/>
          <w:lang w:val="es-ES"/>
        </w:rPr>
        <w:t xml:space="preserve">Emisión de valores del Banco Central del Ecuador. </w:t>
      </w:r>
      <w:r>
        <w:rPr>
          <w:rFonts w:eastAsia="Times New Roman"/>
          <w:sz w:val="30"/>
          <w:szCs w:val="30"/>
          <w:lang w:val="es-ES"/>
        </w:rPr>
        <w:t>La Junta de Política y Regulación Monetaria y Financiera, con el voto unánime de sus miembros, autorizará al Banco Central del Ecuador, den</w:t>
      </w:r>
      <w:r>
        <w:rPr>
          <w:rFonts w:eastAsia="Times New Roman"/>
          <w:sz w:val="30"/>
          <w:szCs w:val="30"/>
          <w:lang w:val="es-ES"/>
        </w:rPr>
        <w:t xml:space="preserve">tro de los límites de sostenibilidad de la balanza de pagos, la emisión de valores denominados Títulos del Banco Central (TBC), que serán de renovación automática y respaldados en su totalidad con los activos del Banco Central del Ecuador. Los Títulos del </w:t>
      </w:r>
      <w:r>
        <w:rPr>
          <w:rFonts w:eastAsia="Times New Roman"/>
          <w:sz w:val="30"/>
          <w:szCs w:val="30"/>
          <w:lang w:val="es-ES"/>
        </w:rPr>
        <w:t>Banco Central (TBC) se emitirán por tipos o series que podrán tener diferentes características.</w:t>
      </w:r>
      <w:r>
        <w:rPr>
          <w:rFonts w:eastAsia="Times New Roman"/>
          <w:sz w:val="30"/>
          <w:szCs w:val="30"/>
          <w:lang w:val="es-ES"/>
        </w:rPr>
        <w:br/>
      </w:r>
      <w:r>
        <w:rPr>
          <w:rFonts w:eastAsia="Times New Roman"/>
          <w:sz w:val="30"/>
          <w:szCs w:val="30"/>
          <w:lang w:val="es-ES"/>
        </w:rPr>
        <w:br/>
        <w:t xml:space="preserve">Estos valores se negociarán en el mercado primario solamente con el </w:t>
      </w:r>
      <w:r>
        <w:rPr>
          <w:rFonts w:eastAsia="Times New Roman"/>
          <w:sz w:val="30"/>
          <w:szCs w:val="30"/>
          <w:lang w:val="es-ES"/>
        </w:rPr>
        <w:lastRenderedPageBreak/>
        <w:t>ente rector de las finanzas públicas, salvo excepción expresa y unánime de la Junta, servir</w:t>
      </w:r>
      <w:r>
        <w:rPr>
          <w:rFonts w:eastAsia="Times New Roman"/>
          <w:sz w:val="30"/>
          <w:szCs w:val="30"/>
          <w:lang w:val="es-ES"/>
        </w:rPr>
        <w:t>án para el pago de tributos y cualquier otra obligación para con el Estado, a su valor nominal, y no serán considerados deuda pública. Se exceptúan de la inscripción en el Registro de Mercado de Valores cuando su negociación se realice en el mercado privad</w:t>
      </w:r>
      <w:r>
        <w:rPr>
          <w:rFonts w:eastAsia="Times New Roman"/>
          <w:sz w:val="30"/>
          <w:szCs w:val="30"/>
          <w:lang w:val="es-ES"/>
        </w:rPr>
        <w:t>o.</w:t>
      </w:r>
    </w:p>
    <w:p w:rsidR="00000000" w:rsidRDefault="0018461E">
      <w:pPr>
        <w:divId w:val="1964724624"/>
        <w:rPr>
          <w:rFonts w:eastAsia="Times New Roman"/>
          <w:sz w:val="30"/>
          <w:szCs w:val="30"/>
          <w:lang w:val="es-ES"/>
        </w:rPr>
      </w:pPr>
      <w:r>
        <w:rPr>
          <w:rFonts w:eastAsia="Times New Roman"/>
          <w:sz w:val="30"/>
          <w:szCs w:val="30"/>
          <w:lang w:val="es-ES"/>
        </w:rPr>
        <w:t xml:space="preserve">Art. 127.- </w:t>
      </w:r>
      <w:r>
        <w:rPr>
          <w:rFonts w:eastAsia="Times New Roman"/>
          <w:b/>
          <w:bCs/>
          <w:sz w:val="30"/>
          <w:szCs w:val="30"/>
          <w:lang w:val="es-ES"/>
        </w:rPr>
        <w:t xml:space="preserve">Operaciones de mercado abierto. </w:t>
      </w:r>
      <w:r>
        <w:rPr>
          <w:rFonts w:eastAsia="Times New Roman"/>
          <w:sz w:val="30"/>
          <w:szCs w:val="30"/>
          <w:lang w:val="es-ES"/>
        </w:rPr>
        <w:t>El Banco Central del Ecuador podrá efectuar operaciones de mercado abierto con las entidades del sistema financiero nacional, a través de las operaciones de reporto con títulos valores emitidos por el ente rect</w:t>
      </w:r>
      <w:r>
        <w:rPr>
          <w:rFonts w:eastAsia="Times New Roman"/>
          <w:sz w:val="30"/>
          <w:szCs w:val="30"/>
          <w:lang w:val="es-ES"/>
        </w:rPr>
        <w:t>or de las finanzas públicas y con títulos emitidos por el Banco Central del Ecuador, de conformidad con las resoluciones que emita la Junta.</w:t>
      </w:r>
    </w:p>
    <w:p w:rsidR="00000000" w:rsidRDefault="0018461E">
      <w:pPr>
        <w:divId w:val="306711207"/>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 xml:space="preserve">Ventanilla de redescuento. </w:t>
      </w:r>
      <w:r>
        <w:rPr>
          <w:rFonts w:eastAsia="Times New Roman"/>
          <w:sz w:val="30"/>
          <w:szCs w:val="30"/>
          <w:lang w:val="es-ES"/>
        </w:rPr>
        <w:t>El Banco Central del Ecuador podrá efectuar operaciones de redescuento que po</w:t>
      </w:r>
      <w:r>
        <w:rPr>
          <w:rFonts w:eastAsia="Times New Roman"/>
          <w:sz w:val="30"/>
          <w:szCs w:val="30"/>
          <w:lang w:val="es-ES"/>
        </w:rPr>
        <w:t>drán tener el carácter de revolventes, de cartera de créditos y de títulos de largo plazo emitidos por el ente rector de las finanzas públicas o Títulos del Banco Central (TBC), con entidades del sistema financiero nacional aportantes del Fondo de Liquidez</w:t>
      </w:r>
      <w:r>
        <w:rPr>
          <w:rFonts w:eastAsia="Times New Roman"/>
          <w:sz w:val="30"/>
          <w:szCs w:val="30"/>
          <w:lang w:val="es-ES"/>
        </w:rPr>
        <w:t xml:space="preserve"> previamente calificadas en cuanto a su perfil de riesgo y requisitos mínimos de solvencia. La calidad crediticia de la cartera de créditos a ser redescontada deberá tener una calificación no inferior a A.</w:t>
      </w:r>
      <w:r>
        <w:rPr>
          <w:rFonts w:eastAsia="Times New Roman"/>
          <w:sz w:val="30"/>
          <w:szCs w:val="30"/>
          <w:lang w:val="es-ES"/>
        </w:rPr>
        <w:br/>
      </w:r>
      <w:r>
        <w:rPr>
          <w:rFonts w:eastAsia="Times New Roman"/>
          <w:sz w:val="30"/>
          <w:szCs w:val="30"/>
          <w:lang w:val="es-ES"/>
        </w:rPr>
        <w:br/>
        <w:t xml:space="preserve">El Banco Central del Ecuador, de conformidad con </w:t>
      </w:r>
      <w:r>
        <w:rPr>
          <w:rFonts w:eastAsia="Times New Roman"/>
          <w:sz w:val="30"/>
          <w:szCs w:val="30"/>
          <w:lang w:val="es-ES"/>
        </w:rPr>
        <w:t>las regulaciones que dicte la Junta, podrá otorgar adicionalmente créditos a través de la ventanilla de redescuento para cubrir deficiencias de la reserva de liquidez. Cuando se aplique este mecanismo, las entidades, dentro del plazo que determine la Junta</w:t>
      </w:r>
      <w:r>
        <w:rPr>
          <w:rFonts w:eastAsia="Times New Roman"/>
          <w:sz w:val="30"/>
          <w:szCs w:val="30"/>
          <w:lang w:val="es-ES"/>
        </w:rPr>
        <w:t>, que no podrá ser superior a treinta días, entregarán la cartera de créditos y/o los títulos a redescontar.</w:t>
      </w:r>
      <w:r>
        <w:rPr>
          <w:rFonts w:eastAsia="Times New Roman"/>
          <w:sz w:val="30"/>
          <w:szCs w:val="30"/>
          <w:lang w:val="es-ES"/>
        </w:rPr>
        <w:br/>
      </w:r>
      <w:r>
        <w:rPr>
          <w:rFonts w:eastAsia="Times New Roman"/>
          <w:sz w:val="30"/>
          <w:szCs w:val="30"/>
          <w:lang w:val="es-ES"/>
        </w:rPr>
        <w:br/>
        <w:t>Los recursos que la entidad mantenga en el Fondo de Liquidez se constituirán en garantía de última instancia sobre las operaciones de redescuento.</w:t>
      </w:r>
      <w:r>
        <w:rPr>
          <w:rFonts w:eastAsia="Times New Roman"/>
          <w:sz w:val="30"/>
          <w:szCs w:val="30"/>
          <w:lang w:val="es-ES"/>
        </w:rPr>
        <w:br/>
      </w:r>
      <w:r>
        <w:rPr>
          <w:rFonts w:eastAsia="Times New Roman"/>
          <w:sz w:val="30"/>
          <w:szCs w:val="30"/>
          <w:lang w:val="es-ES"/>
        </w:rPr>
        <w:br/>
        <w:t>En caso que las entidades financieras receptoras de las operaciones de redescuento incumplan con los pagos establecidos, el Banco Central del Ecuador declarará de plazo vencido la totalidad de la operación redescontada y requerirá al Fondo de Liquidez qu</w:t>
      </w:r>
      <w:r>
        <w:rPr>
          <w:rFonts w:eastAsia="Times New Roman"/>
          <w:sz w:val="30"/>
          <w:szCs w:val="30"/>
          <w:lang w:val="es-ES"/>
        </w:rPr>
        <w:t xml:space="preserve">e le transfiera de manera inmediata los valores adeudados pendientes, con cargo a los aportes de la entidad financiera que corresponda, sin que medie autorización adicional alguna. El incumplimiento de la entidad </w:t>
      </w:r>
      <w:r>
        <w:rPr>
          <w:rFonts w:eastAsia="Times New Roman"/>
          <w:sz w:val="30"/>
          <w:szCs w:val="30"/>
          <w:lang w:val="es-ES"/>
        </w:rPr>
        <w:lastRenderedPageBreak/>
        <w:t>financiera en la restitución de los valores</w:t>
      </w:r>
      <w:r>
        <w:rPr>
          <w:rFonts w:eastAsia="Times New Roman"/>
          <w:sz w:val="30"/>
          <w:szCs w:val="30"/>
          <w:lang w:val="es-ES"/>
        </w:rPr>
        <w:t xml:space="preserve"> al Fondo de Liquidez será causal de liquidación forzosa.</w:t>
      </w:r>
      <w:r>
        <w:rPr>
          <w:rFonts w:eastAsia="Times New Roman"/>
          <w:sz w:val="30"/>
          <w:szCs w:val="30"/>
          <w:lang w:val="es-ES"/>
        </w:rPr>
        <w:br/>
      </w:r>
      <w:r>
        <w:rPr>
          <w:rFonts w:eastAsia="Times New Roman"/>
          <w:sz w:val="30"/>
          <w:szCs w:val="30"/>
          <w:lang w:val="es-ES"/>
        </w:rPr>
        <w:br/>
        <w:t xml:space="preserve">En caso que las entidades financieras receptoras de las operaciones de redescuento entren en proceso de liquidación, los valores de la cartera o títulos redescontados tendrán prioridad de pago, de </w:t>
      </w:r>
      <w:r>
        <w:rPr>
          <w:rFonts w:eastAsia="Times New Roman"/>
          <w:sz w:val="30"/>
          <w:szCs w:val="30"/>
          <w:lang w:val="es-ES"/>
        </w:rPr>
        <w:t>acuerdo con la prelación de pagos determinada en el artículo 315, sea a través de los aportes al Fondo de Liquidez de la entidad financiera que corresponda, con activos de conversión inmediata a efectivo de propiedad de la entidad o con pagos directos en d</w:t>
      </w:r>
      <w:r>
        <w:rPr>
          <w:rFonts w:eastAsia="Times New Roman"/>
          <w:sz w:val="30"/>
          <w:szCs w:val="30"/>
          <w:lang w:val="es-ES"/>
        </w:rPr>
        <w:t>inero. El liquidador designado tendrá la obligación de cumplir con esta disposición.</w:t>
      </w:r>
    </w:p>
    <w:p w:rsidR="00000000" w:rsidRDefault="0018461E">
      <w:pPr>
        <w:divId w:val="925066865"/>
        <w:rPr>
          <w:rFonts w:eastAsia="Times New Roman"/>
          <w:sz w:val="30"/>
          <w:szCs w:val="30"/>
          <w:lang w:val="es-ES"/>
        </w:rPr>
      </w:pPr>
      <w:r>
        <w:rPr>
          <w:rFonts w:eastAsia="Times New Roman"/>
          <w:sz w:val="30"/>
          <w:szCs w:val="30"/>
          <w:lang w:val="es-ES"/>
        </w:rPr>
        <w:t xml:space="preserve">Art. 129.- </w:t>
      </w:r>
      <w:r>
        <w:rPr>
          <w:rFonts w:eastAsia="Times New Roman"/>
          <w:b/>
          <w:bCs/>
          <w:sz w:val="30"/>
          <w:szCs w:val="30"/>
          <w:lang w:val="es-ES"/>
        </w:rPr>
        <w:t xml:space="preserve">Límite a la concesión de créditos en la ventanilla de redescuento y a la inversión de excedentes de liquidez. </w:t>
      </w:r>
      <w:r>
        <w:rPr>
          <w:rFonts w:eastAsia="Times New Roman"/>
          <w:sz w:val="30"/>
          <w:szCs w:val="30"/>
          <w:lang w:val="es-ES"/>
        </w:rPr>
        <w:t>Los cupos que establecerá la Junta para que las en</w:t>
      </w:r>
      <w:r>
        <w:rPr>
          <w:rFonts w:eastAsia="Times New Roman"/>
          <w:sz w:val="30"/>
          <w:szCs w:val="30"/>
          <w:lang w:val="es-ES"/>
        </w:rPr>
        <w:t>tidades de los sectores financiero privado y popular y solidario efectúen operaciones de ventanilla de redescuento o de inversión doméstica con el Banco Central del Ecuador, se determinarán sobre la base del índice de solvencia y las relaciones patrimonial</w:t>
      </w:r>
      <w:r>
        <w:rPr>
          <w:rFonts w:eastAsia="Times New Roman"/>
          <w:sz w:val="30"/>
          <w:szCs w:val="30"/>
          <w:lang w:val="es-ES"/>
        </w:rPr>
        <w:t>es determinados por la Junta en función de los objetivos de política económica. El cupo agregado para estos dos instrumentos no podrá ser superior a la suma acumulada de: a) el 100% de la posición en títulos emitidos por el ente rector de las finanzas públ</w:t>
      </w:r>
      <w:r>
        <w:rPr>
          <w:rFonts w:eastAsia="Times New Roman"/>
          <w:sz w:val="30"/>
          <w:szCs w:val="30"/>
          <w:lang w:val="es-ES"/>
        </w:rPr>
        <w:t>icas y el Banco Central del Ecuador; b) el 70% de los aportes individuales no comprometidos por la entidad financiera en el Fondo de Liquidez; y, c) la cartera de créditos con calificación de al menos A que no supere en conjunto el 30% del patrimonio técni</w:t>
      </w:r>
      <w:r>
        <w:rPr>
          <w:rFonts w:eastAsia="Times New Roman"/>
          <w:sz w:val="30"/>
          <w:szCs w:val="30"/>
          <w:lang w:val="es-ES"/>
        </w:rPr>
        <w:t>co constituido de cada entidad.</w:t>
      </w:r>
      <w:r>
        <w:rPr>
          <w:rFonts w:eastAsia="Times New Roman"/>
          <w:sz w:val="30"/>
          <w:szCs w:val="30"/>
          <w:lang w:val="es-ES"/>
        </w:rPr>
        <w:br/>
      </w:r>
      <w:r>
        <w:rPr>
          <w:rFonts w:eastAsia="Times New Roman"/>
          <w:sz w:val="30"/>
          <w:szCs w:val="30"/>
          <w:lang w:val="es-ES"/>
        </w:rPr>
        <w:br/>
        <w:t>El cobro se hará con cargo a los recursos aportados por las entidades financieras al Fondo de Liquidez, hasta por el monto entregado a dicho fondo.</w:t>
      </w:r>
    </w:p>
    <w:p w:rsidR="00000000" w:rsidRDefault="0018461E">
      <w:pPr>
        <w:jc w:val="center"/>
        <w:rPr>
          <w:rFonts w:eastAsia="Times New Roman"/>
          <w:sz w:val="36"/>
          <w:szCs w:val="36"/>
          <w:lang w:val="es-ES"/>
        </w:rPr>
      </w:pPr>
      <w:r>
        <w:rPr>
          <w:rFonts w:eastAsia="Times New Roman"/>
          <w:b/>
          <w:bCs/>
          <w:sz w:val="36"/>
          <w:szCs w:val="36"/>
          <w:lang w:val="es-ES"/>
        </w:rPr>
        <w:br/>
        <w:t>Sección 3</w:t>
      </w:r>
      <w:r>
        <w:rPr>
          <w:rFonts w:eastAsia="Times New Roman"/>
          <w:b/>
          <w:bCs/>
          <w:sz w:val="36"/>
          <w:szCs w:val="36"/>
          <w:lang w:val="es-ES"/>
        </w:rPr>
        <w:br/>
        <w:t>DE LAS TASAS DE INTERÉS Y TARIFAS DEL BANCO CENTRAL DEL ECUADOR</w:t>
      </w:r>
    </w:p>
    <w:p w:rsidR="00000000" w:rsidRDefault="0018461E">
      <w:pPr>
        <w:divId w:val="725178340"/>
        <w:rPr>
          <w:rFonts w:eastAsia="Times New Roman"/>
          <w:sz w:val="30"/>
          <w:szCs w:val="30"/>
          <w:lang w:val="es-ES"/>
        </w:rPr>
      </w:pPr>
      <w:r>
        <w:rPr>
          <w:rFonts w:eastAsia="Times New Roman"/>
          <w:sz w:val="30"/>
          <w:szCs w:val="30"/>
          <w:lang w:val="es-ES"/>
        </w:rPr>
        <w:t xml:space="preserve">Art. 130.- </w:t>
      </w:r>
      <w:r>
        <w:rPr>
          <w:rFonts w:eastAsia="Times New Roman"/>
          <w:b/>
          <w:bCs/>
          <w:sz w:val="30"/>
          <w:szCs w:val="30"/>
          <w:lang w:val="es-ES"/>
        </w:rPr>
        <w:t xml:space="preserve">Tasas de interés. </w:t>
      </w:r>
      <w:r>
        <w:rPr>
          <w:rFonts w:eastAsia="Times New Roman"/>
          <w:sz w:val="30"/>
          <w:szCs w:val="30"/>
          <w:lang w:val="es-ES"/>
        </w:rPr>
        <w:t>La Junta de Política y Regulación Monetaria y Financiera podrá fijar las tasas máximas de interés para las operaciones activas y pasivas del sistema financiero nacional y las demás tasas de interés requeridas por la ley, de con</w:t>
      </w:r>
      <w:r>
        <w:rPr>
          <w:rFonts w:eastAsia="Times New Roman"/>
          <w:sz w:val="30"/>
          <w:szCs w:val="30"/>
          <w:lang w:val="es-ES"/>
        </w:rPr>
        <w:t>formidad con el artículo 14 numeral 23 de este Código.</w:t>
      </w:r>
      <w:r>
        <w:rPr>
          <w:rFonts w:eastAsia="Times New Roman"/>
          <w:sz w:val="30"/>
          <w:szCs w:val="30"/>
          <w:lang w:val="es-ES"/>
        </w:rPr>
        <w:br/>
      </w:r>
      <w:r>
        <w:rPr>
          <w:rFonts w:eastAsia="Times New Roman"/>
          <w:sz w:val="30"/>
          <w:szCs w:val="30"/>
          <w:lang w:val="es-ES"/>
        </w:rPr>
        <w:lastRenderedPageBreak/>
        <w:br/>
        <w:t>Se prohíbe el anatocismo.</w:t>
      </w:r>
    </w:p>
    <w:p w:rsidR="00000000" w:rsidRDefault="0018461E">
      <w:pPr>
        <w:divId w:val="1628509763"/>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 xml:space="preserve">Tasas de interés del Banco Central del Ecuador. </w:t>
      </w:r>
      <w:r>
        <w:rPr>
          <w:rFonts w:eastAsia="Times New Roman"/>
          <w:sz w:val="30"/>
          <w:szCs w:val="30"/>
          <w:lang w:val="es-ES"/>
        </w:rPr>
        <w:t>La Junta de Política y Regulación Monetaria y Financiera determinará las tasas de interés aplicables a las operacio</w:t>
      </w:r>
      <w:r>
        <w:rPr>
          <w:rFonts w:eastAsia="Times New Roman"/>
          <w:sz w:val="30"/>
          <w:szCs w:val="30"/>
          <w:lang w:val="es-ES"/>
        </w:rPr>
        <w:t>nes activas y pasivas del Banco Central del Ecuador y las tarifas que el Banco cobrará por sus servicios.</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5 </w:t>
      </w:r>
      <w:r>
        <w:rPr>
          <w:rFonts w:eastAsia="Times New Roman"/>
          <w:b/>
          <w:bCs/>
          <w:sz w:val="36"/>
          <w:szCs w:val="36"/>
          <w:lang w:val="es-ES"/>
        </w:rPr>
        <w:br/>
        <w:t>DE LOS ACTIVOS Y PASIVOS EXTERNOS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ACTIVOS Y PASIVOS EXTERNOS</w:t>
      </w:r>
    </w:p>
    <w:p w:rsidR="00000000" w:rsidRDefault="0018461E">
      <w:pPr>
        <w:divId w:val="120080981"/>
        <w:rPr>
          <w:rFonts w:eastAsia="Times New Roman"/>
          <w:sz w:val="30"/>
          <w:szCs w:val="30"/>
          <w:lang w:val="es-ES"/>
        </w:rPr>
      </w:pPr>
      <w:r>
        <w:rPr>
          <w:rFonts w:eastAsia="Times New Roman"/>
          <w:sz w:val="30"/>
          <w:szCs w:val="30"/>
          <w:lang w:val="es-ES"/>
        </w:rPr>
        <w:t xml:space="preserve">Art. 132.- </w:t>
      </w:r>
      <w:r>
        <w:rPr>
          <w:rFonts w:eastAsia="Times New Roman"/>
          <w:b/>
          <w:bCs/>
          <w:sz w:val="30"/>
          <w:szCs w:val="30"/>
          <w:lang w:val="es-ES"/>
        </w:rPr>
        <w:t xml:space="preserve">Activos externos del Banco Central del Ecuador. </w:t>
      </w:r>
      <w:r>
        <w:rPr>
          <w:rFonts w:eastAsia="Times New Roman"/>
          <w:sz w:val="30"/>
          <w:szCs w:val="30"/>
          <w:lang w:val="es-ES"/>
        </w:rPr>
        <w:t>Los a</w:t>
      </w:r>
      <w:r>
        <w:rPr>
          <w:rFonts w:eastAsia="Times New Roman"/>
          <w:sz w:val="30"/>
          <w:szCs w:val="30"/>
          <w:lang w:val="es-ES"/>
        </w:rPr>
        <w:t>ctivos externos del Banco Central del Ecuador están conformados por lo siguiente:</w:t>
      </w:r>
      <w:r>
        <w:rPr>
          <w:rFonts w:eastAsia="Times New Roman"/>
          <w:sz w:val="30"/>
          <w:szCs w:val="30"/>
          <w:lang w:val="es-ES"/>
        </w:rPr>
        <w:br/>
      </w:r>
      <w:r>
        <w:rPr>
          <w:rFonts w:eastAsia="Times New Roman"/>
          <w:sz w:val="30"/>
          <w:szCs w:val="30"/>
          <w:lang w:val="es-ES"/>
        </w:rPr>
        <w:br/>
        <w:t>1. Divisas;</w:t>
      </w:r>
      <w:r>
        <w:rPr>
          <w:rFonts w:eastAsia="Times New Roman"/>
          <w:sz w:val="30"/>
          <w:szCs w:val="30"/>
          <w:lang w:val="es-ES"/>
        </w:rPr>
        <w:br/>
      </w:r>
      <w:r>
        <w:rPr>
          <w:rFonts w:eastAsia="Times New Roman"/>
          <w:sz w:val="30"/>
          <w:szCs w:val="30"/>
          <w:lang w:val="es-ES"/>
        </w:rPr>
        <w:br/>
        <w:t>2. Activos netos en instituciones financieras del exterior;</w:t>
      </w:r>
      <w:r>
        <w:rPr>
          <w:rFonts w:eastAsia="Times New Roman"/>
          <w:sz w:val="30"/>
          <w:szCs w:val="30"/>
          <w:lang w:val="es-ES"/>
        </w:rPr>
        <w:br/>
      </w:r>
      <w:r>
        <w:rPr>
          <w:rFonts w:eastAsia="Times New Roman"/>
          <w:sz w:val="30"/>
          <w:szCs w:val="30"/>
          <w:lang w:val="es-ES"/>
        </w:rPr>
        <w:br/>
        <w:t>3. Unidades de cuenta emitidas por organismos monetarios internacionales;</w:t>
      </w:r>
      <w:r>
        <w:rPr>
          <w:rFonts w:eastAsia="Times New Roman"/>
          <w:sz w:val="30"/>
          <w:szCs w:val="30"/>
          <w:lang w:val="es-ES"/>
        </w:rPr>
        <w:br/>
      </w:r>
      <w:r>
        <w:rPr>
          <w:rFonts w:eastAsia="Times New Roman"/>
          <w:sz w:val="30"/>
          <w:szCs w:val="30"/>
          <w:lang w:val="es-ES"/>
        </w:rPr>
        <w:br/>
        <w:t>4. Oro monetario y no mo</w:t>
      </w:r>
      <w:r>
        <w:rPr>
          <w:rFonts w:eastAsia="Times New Roman"/>
          <w:sz w:val="30"/>
          <w:szCs w:val="30"/>
          <w:lang w:val="es-ES"/>
        </w:rPr>
        <w:t>netario;</w:t>
      </w:r>
      <w:r>
        <w:rPr>
          <w:rFonts w:eastAsia="Times New Roman"/>
          <w:sz w:val="30"/>
          <w:szCs w:val="30"/>
          <w:lang w:val="es-ES"/>
        </w:rPr>
        <w:br/>
      </w:r>
      <w:r>
        <w:rPr>
          <w:rFonts w:eastAsia="Times New Roman"/>
          <w:sz w:val="30"/>
          <w:szCs w:val="30"/>
          <w:lang w:val="es-ES"/>
        </w:rPr>
        <w:br/>
        <w:t>5. Posición de reserva con organismos internacionales;</w:t>
      </w:r>
      <w:r>
        <w:rPr>
          <w:rFonts w:eastAsia="Times New Roman"/>
          <w:sz w:val="30"/>
          <w:szCs w:val="30"/>
          <w:lang w:val="es-ES"/>
        </w:rPr>
        <w:br/>
      </w:r>
      <w:r>
        <w:rPr>
          <w:rFonts w:eastAsia="Times New Roman"/>
          <w:sz w:val="30"/>
          <w:szCs w:val="30"/>
          <w:lang w:val="es-ES"/>
        </w:rPr>
        <w:br/>
        <w:t>6. Saldos a favor del Banco Central del Ecuador en los acuerdos bilaterales y multilaterales; y,</w:t>
      </w:r>
      <w:r>
        <w:rPr>
          <w:rFonts w:eastAsia="Times New Roman"/>
          <w:sz w:val="30"/>
          <w:szCs w:val="30"/>
          <w:lang w:val="es-ES"/>
        </w:rPr>
        <w:br/>
      </w:r>
      <w:r>
        <w:rPr>
          <w:rFonts w:eastAsia="Times New Roman"/>
          <w:sz w:val="30"/>
          <w:szCs w:val="30"/>
          <w:lang w:val="es-ES"/>
        </w:rPr>
        <w:br/>
        <w:t>7. Otros activos externos en divisas.</w:t>
      </w:r>
    </w:p>
    <w:p w:rsidR="00000000" w:rsidRDefault="0018461E">
      <w:pPr>
        <w:divId w:val="913050093"/>
        <w:rPr>
          <w:rFonts w:eastAsia="Times New Roman"/>
          <w:sz w:val="30"/>
          <w:szCs w:val="30"/>
          <w:lang w:val="es-ES"/>
        </w:rPr>
      </w:pPr>
      <w:r>
        <w:rPr>
          <w:rFonts w:eastAsia="Times New Roman"/>
          <w:sz w:val="30"/>
          <w:szCs w:val="30"/>
          <w:lang w:val="es-ES"/>
        </w:rPr>
        <w:t xml:space="preserve">Art. 133.- </w:t>
      </w:r>
      <w:r>
        <w:rPr>
          <w:rFonts w:eastAsia="Times New Roman"/>
          <w:b/>
          <w:bCs/>
          <w:sz w:val="30"/>
          <w:szCs w:val="30"/>
          <w:lang w:val="es-ES"/>
        </w:rPr>
        <w:t>Pasivos externos del Banco Central del Ecua</w:t>
      </w:r>
      <w:r>
        <w:rPr>
          <w:rFonts w:eastAsia="Times New Roman"/>
          <w:b/>
          <w:bCs/>
          <w:sz w:val="30"/>
          <w:szCs w:val="30"/>
          <w:lang w:val="es-ES"/>
        </w:rPr>
        <w:t xml:space="preserve">dor. </w:t>
      </w:r>
      <w:r>
        <w:rPr>
          <w:rFonts w:eastAsia="Times New Roman"/>
          <w:sz w:val="30"/>
          <w:szCs w:val="30"/>
          <w:lang w:val="es-ES"/>
        </w:rPr>
        <w:t>Los pasivos externos del Banco Central del Ecuador están conformados por lo siguiente:</w:t>
      </w:r>
      <w:r>
        <w:rPr>
          <w:rFonts w:eastAsia="Times New Roman"/>
          <w:sz w:val="30"/>
          <w:szCs w:val="30"/>
          <w:lang w:val="es-ES"/>
        </w:rPr>
        <w:br/>
      </w:r>
      <w:r>
        <w:rPr>
          <w:rFonts w:eastAsia="Times New Roman"/>
          <w:sz w:val="30"/>
          <w:szCs w:val="30"/>
          <w:lang w:val="es-ES"/>
        </w:rPr>
        <w:br/>
        <w:t>1. Obligaciones con el exterior pagaderas en divisas;</w:t>
      </w:r>
      <w:r>
        <w:rPr>
          <w:rFonts w:eastAsia="Times New Roman"/>
          <w:sz w:val="30"/>
          <w:szCs w:val="30"/>
          <w:lang w:val="es-ES"/>
        </w:rPr>
        <w:br/>
      </w:r>
      <w:r>
        <w:rPr>
          <w:rFonts w:eastAsia="Times New Roman"/>
          <w:sz w:val="30"/>
          <w:szCs w:val="30"/>
          <w:lang w:val="es-ES"/>
        </w:rPr>
        <w:br/>
        <w:t>2. Créditos otorgados por organismos internacionales;</w:t>
      </w:r>
      <w:r>
        <w:rPr>
          <w:rFonts w:eastAsia="Times New Roman"/>
          <w:sz w:val="30"/>
          <w:szCs w:val="30"/>
          <w:lang w:val="es-ES"/>
        </w:rPr>
        <w:br/>
      </w:r>
      <w:r>
        <w:rPr>
          <w:rFonts w:eastAsia="Times New Roman"/>
          <w:sz w:val="30"/>
          <w:szCs w:val="30"/>
          <w:lang w:val="es-ES"/>
        </w:rPr>
        <w:lastRenderedPageBreak/>
        <w:br/>
        <w:t>3. Saldos a pagar por el Banco Central del Ecuador en</w:t>
      </w:r>
      <w:r>
        <w:rPr>
          <w:rFonts w:eastAsia="Times New Roman"/>
          <w:sz w:val="30"/>
          <w:szCs w:val="30"/>
          <w:lang w:val="es-ES"/>
        </w:rPr>
        <w:t xml:space="preserve"> los acuerdos bilaterales y multilaterales; y,</w:t>
      </w:r>
      <w:r>
        <w:rPr>
          <w:rFonts w:eastAsia="Times New Roman"/>
          <w:sz w:val="30"/>
          <w:szCs w:val="30"/>
          <w:lang w:val="es-ES"/>
        </w:rPr>
        <w:br/>
      </w:r>
      <w:r>
        <w:rPr>
          <w:rFonts w:eastAsia="Times New Roman"/>
          <w:sz w:val="30"/>
          <w:szCs w:val="30"/>
          <w:lang w:val="es-ES"/>
        </w:rPr>
        <w:br/>
        <w:t>4. Otros pasivos externos en divisas.</w:t>
      </w:r>
    </w:p>
    <w:p w:rsidR="00000000" w:rsidRDefault="0018461E">
      <w:pPr>
        <w:divId w:val="1225263628"/>
        <w:rPr>
          <w:rFonts w:eastAsia="Times New Roman"/>
          <w:sz w:val="30"/>
          <w:szCs w:val="30"/>
          <w:lang w:val="es-ES"/>
        </w:rPr>
      </w:pPr>
      <w:r>
        <w:rPr>
          <w:rFonts w:eastAsia="Times New Roman"/>
          <w:sz w:val="30"/>
          <w:szCs w:val="30"/>
          <w:lang w:val="es-ES"/>
        </w:rPr>
        <w:t xml:space="preserve">Art. 134.- </w:t>
      </w:r>
      <w:r>
        <w:rPr>
          <w:rFonts w:eastAsia="Times New Roman"/>
          <w:b/>
          <w:bCs/>
          <w:sz w:val="30"/>
          <w:szCs w:val="30"/>
          <w:lang w:val="es-ES"/>
        </w:rPr>
        <w:t xml:space="preserve">Contabilización de activos y pasivos externos. </w:t>
      </w:r>
      <w:r>
        <w:rPr>
          <w:rFonts w:eastAsia="Times New Roman"/>
          <w:sz w:val="30"/>
          <w:szCs w:val="30"/>
          <w:lang w:val="es-ES"/>
        </w:rPr>
        <w:t>Los activos y pasivos externos serán contabilizados de acuerdo a prácticas contables generalmente aceptadas, con</w:t>
      </w:r>
      <w:r>
        <w:rPr>
          <w:rFonts w:eastAsia="Times New Roman"/>
          <w:sz w:val="30"/>
          <w:szCs w:val="30"/>
          <w:lang w:val="es-ES"/>
        </w:rPr>
        <w:t>forme a las regulaciones que emita la Junta.</w:t>
      </w:r>
    </w:p>
    <w:p w:rsidR="00000000" w:rsidRDefault="0018461E">
      <w:pPr>
        <w:divId w:val="153881759"/>
        <w:rPr>
          <w:rFonts w:eastAsia="Times New Roman"/>
          <w:sz w:val="30"/>
          <w:szCs w:val="30"/>
          <w:lang w:val="es-ES"/>
        </w:rPr>
      </w:pPr>
      <w:r>
        <w:rPr>
          <w:rFonts w:eastAsia="Times New Roman"/>
          <w:sz w:val="30"/>
          <w:szCs w:val="30"/>
          <w:lang w:val="es-ES"/>
        </w:rPr>
        <w:t xml:space="preserve">Art. 135.- </w:t>
      </w:r>
      <w:r>
        <w:rPr>
          <w:rFonts w:eastAsia="Times New Roman"/>
          <w:b/>
          <w:bCs/>
          <w:sz w:val="30"/>
          <w:szCs w:val="30"/>
          <w:lang w:val="es-ES"/>
        </w:rPr>
        <w:t xml:space="preserve">Negociación de oro. </w:t>
      </w:r>
      <w:r>
        <w:rPr>
          <w:rFonts w:eastAsia="Times New Roman"/>
          <w:sz w:val="30"/>
          <w:szCs w:val="30"/>
          <w:lang w:val="es-ES"/>
        </w:rPr>
        <w:t>El Banco Central del Ecuador podrá intervenir en la compra, venta o negociación de oro y podrá hacer operaciones en divisas u oro a futuro o mediante otros derivados, en la forma y</w:t>
      </w:r>
      <w:r>
        <w:rPr>
          <w:rFonts w:eastAsia="Times New Roman"/>
          <w:sz w:val="30"/>
          <w:szCs w:val="30"/>
          <w:lang w:val="es-ES"/>
        </w:rPr>
        <w:t xml:space="preserve"> condiciones que autorice la Junta de Política y Regulación Monetaria y Financiera.</w:t>
      </w:r>
    </w:p>
    <w:p w:rsidR="00000000" w:rsidRDefault="0018461E">
      <w:pPr>
        <w:divId w:val="1076443238"/>
        <w:rPr>
          <w:rFonts w:eastAsia="Times New Roman"/>
          <w:sz w:val="30"/>
          <w:szCs w:val="30"/>
          <w:lang w:val="es-ES"/>
        </w:rPr>
      </w:pPr>
      <w:r>
        <w:rPr>
          <w:rFonts w:eastAsia="Times New Roman"/>
          <w:sz w:val="30"/>
          <w:szCs w:val="30"/>
          <w:lang w:val="es-ES"/>
        </w:rPr>
        <w:t xml:space="preserve">Art. 136.- </w:t>
      </w:r>
      <w:r>
        <w:rPr>
          <w:rFonts w:eastAsia="Times New Roman"/>
          <w:b/>
          <w:bCs/>
          <w:sz w:val="30"/>
          <w:szCs w:val="30"/>
          <w:lang w:val="es-ES"/>
        </w:rPr>
        <w:t xml:space="preserve">Inembargabilidad. </w:t>
      </w:r>
      <w:r>
        <w:rPr>
          <w:rFonts w:eastAsia="Times New Roman"/>
          <w:sz w:val="30"/>
          <w:szCs w:val="30"/>
          <w:lang w:val="es-ES"/>
        </w:rPr>
        <w:t>Los bienes y recursos que integran los activos externos del Banco Central del Ecuador son inembargables, gozan de inmunidad soberana, no pueden</w:t>
      </w:r>
      <w:r>
        <w:rPr>
          <w:rFonts w:eastAsia="Times New Roman"/>
          <w:sz w:val="30"/>
          <w:szCs w:val="30"/>
          <w:lang w:val="es-ES"/>
        </w:rPr>
        <w:t xml:space="preserve"> ser objeto de ningún tipo de apremio, medida preventiva o cautelar ni de ejecución, y solo pueden aplicarse a los fines previstos en el presente Código.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LAS RESERVAS INTERNACIONALES</w:t>
      </w:r>
    </w:p>
    <w:p w:rsidR="00000000" w:rsidRDefault="0018461E">
      <w:pPr>
        <w:divId w:val="1241480740"/>
        <w:rPr>
          <w:rFonts w:eastAsia="Times New Roman"/>
          <w:sz w:val="30"/>
          <w:szCs w:val="30"/>
          <w:lang w:val="es-ES"/>
        </w:rPr>
      </w:pPr>
      <w:r>
        <w:rPr>
          <w:rFonts w:eastAsia="Times New Roman"/>
          <w:sz w:val="30"/>
          <w:szCs w:val="30"/>
          <w:lang w:val="es-ES"/>
        </w:rPr>
        <w:t xml:space="preserve">Art. 137.- </w:t>
      </w:r>
      <w:r>
        <w:rPr>
          <w:rFonts w:eastAsia="Times New Roman"/>
          <w:b/>
          <w:bCs/>
          <w:sz w:val="30"/>
          <w:szCs w:val="30"/>
          <w:lang w:val="es-ES"/>
        </w:rPr>
        <w:t xml:space="preserve">Reservas internacionales. </w:t>
      </w:r>
      <w:r>
        <w:rPr>
          <w:rFonts w:eastAsia="Times New Roman"/>
          <w:sz w:val="30"/>
          <w:szCs w:val="30"/>
          <w:lang w:val="es-ES"/>
        </w:rPr>
        <w:t>Se entiende por reser</w:t>
      </w:r>
      <w:r>
        <w:rPr>
          <w:rFonts w:eastAsia="Times New Roman"/>
          <w:sz w:val="30"/>
          <w:szCs w:val="30"/>
          <w:lang w:val="es-ES"/>
        </w:rPr>
        <w:t>vas internacionales al total de activos externos que posee el Banco Central del Ecuador en instrumentos financieros, denominados en divisas y emitidos por no residentes, que sean considerados líquidos y de bajo riesgo.</w:t>
      </w:r>
      <w:r>
        <w:rPr>
          <w:rFonts w:eastAsia="Times New Roman"/>
          <w:sz w:val="30"/>
          <w:szCs w:val="30"/>
          <w:lang w:val="es-ES"/>
        </w:rPr>
        <w:br/>
      </w:r>
      <w:r>
        <w:rPr>
          <w:rFonts w:eastAsia="Times New Roman"/>
          <w:sz w:val="30"/>
          <w:szCs w:val="30"/>
          <w:lang w:val="es-ES"/>
        </w:rPr>
        <w:br/>
        <w:t>El Banco Central del Ecuador mantend</w:t>
      </w:r>
      <w:r>
        <w:rPr>
          <w:rFonts w:eastAsia="Times New Roman"/>
          <w:sz w:val="30"/>
          <w:szCs w:val="30"/>
          <w:lang w:val="es-ES"/>
        </w:rPr>
        <w:t>rá reservas internacionales en las divisas más utilizadas por el país en sus pagos al exterior, en especial en divisas diversificadas y de fácil aceptación.</w:t>
      </w:r>
      <w:r>
        <w:rPr>
          <w:rFonts w:eastAsia="Times New Roman"/>
          <w:sz w:val="30"/>
          <w:szCs w:val="30"/>
          <w:lang w:val="es-ES"/>
        </w:rPr>
        <w:br/>
      </w:r>
      <w:r>
        <w:rPr>
          <w:rFonts w:eastAsia="Times New Roman"/>
          <w:sz w:val="30"/>
          <w:szCs w:val="30"/>
          <w:lang w:val="es-ES"/>
        </w:rPr>
        <w:br/>
        <w:t>A fin de mantener la solvencia financiera externa del país, la Junta de Política y Regulación Mone</w:t>
      </w:r>
      <w:r>
        <w:rPr>
          <w:rFonts w:eastAsia="Times New Roman"/>
          <w:sz w:val="30"/>
          <w:szCs w:val="30"/>
          <w:lang w:val="es-ES"/>
        </w:rPr>
        <w:t>taria y Financiera expedirá la regulación para que el Banco Central del Ecuador conserve una reserva internacional adecuada a las necesidades de los pagos internacionales.</w:t>
      </w:r>
    </w:p>
    <w:p w:rsidR="00000000" w:rsidRDefault="0018461E">
      <w:pPr>
        <w:divId w:val="1465153821"/>
        <w:rPr>
          <w:rFonts w:eastAsia="Times New Roman"/>
          <w:sz w:val="30"/>
          <w:szCs w:val="30"/>
          <w:lang w:val="es-ES"/>
        </w:rPr>
      </w:pPr>
      <w:r>
        <w:rPr>
          <w:rFonts w:eastAsia="Times New Roman"/>
          <w:sz w:val="30"/>
          <w:szCs w:val="30"/>
          <w:lang w:val="es-ES"/>
        </w:rPr>
        <w:t xml:space="preserve">Art. 138.- </w:t>
      </w:r>
      <w:r>
        <w:rPr>
          <w:rFonts w:eastAsia="Times New Roman"/>
          <w:b/>
          <w:bCs/>
          <w:sz w:val="30"/>
          <w:szCs w:val="30"/>
          <w:lang w:val="es-ES"/>
        </w:rPr>
        <w:t xml:space="preserve">Contabilización de las reservas. </w:t>
      </w:r>
      <w:r>
        <w:rPr>
          <w:rFonts w:eastAsia="Times New Roman"/>
          <w:sz w:val="30"/>
          <w:szCs w:val="30"/>
          <w:lang w:val="es-ES"/>
        </w:rPr>
        <w:t>Las reservas serán contabilizadas de acu</w:t>
      </w:r>
      <w:r>
        <w:rPr>
          <w:rFonts w:eastAsia="Times New Roman"/>
          <w:sz w:val="30"/>
          <w:szCs w:val="30"/>
          <w:lang w:val="es-ES"/>
        </w:rPr>
        <w:t>erdo a prácticas contables de general aceptación que adopte la Junta de Política y Regulación Monetaria y Financiera.</w:t>
      </w:r>
    </w:p>
    <w:p w:rsidR="00000000" w:rsidRDefault="0018461E">
      <w:pPr>
        <w:divId w:val="1787776775"/>
        <w:rPr>
          <w:rFonts w:eastAsia="Times New Roman"/>
          <w:sz w:val="30"/>
          <w:szCs w:val="30"/>
          <w:lang w:val="es-ES"/>
        </w:rPr>
      </w:pPr>
      <w:r>
        <w:rPr>
          <w:rFonts w:eastAsia="Times New Roman"/>
          <w:sz w:val="30"/>
          <w:szCs w:val="30"/>
          <w:lang w:val="es-ES"/>
        </w:rPr>
        <w:lastRenderedPageBreak/>
        <w:t xml:space="preserve">Art. 139.- </w:t>
      </w:r>
      <w:r>
        <w:rPr>
          <w:rFonts w:eastAsia="Times New Roman"/>
          <w:b/>
          <w:bCs/>
          <w:sz w:val="30"/>
          <w:szCs w:val="30"/>
          <w:lang w:val="es-ES"/>
        </w:rPr>
        <w:t xml:space="preserve">Inversión de las reservas. </w:t>
      </w:r>
      <w:r>
        <w:rPr>
          <w:rFonts w:eastAsia="Times New Roman"/>
          <w:sz w:val="30"/>
          <w:szCs w:val="30"/>
          <w:lang w:val="es-ES"/>
        </w:rPr>
        <w:t>El Banco Central del Ecuador invertirá las reservas internacionales de manera que se garantice, en s</w:t>
      </w:r>
      <w:r>
        <w:rPr>
          <w:rFonts w:eastAsia="Times New Roman"/>
          <w:sz w:val="30"/>
          <w:szCs w:val="30"/>
          <w:lang w:val="es-ES"/>
        </w:rPr>
        <w:t>u orden, la seguridad, liquidez y rentabilidad económica de tales inversiones.</w:t>
      </w:r>
      <w:r>
        <w:rPr>
          <w:rFonts w:eastAsia="Times New Roman"/>
          <w:sz w:val="30"/>
          <w:szCs w:val="30"/>
          <w:lang w:val="es-ES"/>
        </w:rPr>
        <w:br/>
      </w:r>
      <w:r>
        <w:rPr>
          <w:rFonts w:eastAsia="Times New Roman"/>
          <w:sz w:val="30"/>
          <w:szCs w:val="30"/>
          <w:lang w:val="es-ES"/>
        </w:rPr>
        <w:br/>
        <w:t>El rendimiento de la inversión constituirá un ingreso del Banco Central del Ecuador y se registrará en la cuenta de resultados.</w:t>
      </w:r>
      <w:r>
        <w:rPr>
          <w:rFonts w:eastAsia="Times New Roman"/>
          <w:sz w:val="30"/>
          <w:szCs w:val="30"/>
          <w:lang w:val="es-ES"/>
        </w:rPr>
        <w:br/>
      </w:r>
      <w:r>
        <w:rPr>
          <w:rFonts w:eastAsia="Times New Roman"/>
          <w:sz w:val="30"/>
          <w:szCs w:val="30"/>
          <w:lang w:val="es-ES"/>
        </w:rPr>
        <w:br/>
        <w:t>Los rendimientos de las inversiones que realiza</w:t>
      </w:r>
      <w:r>
        <w:rPr>
          <w:rFonts w:eastAsia="Times New Roman"/>
          <w:sz w:val="30"/>
          <w:szCs w:val="30"/>
          <w:lang w:val="es-ES"/>
        </w:rPr>
        <w:t xml:space="preserve"> el Banco Central del Ecuador con los fondos del Instituto Ecuatoriano de Seguridad Social serán transferidos mensualmente a dicha institución y no formarán parte de los ingresos corrientes ni utilidades del Banco Central del Ecuador.</w:t>
      </w:r>
      <w:r>
        <w:rPr>
          <w:rFonts w:eastAsia="Times New Roman"/>
          <w:sz w:val="30"/>
          <w:szCs w:val="30"/>
          <w:lang w:val="es-ES"/>
        </w:rPr>
        <w:br/>
      </w:r>
      <w:r>
        <w:rPr>
          <w:rFonts w:eastAsia="Times New Roman"/>
          <w:sz w:val="30"/>
          <w:szCs w:val="30"/>
          <w:lang w:val="es-ES"/>
        </w:rPr>
        <w:br/>
        <w:t>Los rendimientos que</w:t>
      </w:r>
      <w:r>
        <w:rPr>
          <w:rFonts w:eastAsia="Times New Roman"/>
          <w:sz w:val="30"/>
          <w:szCs w:val="30"/>
          <w:lang w:val="es-ES"/>
        </w:rPr>
        <w:t xml:space="preserve"> se generen de las inversiones de la Cuenta Única del Tesoro Nacional se restituirán a esa cuenta en su totalidad, salvo las comisiones pertinentes que autorice la Junta dentro de las operaciones financieras. Estos rendimientos no formarán parte de los ing</w:t>
      </w:r>
      <w:r>
        <w:rPr>
          <w:rFonts w:eastAsia="Times New Roman"/>
          <w:sz w:val="30"/>
          <w:szCs w:val="30"/>
          <w:lang w:val="es-ES"/>
        </w:rPr>
        <w:t>resos del Banco Central del Ecuador. Igual disposición se aplicará para los recursos provenientes del Fondo de Liquidez cuando fuere del caso.</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6 </w:t>
      </w:r>
      <w:r>
        <w:rPr>
          <w:rFonts w:eastAsia="Times New Roman"/>
          <w:b/>
          <w:bCs/>
          <w:sz w:val="36"/>
          <w:szCs w:val="36"/>
          <w:lang w:val="es-ES"/>
        </w:rPr>
        <w:br/>
        <w:t>DEL RÉGIMEN CAMBIARIO</w:t>
      </w:r>
    </w:p>
    <w:p w:rsidR="00000000" w:rsidRDefault="0018461E">
      <w:pPr>
        <w:divId w:val="1552155023"/>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Servicio de deuda. </w:t>
      </w:r>
      <w:r>
        <w:rPr>
          <w:rFonts w:eastAsia="Times New Roman"/>
          <w:sz w:val="30"/>
          <w:szCs w:val="30"/>
          <w:lang w:val="es-ES"/>
        </w:rPr>
        <w:t>Corresponde al Banco Central del Ecuador adquiri</w:t>
      </w:r>
      <w:r>
        <w:rPr>
          <w:rFonts w:eastAsia="Times New Roman"/>
          <w:sz w:val="30"/>
          <w:szCs w:val="30"/>
          <w:lang w:val="es-ES"/>
        </w:rPr>
        <w:t>r las divisas para efectuar el servicio de la deuda y los pagos de las entidades del sector público.</w:t>
      </w:r>
      <w:r>
        <w:rPr>
          <w:rFonts w:eastAsia="Times New Roman"/>
          <w:sz w:val="30"/>
          <w:szCs w:val="30"/>
          <w:lang w:val="es-ES"/>
        </w:rPr>
        <w:br/>
      </w:r>
      <w:r>
        <w:rPr>
          <w:rFonts w:eastAsia="Times New Roman"/>
          <w:sz w:val="30"/>
          <w:szCs w:val="30"/>
          <w:lang w:val="es-ES"/>
        </w:rPr>
        <w:br/>
        <w:t>La Junta de Política y Regulación Monetaria y Financiera autorizará la apertura y mantenimiento de cuentas en el exterior, para uso de las entidades del s</w:t>
      </w:r>
      <w:r>
        <w:rPr>
          <w:rFonts w:eastAsia="Times New Roman"/>
          <w:sz w:val="30"/>
          <w:szCs w:val="30"/>
          <w:lang w:val="es-ES"/>
        </w:rPr>
        <w:t>ector público, previo informes favorables del ente rector de las finanzas públicas y del Banco Central del Ecuador.</w:t>
      </w:r>
    </w:p>
    <w:p w:rsidR="00000000" w:rsidRDefault="0018461E">
      <w:pPr>
        <w:divId w:val="1565600473"/>
        <w:rPr>
          <w:rFonts w:eastAsia="Times New Roman"/>
          <w:sz w:val="30"/>
          <w:szCs w:val="30"/>
          <w:lang w:val="es-ES"/>
        </w:rPr>
      </w:pPr>
      <w:r>
        <w:rPr>
          <w:rFonts w:eastAsia="Times New Roman"/>
          <w:sz w:val="30"/>
          <w:szCs w:val="30"/>
          <w:lang w:val="es-ES"/>
        </w:rPr>
        <w:t xml:space="preserve">Art. 141.- </w:t>
      </w:r>
      <w:r>
        <w:rPr>
          <w:rFonts w:eastAsia="Times New Roman"/>
          <w:b/>
          <w:bCs/>
          <w:sz w:val="30"/>
          <w:szCs w:val="30"/>
          <w:lang w:val="es-ES"/>
        </w:rPr>
        <w:t xml:space="preserve">Compra y venta de divisas. </w:t>
      </w:r>
      <w:r>
        <w:rPr>
          <w:rFonts w:eastAsia="Times New Roman"/>
          <w:sz w:val="30"/>
          <w:szCs w:val="30"/>
          <w:lang w:val="es-ES"/>
        </w:rPr>
        <w:t>La Junta de Política y Regulación Monetaria y Financiera regulará la compra y venta de divisas y deter</w:t>
      </w:r>
      <w:r>
        <w:rPr>
          <w:rFonts w:eastAsia="Times New Roman"/>
          <w:sz w:val="30"/>
          <w:szCs w:val="30"/>
          <w:lang w:val="es-ES"/>
        </w:rPr>
        <w:t>minará los casos en que la venta de divisas sea obligatoria al Banco Central del Ecuador.</w:t>
      </w:r>
      <w:r>
        <w:rPr>
          <w:rFonts w:eastAsia="Times New Roman"/>
          <w:sz w:val="30"/>
          <w:szCs w:val="30"/>
          <w:lang w:val="es-ES"/>
        </w:rPr>
        <w:br/>
      </w:r>
      <w:r>
        <w:rPr>
          <w:rFonts w:eastAsia="Times New Roman"/>
          <w:sz w:val="30"/>
          <w:szCs w:val="30"/>
          <w:lang w:val="es-ES"/>
        </w:rPr>
        <w:br/>
        <w:t>Las demás transacciones cambiarias podrán realizarse en el mercado libre.</w:t>
      </w:r>
      <w:r>
        <w:rPr>
          <w:rFonts w:eastAsia="Times New Roman"/>
          <w:sz w:val="30"/>
          <w:szCs w:val="30"/>
          <w:lang w:val="es-ES"/>
        </w:rPr>
        <w:br/>
      </w:r>
      <w:r>
        <w:rPr>
          <w:rFonts w:eastAsia="Times New Roman"/>
          <w:sz w:val="30"/>
          <w:szCs w:val="30"/>
          <w:lang w:val="es-ES"/>
        </w:rPr>
        <w:lastRenderedPageBreak/>
        <w:br/>
        <w:t>El ente rector de las finanzas públicas entregará al Banco Central del Ecuador la programa</w:t>
      </w:r>
      <w:r>
        <w:rPr>
          <w:rFonts w:eastAsia="Times New Roman"/>
          <w:sz w:val="30"/>
          <w:szCs w:val="30"/>
          <w:lang w:val="es-ES"/>
        </w:rPr>
        <w:t>ción de transferencias al exterior del Presupuesto General del Estado.</w:t>
      </w:r>
    </w:p>
    <w:p w:rsidR="00000000" w:rsidRDefault="0018461E">
      <w:pPr>
        <w:divId w:val="1824933698"/>
        <w:rPr>
          <w:rFonts w:eastAsia="Times New Roman"/>
          <w:sz w:val="30"/>
          <w:szCs w:val="30"/>
          <w:lang w:val="es-ES"/>
        </w:rPr>
      </w:pPr>
      <w:r>
        <w:rPr>
          <w:rFonts w:eastAsia="Times New Roman"/>
          <w:sz w:val="30"/>
          <w:szCs w:val="30"/>
          <w:lang w:val="es-ES"/>
        </w:rPr>
        <w:t xml:space="preserve">Art. 142.- </w:t>
      </w:r>
      <w:r>
        <w:rPr>
          <w:rFonts w:eastAsia="Times New Roman"/>
          <w:b/>
          <w:bCs/>
          <w:sz w:val="30"/>
          <w:szCs w:val="30"/>
          <w:lang w:val="es-ES"/>
        </w:rPr>
        <w:t xml:space="preserve">Políticas de comercio exterior. </w:t>
      </w:r>
      <w:r>
        <w:rPr>
          <w:rFonts w:eastAsia="Times New Roman"/>
          <w:sz w:val="30"/>
          <w:szCs w:val="30"/>
          <w:lang w:val="es-ES"/>
        </w:rPr>
        <w:t>La Junta de Política y Regulación Monetaria y Financiera acordará con el organismo responsable de la regulación en materia de comercio exterior, mediante resolución conjunta, las metas de cumplimiento obligatorio de ingreso neto de divisas no petroleras de</w:t>
      </w:r>
      <w:r>
        <w:rPr>
          <w:rFonts w:eastAsia="Times New Roman"/>
          <w:sz w:val="30"/>
          <w:szCs w:val="30"/>
          <w:lang w:val="es-ES"/>
        </w:rPr>
        <w:t xml:space="preserve"> las balanzas de bienes y de servicios; este último organismo será el responsable del cumplimento de dichas metas. La Junta presentará un informe del cumplimento de esta obligación a la Presidencia de la República.</w:t>
      </w:r>
    </w:p>
    <w:p w:rsidR="00000000" w:rsidRDefault="0018461E">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SISTEMA FINANCIERO NACIONAL</w:t>
      </w:r>
    </w:p>
    <w:p w:rsidR="00000000"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 xml:space="preserve">Capítulo 1 </w:t>
      </w:r>
      <w:r>
        <w:rPr>
          <w:rFonts w:eastAsia="Times New Roman"/>
          <w:b/>
          <w:bCs/>
          <w:sz w:val="36"/>
          <w:szCs w:val="36"/>
          <w:lang w:val="es-ES"/>
        </w:rPr>
        <w:br/>
        <w:t>ACTIVIDADES FINANCIERAS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DE LAS ACTIVIDADES FINANCIERAS Y SU AUTORIZACIÓN</w:t>
      </w:r>
    </w:p>
    <w:p w:rsidR="00000000" w:rsidRDefault="0018461E">
      <w:pPr>
        <w:divId w:val="1541891379"/>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 xml:space="preserve">Actividad financiera. </w:t>
      </w:r>
      <w:r>
        <w:rPr>
          <w:rFonts w:eastAsia="Times New Roman"/>
          <w:sz w:val="30"/>
          <w:szCs w:val="30"/>
          <w:lang w:val="es-ES"/>
        </w:rPr>
        <w:t xml:space="preserve">Para efectos de este Código, actividad financiera es el conjunto de operaciones y servicios que se efectúan entre oferentes, demandantes y usuarios, para facilitar la circulación de dinero y realizar intermediación financiera; tienen entre sus finalidades </w:t>
      </w:r>
      <w:r>
        <w:rPr>
          <w:rFonts w:eastAsia="Times New Roman"/>
          <w:sz w:val="30"/>
          <w:szCs w:val="30"/>
          <w:lang w:val="es-ES"/>
        </w:rPr>
        <w:t>preservar los depósitos y atender los requerimientos de financiamiento para la consecución de los objetivos de desarrollo del país. Las actividades financieras son un servicio de orden público, reguladas y controladas por el Estado, que pueden ser prestada</w:t>
      </w:r>
      <w:r>
        <w:rPr>
          <w:rFonts w:eastAsia="Times New Roman"/>
          <w:sz w:val="30"/>
          <w:szCs w:val="30"/>
          <w:lang w:val="es-ES"/>
        </w:rPr>
        <w:t>s por las entidades que conforman el sistema financiero nacional, previa autorización de los organismos de control, en el marco de la normativa que expida la Junta de Política y Regulación Monetaria y Financiera.</w:t>
      </w:r>
    </w:p>
    <w:p w:rsidR="00000000" w:rsidRDefault="0018461E">
      <w:pPr>
        <w:divId w:val="155154301"/>
        <w:rPr>
          <w:rFonts w:eastAsia="Times New Roman"/>
          <w:sz w:val="30"/>
          <w:szCs w:val="30"/>
          <w:lang w:val="es-ES"/>
        </w:rPr>
      </w:pPr>
      <w:r>
        <w:rPr>
          <w:rFonts w:eastAsia="Times New Roman"/>
          <w:sz w:val="30"/>
          <w:szCs w:val="30"/>
          <w:lang w:val="es-ES"/>
        </w:rPr>
        <w:t xml:space="preserve">Art. 144.- </w:t>
      </w:r>
      <w:r>
        <w:rPr>
          <w:rFonts w:eastAsia="Times New Roman"/>
          <w:b/>
          <w:bCs/>
          <w:sz w:val="30"/>
          <w:szCs w:val="30"/>
          <w:lang w:val="es-ES"/>
        </w:rPr>
        <w:t xml:space="preserve">Autorización. </w:t>
      </w:r>
      <w:r>
        <w:rPr>
          <w:rFonts w:eastAsia="Times New Roman"/>
          <w:sz w:val="30"/>
          <w:szCs w:val="30"/>
          <w:lang w:val="es-ES"/>
        </w:rPr>
        <w:t>La Superintendenci</w:t>
      </w:r>
      <w:r>
        <w:rPr>
          <w:rFonts w:eastAsia="Times New Roman"/>
          <w:sz w:val="30"/>
          <w:szCs w:val="30"/>
          <w:lang w:val="es-ES"/>
        </w:rPr>
        <w:t>a de Bancos y la Superintendencia de Economía Popular y Solidaria, en el ámbito de sus respectivas competencias, autorizarán a las entidades del sistema financiero nacional el ejercicio de actividades financieras. En la autorización indicada, se determinar</w:t>
      </w:r>
      <w:r>
        <w:rPr>
          <w:rFonts w:eastAsia="Times New Roman"/>
          <w:sz w:val="30"/>
          <w:szCs w:val="30"/>
          <w:lang w:val="es-ES"/>
        </w:rPr>
        <w:t xml:space="preserve">á las operaciones activas, pasivas, </w:t>
      </w:r>
      <w:r>
        <w:rPr>
          <w:rFonts w:eastAsia="Times New Roman"/>
          <w:sz w:val="30"/>
          <w:szCs w:val="30"/>
          <w:lang w:val="es-ES"/>
        </w:rPr>
        <w:lastRenderedPageBreak/>
        <w:t xml:space="preserve">contingentes y de servicios financieros que podrán ejercer las entidades, por segmentos, de acuerdo con su objeto social, línea de negocio, especialidades, capacidades y demás requisitos y condiciones que para el efecto </w:t>
      </w:r>
      <w:r>
        <w:rPr>
          <w:rFonts w:eastAsia="Times New Roman"/>
          <w:sz w:val="30"/>
          <w:szCs w:val="30"/>
          <w:lang w:val="es-ES"/>
        </w:rPr>
        <w:t>establezca la Junta de Política y Regulación Monetaria y Financiera.</w:t>
      </w:r>
      <w:r>
        <w:rPr>
          <w:rFonts w:eastAsia="Times New Roman"/>
          <w:sz w:val="30"/>
          <w:szCs w:val="30"/>
          <w:lang w:val="es-ES"/>
        </w:rPr>
        <w:br/>
      </w:r>
      <w:r>
        <w:rPr>
          <w:rFonts w:eastAsia="Times New Roman"/>
          <w:sz w:val="30"/>
          <w:szCs w:val="30"/>
          <w:lang w:val="es-ES"/>
        </w:rPr>
        <w:br/>
        <w:t xml:space="preserve">Las autorizaciones determinadas en este artículo constarán en acto administrativo motivado y serán emitidas previo el cumplimiento de los requisitos determinados en este Código y en las </w:t>
      </w:r>
      <w:r>
        <w:rPr>
          <w:rFonts w:eastAsia="Times New Roman"/>
          <w:sz w:val="30"/>
          <w:szCs w:val="30"/>
          <w:lang w:val="es-ES"/>
        </w:rPr>
        <w:t>normas expedidas para el efecto. Las autorizaciones podrán ser revocadas por las causas señaladas en el presente Código.</w:t>
      </w:r>
      <w:r>
        <w:rPr>
          <w:rFonts w:eastAsia="Times New Roman"/>
          <w:sz w:val="30"/>
          <w:szCs w:val="30"/>
          <w:lang w:val="es-ES"/>
        </w:rPr>
        <w:br/>
      </w:r>
      <w:r>
        <w:rPr>
          <w:rFonts w:eastAsia="Times New Roman"/>
          <w:sz w:val="30"/>
          <w:szCs w:val="30"/>
          <w:lang w:val="es-ES"/>
        </w:rPr>
        <w:br/>
        <w:t>Las entidades del sistema financiero nacional, además de esta autorización y antes del inicio de operaciones, deberán obtener del orga</w:t>
      </w:r>
      <w:r>
        <w:rPr>
          <w:rFonts w:eastAsia="Times New Roman"/>
          <w:sz w:val="30"/>
          <w:szCs w:val="30"/>
          <w:lang w:val="es-ES"/>
        </w:rPr>
        <w:t>nismo de control el respectivo permiso de funcionamiento, de acuerdo con el trámite que se establezca para el efecto.</w:t>
      </w:r>
      <w:r>
        <w:rPr>
          <w:rFonts w:eastAsia="Times New Roman"/>
          <w:sz w:val="30"/>
          <w:szCs w:val="30"/>
          <w:lang w:val="es-ES"/>
        </w:rPr>
        <w:br/>
      </w:r>
      <w:r>
        <w:rPr>
          <w:rFonts w:eastAsia="Times New Roman"/>
          <w:sz w:val="30"/>
          <w:szCs w:val="30"/>
          <w:lang w:val="es-ES"/>
        </w:rPr>
        <w:br/>
        <w:t>Solamente las personas jurídicas autorizadas por los respectivos organismos de control podrán utilizar las denominaciones: “banco”, “corp</w:t>
      </w:r>
      <w:r>
        <w:rPr>
          <w:rFonts w:eastAsia="Times New Roman"/>
          <w:sz w:val="30"/>
          <w:szCs w:val="30"/>
          <w:lang w:val="es-ES"/>
        </w:rPr>
        <w:t>oración financiera”, “almacén general de depósito”, “casa de cambio”, “servicios auxiliares del sistema financiero”, “cooperativas de ahorro y crédito”, “asociaciones mutualistas de ahorro y crédito para la vivienda” y “cajas centrales” y las demás específ</w:t>
      </w:r>
      <w:r>
        <w:rPr>
          <w:rFonts w:eastAsia="Times New Roman"/>
          <w:sz w:val="30"/>
          <w:szCs w:val="30"/>
          <w:lang w:val="es-ES"/>
        </w:rPr>
        <w:t>icas utilizadas en el presente Código y las normas que dicte la Junta de Política y Regulación Monetaria y Financiera.</w:t>
      </w:r>
      <w:r>
        <w:rPr>
          <w:rFonts w:eastAsia="Times New Roman"/>
          <w:sz w:val="30"/>
          <w:szCs w:val="30"/>
          <w:lang w:val="es-ES"/>
        </w:rPr>
        <w:br/>
      </w:r>
      <w:r>
        <w:rPr>
          <w:rFonts w:eastAsia="Times New Roman"/>
          <w:sz w:val="30"/>
          <w:szCs w:val="30"/>
          <w:lang w:val="es-ES"/>
        </w:rPr>
        <w:br/>
        <w:t>No podrán usarse expresiones que por una semejanza fonética o semántica, induzcan a confusión con las anteriores. La superintendencia co</w:t>
      </w:r>
      <w:r>
        <w:rPr>
          <w:rFonts w:eastAsia="Times New Roman"/>
          <w:sz w:val="30"/>
          <w:szCs w:val="30"/>
          <w:lang w:val="es-ES"/>
        </w:rPr>
        <w:t>rrespondiente calificará la semejanza.</w:t>
      </w:r>
    </w:p>
    <w:p w:rsidR="00000000" w:rsidRDefault="0018461E">
      <w:pPr>
        <w:divId w:val="594095649"/>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 xml:space="preserve">Revocatoria de la autorización. </w:t>
      </w:r>
      <w:r>
        <w:rPr>
          <w:rFonts w:eastAsia="Times New Roman"/>
          <w:sz w:val="30"/>
          <w:szCs w:val="30"/>
          <w:lang w:val="es-ES"/>
        </w:rPr>
        <w:t>Los organismos de control podrán revocar la autorización para el ejercicio de actividades financieras por las siguientes causas:</w:t>
      </w:r>
      <w:r>
        <w:rPr>
          <w:rFonts w:eastAsia="Times New Roman"/>
          <w:sz w:val="30"/>
          <w:szCs w:val="30"/>
          <w:lang w:val="es-ES"/>
        </w:rPr>
        <w:br/>
      </w:r>
      <w:r>
        <w:rPr>
          <w:rFonts w:eastAsia="Times New Roman"/>
          <w:sz w:val="30"/>
          <w:szCs w:val="30"/>
          <w:lang w:val="es-ES"/>
        </w:rPr>
        <w:br/>
        <w:t>1. No realizar el mínimo de operaciones dete</w:t>
      </w:r>
      <w:r>
        <w:rPr>
          <w:rFonts w:eastAsia="Times New Roman"/>
          <w:sz w:val="30"/>
          <w:szCs w:val="30"/>
          <w:lang w:val="es-ES"/>
        </w:rPr>
        <w:t>rminadas por el organismo de control durante un período de por lo menos seis meses consecutivos;</w:t>
      </w:r>
      <w:r>
        <w:rPr>
          <w:rFonts w:eastAsia="Times New Roman"/>
          <w:sz w:val="30"/>
          <w:szCs w:val="30"/>
          <w:lang w:val="es-ES"/>
        </w:rPr>
        <w:br/>
      </w:r>
      <w:r>
        <w:rPr>
          <w:rFonts w:eastAsia="Times New Roman"/>
          <w:sz w:val="30"/>
          <w:szCs w:val="30"/>
          <w:lang w:val="es-ES"/>
        </w:rPr>
        <w:br/>
        <w:t>2. Haber suministrado información falsa o fraudulenta u omitido información relevante para obtener la autorización;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En los demás casos previstos en est</w:t>
      </w:r>
      <w:r>
        <w:rPr>
          <w:rFonts w:eastAsia="Times New Roman"/>
          <w:sz w:val="30"/>
          <w:szCs w:val="30"/>
          <w:lang w:val="es-ES"/>
        </w:rPr>
        <w:t>e Código.</w:t>
      </w:r>
      <w:r>
        <w:rPr>
          <w:rFonts w:eastAsia="Times New Roman"/>
          <w:sz w:val="30"/>
          <w:szCs w:val="30"/>
          <w:lang w:val="es-ES"/>
        </w:rPr>
        <w:br/>
      </w:r>
      <w:r>
        <w:rPr>
          <w:rFonts w:eastAsia="Times New Roman"/>
          <w:sz w:val="30"/>
          <w:szCs w:val="30"/>
          <w:lang w:val="es-ES"/>
        </w:rPr>
        <w:br/>
        <w:t>La revocatoria podrá ser resuelta, total o parcialmente, respecto de una o varias autorizaciones.</w:t>
      </w:r>
      <w:r>
        <w:rPr>
          <w:rFonts w:eastAsia="Times New Roman"/>
          <w:sz w:val="30"/>
          <w:szCs w:val="30"/>
          <w:lang w:val="es-ES"/>
        </w:rPr>
        <w:br/>
      </w:r>
      <w:r>
        <w:rPr>
          <w:rFonts w:eastAsia="Times New Roman"/>
          <w:sz w:val="30"/>
          <w:szCs w:val="30"/>
          <w:lang w:val="es-ES"/>
        </w:rPr>
        <w:br/>
        <w:t>La revocatoria de una o varias autorizaciones, que a criterio del organismo de control pongan en riesgo la viabilidad económico-financiera de la e</w:t>
      </w:r>
      <w:r>
        <w:rPr>
          <w:rFonts w:eastAsia="Times New Roman"/>
          <w:sz w:val="30"/>
          <w:szCs w:val="30"/>
          <w:lang w:val="es-ES"/>
        </w:rPr>
        <w:t>ntidad, será causal de liquidación forzosa.</w:t>
      </w:r>
    </w:p>
    <w:p w:rsidR="00000000" w:rsidRDefault="0018461E">
      <w:pPr>
        <w:divId w:val="1271426523"/>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 xml:space="preserve">Procedimiento para la revocatoria. </w:t>
      </w:r>
      <w:r>
        <w:rPr>
          <w:rFonts w:eastAsia="Times New Roman"/>
          <w:sz w:val="30"/>
          <w:szCs w:val="30"/>
          <w:lang w:val="es-ES"/>
        </w:rPr>
        <w:t>El organismo de control mediante norma establecerá el procedimiento de la revocatoria de la autorización, observando las garantías constitucionales del debido proceso</w:t>
      </w:r>
      <w:r>
        <w:rPr>
          <w:rFonts w:eastAsia="Times New Roman"/>
          <w:sz w:val="30"/>
          <w:szCs w:val="30"/>
          <w:lang w:val="es-ES"/>
        </w:rPr>
        <w:t>. La resolución de revocatoria no se suspenderá por la interposición de reclamos o recursos administrativos o demandas ante los tribunales de justicia o arbitrales.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RESPONSABILIDAD DEL ESTADO</w:t>
      </w:r>
    </w:p>
    <w:p w:rsidR="00000000" w:rsidRDefault="0018461E">
      <w:pPr>
        <w:divId w:val="569583010"/>
        <w:rPr>
          <w:rFonts w:eastAsia="Times New Roman"/>
          <w:sz w:val="30"/>
          <w:szCs w:val="30"/>
          <w:lang w:val="es-ES"/>
        </w:rPr>
      </w:pPr>
      <w:r>
        <w:rPr>
          <w:rFonts w:eastAsia="Times New Roman"/>
          <w:sz w:val="30"/>
          <w:szCs w:val="30"/>
          <w:lang w:val="es-ES"/>
        </w:rPr>
        <w:t xml:space="preserve">Art. 147.- </w:t>
      </w:r>
      <w:r>
        <w:rPr>
          <w:rFonts w:eastAsia="Times New Roman"/>
          <w:b/>
          <w:bCs/>
          <w:sz w:val="30"/>
          <w:szCs w:val="30"/>
          <w:lang w:val="es-ES"/>
        </w:rPr>
        <w:t xml:space="preserve">Responsabilidad. </w:t>
      </w:r>
      <w:r>
        <w:rPr>
          <w:rFonts w:eastAsia="Times New Roman"/>
          <w:sz w:val="30"/>
          <w:szCs w:val="30"/>
          <w:lang w:val="es-ES"/>
        </w:rPr>
        <w:t>Es responsabilidad del E</w:t>
      </w:r>
      <w:r>
        <w:rPr>
          <w:rFonts w:eastAsia="Times New Roman"/>
          <w:sz w:val="30"/>
          <w:szCs w:val="30"/>
          <w:lang w:val="es-ES"/>
        </w:rPr>
        <w:t>stado facilitar el acceso a las actividades financieras, fomentando su democratización mediante la formulación de políticas y regulaciones.</w:t>
      </w:r>
    </w:p>
    <w:p w:rsidR="00000000" w:rsidRDefault="0018461E">
      <w:pPr>
        <w:divId w:val="1264343405"/>
        <w:rPr>
          <w:rFonts w:eastAsia="Times New Roman"/>
          <w:sz w:val="30"/>
          <w:szCs w:val="30"/>
          <w:lang w:val="es-ES"/>
        </w:rPr>
      </w:pPr>
      <w:r>
        <w:rPr>
          <w:rFonts w:eastAsia="Times New Roman"/>
          <w:sz w:val="30"/>
          <w:szCs w:val="30"/>
          <w:lang w:val="es-ES"/>
        </w:rPr>
        <w:t xml:space="preserve">Art. 148.- </w:t>
      </w:r>
      <w:r>
        <w:rPr>
          <w:rFonts w:eastAsia="Times New Roman"/>
          <w:b/>
          <w:bCs/>
          <w:sz w:val="30"/>
          <w:szCs w:val="30"/>
          <w:lang w:val="es-ES"/>
        </w:rPr>
        <w:t xml:space="preserve">Prohibición de congelamiento. </w:t>
      </w:r>
      <w:r>
        <w:rPr>
          <w:rFonts w:eastAsia="Times New Roman"/>
          <w:sz w:val="30"/>
          <w:szCs w:val="30"/>
          <w:lang w:val="es-ES"/>
        </w:rPr>
        <w:t>El Estado y sus instituciones no podrán, de manera alguna, disponer cualqui</w:t>
      </w:r>
      <w:r>
        <w:rPr>
          <w:rFonts w:eastAsia="Times New Roman"/>
          <w:sz w:val="30"/>
          <w:szCs w:val="30"/>
          <w:lang w:val="es-ES"/>
        </w:rPr>
        <w:t>er forma de congelamiento o retención arbitraria y generalizada de los fondos o depósitos consignados en las entidades del sistema financiero nacional.</w:t>
      </w:r>
      <w:r>
        <w:rPr>
          <w:rFonts w:eastAsia="Times New Roman"/>
          <w:sz w:val="30"/>
          <w:szCs w:val="30"/>
          <w:lang w:val="es-ES"/>
        </w:rPr>
        <w:br/>
      </w:r>
      <w:r>
        <w:rPr>
          <w:rFonts w:eastAsia="Times New Roman"/>
          <w:sz w:val="30"/>
          <w:szCs w:val="30"/>
          <w:lang w:val="es-ES"/>
        </w:rPr>
        <w:br/>
        <w:t>La inobservancia de esta prohibición acarreará responsabilidades penales, civiles y administrativas.</w:t>
      </w:r>
    </w:p>
    <w:p w:rsidR="00000000" w:rsidRDefault="0018461E">
      <w:pPr>
        <w:divId w:val="980161223"/>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149.- </w:t>
      </w:r>
      <w:r>
        <w:rPr>
          <w:rFonts w:eastAsia="Times New Roman"/>
          <w:b/>
          <w:bCs/>
          <w:sz w:val="30"/>
          <w:szCs w:val="30"/>
          <w:lang w:val="es-ES"/>
        </w:rPr>
        <w:t xml:space="preserve">Sistema de garantía crediticia. </w:t>
      </w:r>
      <w:r>
        <w:rPr>
          <w:rFonts w:eastAsia="Times New Roman"/>
          <w:sz w:val="30"/>
          <w:szCs w:val="30"/>
          <w:lang w:val="es-ES"/>
        </w:rPr>
        <w:t>(Reformado por el Art. 20 de la Ley s/n, (R.O. 966-2S, 20-III-2017).- Créase el sistema de garantía crediticia como un mecanismo que tiene por objeto afianzar obligaciones crediticias “u obligaciones y garantías des</w:t>
      </w:r>
      <w:r>
        <w:rPr>
          <w:rFonts w:eastAsia="Times New Roman"/>
          <w:sz w:val="30"/>
          <w:szCs w:val="30"/>
          <w:lang w:val="es-ES"/>
        </w:rPr>
        <w:t>tinadas a asegurar el cumplimiento de contratos amparados por la Ley Orgánica del Sistema de Contratación Pública de las personas que no están en capacidad de concretar proyectos con el sistema financiero nacional o contratos como proveedores del Estado po</w:t>
      </w:r>
      <w:r>
        <w:rPr>
          <w:rFonts w:eastAsia="Times New Roman"/>
          <w:sz w:val="30"/>
          <w:szCs w:val="30"/>
          <w:lang w:val="es-ES"/>
        </w:rPr>
        <w:t>r falta de garantías, tales como primeros emprendedores, madres solteras, personas en movilidad humana, con discapacidad, jóvenes y otras personas pertenecientes a grupos de atención prioritaria.</w:t>
      </w:r>
      <w:r>
        <w:rPr>
          <w:rFonts w:eastAsia="Times New Roman"/>
          <w:sz w:val="30"/>
          <w:szCs w:val="30"/>
          <w:lang w:val="es-ES"/>
        </w:rPr>
        <w:br/>
      </w:r>
      <w:r>
        <w:rPr>
          <w:rFonts w:eastAsia="Times New Roman"/>
          <w:sz w:val="30"/>
          <w:szCs w:val="30"/>
          <w:lang w:val="es-ES"/>
        </w:rPr>
        <w:lastRenderedPageBreak/>
        <w:br/>
        <w:t>El sistema de garantía crediticia también podrá afianzar la</w:t>
      </w:r>
      <w:r>
        <w:rPr>
          <w:rFonts w:eastAsia="Times New Roman"/>
          <w:sz w:val="30"/>
          <w:szCs w:val="30"/>
          <w:lang w:val="es-ES"/>
        </w:rPr>
        <w:t>s inversiones en valores emitidos al amparo de la ley de mercado de valores, de empresas que apuntalen el cambio de la matriz productiva.</w:t>
      </w:r>
      <w:r>
        <w:rPr>
          <w:rFonts w:eastAsia="Times New Roman"/>
          <w:sz w:val="30"/>
          <w:szCs w:val="30"/>
          <w:lang w:val="es-ES"/>
        </w:rPr>
        <w:br/>
      </w:r>
      <w:r>
        <w:rPr>
          <w:rFonts w:eastAsia="Times New Roman"/>
          <w:sz w:val="30"/>
          <w:szCs w:val="30"/>
          <w:lang w:val="es-ES"/>
        </w:rPr>
        <w:br/>
        <w:t>La garantía crediticia podrá ser otorgada por personas jurídicas de derecho público y privado.</w:t>
      </w:r>
      <w:r>
        <w:rPr>
          <w:rFonts w:eastAsia="Times New Roman"/>
          <w:sz w:val="30"/>
          <w:szCs w:val="30"/>
          <w:lang w:val="es-ES"/>
        </w:rPr>
        <w:br/>
      </w:r>
      <w:r>
        <w:rPr>
          <w:rFonts w:eastAsia="Times New Roman"/>
          <w:sz w:val="30"/>
          <w:szCs w:val="30"/>
          <w:lang w:val="es-ES"/>
        </w:rPr>
        <w:br/>
        <w:t xml:space="preserve">La Junta de Política </w:t>
      </w:r>
      <w:r>
        <w:rPr>
          <w:rFonts w:eastAsia="Times New Roman"/>
          <w:sz w:val="30"/>
          <w:szCs w:val="30"/>
          <w:lang w:val="es-ES"/>
        </w:rPr>
        <w:t>y Regulación Monetaria y Financiera regulará el sistema de garantía crediticia y determinará la institución pública a cargo de su gestión.</w:t>
      </w:r>
      <w:r>
        <w:rPr>
          <w:rFonts w:eastAsia="Times New Roman"/>
          <w:sz w:val="30"/>
          <w:szCs w:val="30"/>
          <w:lang w:val="es-ES"/>
        </w:rPr>
        <w:br/>
      </w:r>
      <w:r>
        <w:rPr>
          <w:rFonts w:eastAsia="Times New Roman"/>
          <w:sz w:val="30"/>
          <w:szCs w:val="30"/>
          <w:lang w:val="es-ES"/>
        </w:rPr>
        <w:br/>
        <w:t>El sistema de garantía crediticia estará bajo el control de la Superintendencia de Bancos.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REGULAC</w:t>
      </w:r>
      <w:r>
        <w:rPr>
          <w:rFonts w:eastAsia="Times New Roman"/>
          <w:b/>
          <w:bCs/>
          <w:sz w:val="36"/>
          <w:szCs w:val="36"/>
          <w:lang w:val="es-ES"/>
        </w:rPr>
        <w:t>IÓN</w:t>
      </w:r>
    </w:p>
    <w:p w:rsidR="00000000" w:rsidRDefault="0018461E">
      <w:pPr>
        <w:divId w:val="2032295428"/>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 xml:space="preserve">Sujeción a la regulación. </w:t>
      </w:r>
      <w:r>
        <w:rPr>
          <w:rFonts w:eastAsia="Times New Roman"/>
          <w:sz w:val="30"/>
          <w:szCs w:val="30"/>
          <w:lang w:val="es-ES"/>
        </w:rPr>
        <w:t>Las entidades del sistema financiero nacional estarán sujetas a la regulación que expida la Junta de Política y Regulación Monetaria y Financiera.</w:t>
      </w:r>
    </w:p>
    <w:p w:rsidR="00000000" w:rsidRDefault="0018461E">
      <w:pPr>
        <w:divId w:val="1402481496"/>
        <w:rPr>
          <w:rFonts w:eastAsia="Times New Roman"/>
          <w:sz w:val="30"/>
          <w:szCs w:val="30"/>
          <w:lang w:val="es-ES"/>
        </w:rPr>
      </w:pPr>
      <w:r>
        <w:rPr>
          <w:rFonts w:eastAsia="Times New Roman"/>
          <w:sz w:val="30"/>
          <w:szCs w:val="30"/>
          <w:lang w:val="es-ES"/>
        </w:rPr>
        <w:t xml:space="preserve">Art. 151.- </w:t>
      </w:r>
      <w:r>
        <w:rPr>
          <w:rFonts w:eastAsia="Times New Roman"/>
          <w:b/>
          <w:bCs/>
          <w:sz w:val="30"/>
          <w:szCs w:val="30"/>
          <w:lang w:val="es-ES"/>
        </w:rPr>
        <w:t xml:space="preserve">Regulación diferenciada. </w:t>
      </w:r>
      <w:r>
        <w:rPr>
          <w:rFonts w:eastAsia="Times New Roman"/>
          <w:sz w:val="30"/>
          <w:szCs w:val="30"/>
          <w:lang w:val="es-ES"/>
        </w:rPr>
        <w:t>La regulación deberá reconocer l</w:t>
      </w:r>
      <w:r>
        <w:rPr>
          <w:rFonts w:eastAsia="Times New Roman"/>
          <w:sz w:val="30"/>
          <w:szCs w:val="30"/>
          <w:lang w:val="es-ES"/>
        </w:rPr>
        <w:t>a naturaleza y características particulares de cada uno de los sectores del sistema financiero nacional.</w:t>
      </w:r>
      <w:r>
        <w:rPr>
          <w:rFonts w:eastAsia="Times New Roman"/>
          <w:sz w:val="30"/>
          <w:szCs w:val="30"/>
          <w:lang w:val="es-ES"/>
        </w:rPr>
        <w:br/>
      </w:r>
      <w:r>
        <w:rPr>
          <w:rFonts w:eastAsia="Times New Roman"/>
          <w:sz w:val="30"/>
          <w:szCs w:val="30"/>
          <w:lang w:val="es-ES"/>
        </w:rPr>
        <w:br/>
        <w:t>La regulación podrá ser diferenciada por sector, por segmento, por actividad, entre otros.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 LOS USUARIOS FINANCIEROS</w:t>
      </w:r>
    </w:p>
    <w:p w:rsidR="00000000" w:rsidRDefault="0018461E">
      <w:pPr>
        <w:divId w:val="1853059214"/>
        <w:rPr>
          <w:rFonts w:eastAsia="Times New Roman"/>
          <w:sz w:val="30"/>
          <w:szCs w:val="30"/>
          <w:lang w:val="es-ES"/>
        </w:rPr>
      </w:pPr>
      <w:r>
        <w:rPr>
          <w:rFonts w:eastAsia="Times New Roman"/>
          <w:sz w:val="30"/>
          <w:szCs w:val="30"/>
          <w:lang w:val="es-ES"/>
        </w:rPr>
        <w:t xml:space="preserve">Art. 152.- </w:t>
      </w:r>
      <w:r>
        <w:rPr>
          <w:rFonts w:eastAsia="Times New Roman"/>
          <w:b/>
          <w:bCs/>
          <w:sz w:val="30"/>
          <w:szCs w:val="30"/>
          <w:lang w:val="es-ES"/>
        </w:rPr>
        <w:t>Derechos</w:t>
      </w:r>
      <w:r>
        <w:rPr>
          <w:rFonts w:eastAsia="Times New Roman"/>
          <w:b/>
          <w:bCs/>
          <w:sz w:val="30"/>
          <w:szCs w:val="30"/>
          <w:lang w:val="es-ES"/>
        </w:rPr>
        <w:t xml:space="preserve"> de las personas. </w:t>
      </w:r>
      <w:r>
        <w:rPr>
          <w:rFonts w:eastAsia="Times New Roman"/>
          <w:sz w:val="30"/>
          <w:szCs w:val="30"/>
          <w:lang w:val="es-ES"/>
        </w:rPr>
        <w:t>Las personas naturales y jurídicas tienen derecho a disponer de servicios financieros de adecuada calidad, así como a una información precisa y no engañosa sobre su contenido y características.</w:t>
      </w:r>
      <w:r>
        <w:rPr>
          <w:rFonts w:eastAsia="Times New Roman"/>
          <w:sz w:val="30"/>
          <w:szCs w:val="30"/>
          <w:lang w:val="es-ES"/>
        </w:rPr>
        <w:br/>
      </w:r>
      <w:r>
        <w:rPr>
          <w:rFonts w:eastAsia="Times New Roman"/>
          <w:sz w:val="30"/>
          <w:szCs w:val="30"/>
          <w:lang w:val="es-ES"/>
        </w:rPr>
        <w:br/>
        <w:t xml:space="preserve">Es derecho de los usuarios financieros que </w:t>
      </w:r>
      <w:r>
        <w:rPr>
          <w:rFonts w:eastAsia="Times New Roman"/>
          <w:sz w:val="30"/>
          <w:szCs w:val="30"/>
          <w:lang w:val="es-ES"/>
        </w:rPr>
        <w:t>la información y reportes crediticios que sobre ellos constan en las bases de datos de las entidades financieras sean exactos y actualizados con la periodicidad establecida en la norma.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entidades del sistema financiero nacional y las que conforman los</w:t>
      </w:r>
      <w:r>
        <w:rPr>
          <w:rFonts w:eastAsia="Times New Roman"/>
          <w:sz w:val="30"/>
          <w:szCs w:val="30"/>
          <w:lang w:val="es-ES"/>
        </w:rPr>
        <w:t xml:space="preserve"> regímenes de valores y seguros, están obligadas a revelar a sus clientes y usuarios la existencia de conflictos de intereses en las actividades, operaciones y servicios que oferten a los mismos. Para el efecto, la Junta establecerá la regulación correspon</w:t>
      </w:r>
      <w:r>
        <w:rPr>
          <w:rFonts w:eastAsia="Times New Roman"/>
          <w:sz w:val="30"/>
          <w:szCs w:val="30"/>
          <w:lang w:val="es-ES"/>
        </w:rPr>
        <w:t>diente.</w:t>
      </w:r>
    </w:p>
    <w:p w:rsidR="00000000" w:rsidRDefault="0018461E">
      <w:pPr>
        <w:divId w:val="458644583"/>
        <w:rPr>
          <w:rFonts w:eastAsia="Times New Roman"/>
          <w:sz w:val="30"/>
          <w:szCs w:val="30"/>
          <w:lang w:val="es-ES"/>
        </w:rPr>
      </w:pPr>
      <w:r>
        <w:rPr>
          <w:rFonts w:eastAsia="Times New Roman"/>
          <w:sz w:val="30"/>
          <w:szCs w:val="30"/>
          <w:lang w:val="es-ES"/>
        </w:rPr>
        <w:t xml:space="preserve">Art. 153.- </w:t>
      </w:r>
      <w:r>
        <w:rPr>
          <w:rFonts w:eastAsia="Times New Roman"/>
          <w:b/>
          <w:bCs/>
          <w:sz w:val="30"/>
          <w:szCs w:val="30"/>
          <w:lang w:val="es-ES"/>
        </w:rPr>
        <w:t xml:space="preserve">Calidad de los servicios. </w:t>
      </w:r>
      <w:r>
        <w:rPr>
          <w:rFonts w:eastAsia="Times New Roman"/>
          <w:sz w:val="30"/>
          <w:szCs w:val="30"/>
          <w:lang w:val="es-ES"/>
        </w:rPr>
        <w:t xml:space="preserve">La Junta de Política y Regulación Monetaria y Financiera regulará los estándares de calidad de los servicios financieros, de los sistemas de medición de satisfacción de los clientes y usuarios y de los sistemas </w:t>
      </w:r>
      <w:r>
        <w:rPr>
          <w:rFonts w:eastAsia="Times New Roman"/>
          <w:sz w:val="30"/>
          <w:szCs w:val="30"/>
          <w:lang w:val="es-ES"/>
        </w:rPr>
        <w:t>de atención y reparación.</w:t>
      </w:r>
    </w:p>
    <w:p w:rsidR="00000000" w:rsidRDefault="0018461E">
      <w:pPr>
        <w:divId w:val="2078747107"/>
        <w:rPr>
          <w:rFonts w:eastAsia="Times New Roman"/>
          <w:sz w:val="30"/>
          <w:szCs w:val="30"/>
          <w:lang w:val="es-ES"/>
        </w:rPr>
      </w:pPr>
      <w:r>
        <w:rPr>
          <w:rFonts w:eastAsia="Times New Roman"/>
          <w:sz w:val="30"/>
          <w:szCs w:val="30"/>
          <w:lang w:val="es-ES"/>
        </w:rPr>
        <w:t xml:space="preserve">Art. 154.- </w:t>
      </w:r>
      <w:r>
        <w:rPr>
          <w:rFonts w:eastAsia="Times New Roman"/>
          <w:b/>
          <w:bCs/>
          <w:sz w:val="30"/>
          <w:szCs w:val="30"/>
          <w:lang w:val="es-ES"/>
        </w:rPr>
        <w:t xml:space="preserve">Aceptación expresa. </w:t>
      </w:r>
      <w:r>
        <w:rPr>
          <w:rFonts w:eastAsia="Times New Roman"/>
          <w:sz w:val="30"/>
          <w:szCs w:val="30"/>
          <w:lang w:val="es-ES"/>
        </w:rPr>
        <w:t>Es derecho de los usuarios que los cargos que se impongan por servicios financieros y no financieros se efectúen luego de que hayan sido expresa y previamente aceptados.</w:t>
      </w:r>
    </w:p>
    <w:p w:rsidR="00000000" w:rsidRDefault="0018461E">
      <w:pPr>
        <w:divId w:val="19555237"/>
        <w:rPr>
          <w:rFonts w:eastAsia="Times New Roman"/>
          <w:sz w:val="30"/>
          <w:szCs w:val="30"/>
          <w:lang w:val="es-ES"/>
        </w:rPr>
      </w:pPr>
      <w:r>
        <w:rPr>
          <w:rFonts w:eastAsia="Times New Roman"/>
          <w:sz w:val="30"/>
          <w:szCs w:val="30"/>
          <w:lang w:val="es-ES"/>
        </w:rPr>
        <w:t xml:space="preserve">Art. 155.- </w:t>
      </w:r>
      <w:r>
        <w:rPr>
          <w:rFonts w:eastAsia="Times New Roman"/>
          <w:b/>
          <w:bCs/>
          <w:sz w:val="30"/>
          <w:szCs w:val="30"/>
          <w:lang w:val="es-ES"/>
        </w:rPr>
        <w:t xml:space="preserve">Protección. </w:t>
      </w:r>
      <w:r>
        <w:rPr>
          <w:rFonts w:eastAsia="Times New Roman"/>
          <w:sz w:val="30"/>
          <w:szCs w:val="30"/>
          <w:lang w:val="es-ES"/>
        </w:rPr>
        <w:t>En los</w:t>
      </w:r>
      <w:r>
        <w:rPr>
          <w:rFonts w:eastAsia="Times New Roman"/>
          <w:sz w:val="30"/>
          <w:szCs w:val="30"/>
          <w:lang w:val="es-ES"/>
        </w:rPr>
        <w:t xml:space="preserve"> términos dispuestos por la Constitución de la República, este Código y la ley, los usuarios financieros tienen derecho a que su información personal sea protegida y se guarde confidencialidad.</w:t>
      </w:r>
    </w:p>
    <w:p w:rsidR="00000000" w:rsidRDefault="0018461E">
      <w:pPr>
        <w:divId w:val="1153915845"/>
        <w:rPr>
          <w:rFonts w:eastAsia="Times New Roman"/>
          <w:sz w:val="30"/>
          <w:szCs w:val="30"/>
          <w:lang w:val="es-ES"/>
        </w:rPr>
      </w:pPr>
      <w:r>
        <w:rPr>
          <w:rFonts w:eastAsia="Times New Roman"/>
          <w:sz w:val="30"/>
          <w:szCs w:val="30"/>
          <w:lang w:val="es-ES"/>
        </w:rPr>
        <w:t xml:space="preserve">Art. 156.- </w:t>
      </w:r>
      <w:r>
        <w:rPr>
          <w:rFonts w:eastAsia="Times New Roman"/>
          <w:b/>
          <w:bCs/>
          <w:sz w:val="30"/>
          <w:szCs w:val="30"/>
          <w:lang w:val="es-ES"/>
        </w:rPr>
        <w:t xml:space="preserve">Control. </w:t>
      </w:r>
      <w:r>
        <w:rPr>
          <w:rFonts w:eastAsia="Times New Roman"/>
          <w:sz w:val="30"/>
          <w:szCs w:val="30"/>
          <w:lang w:val="es-ES"/>
        </w:rPr>
        <w:t>El respeto de los derechos de los clientes</w:t>
      </w:r>
      <w:r>
        <w:rPr>
          <w:rFonts w:eastAsia="Times New Roman"/>
          <w:sz w:val="30"/>
          <w:szCs w:val="30"/>
          <w:lang w:val="es-ES"/>
        </w:rPr>
        <w:t xml:space="preserve"> y usuarios financieros será vigilado y protegido por los organismos de control referidos en este Código.</w:t>
      </w:r>
    </w:p>
    <w:p w:rsidR="00000000" w:rsidRDefault="0018461E">
      <w:pPr>
        <w:divId w:val="1083529937"/>
        <w:rPr>
          <w:rFonts w:eastAsia="Times New Roman"/>
          <w:sz w:val="30"/>
          <w:szCs w:val="30"/>
          <w:lang w:val="es-ES"/>
        </w:rPr>
      </w:pPr>
      <w:r>
        <w:rPr>
          <w:rFonts w:eastAsia="Times New Roman"/>
          <w:sz w:val="30"/>
          <w:szCs w:val="30"/>
          <w:lang w:val="es-ES"/>
        </w:rPr>
        <w:t xml:space="preserve">Art. 157.- </w:t>
      </w:r>
      <w:r>
        <w:rPr>
          <w:rFonts w:eastAsia="Times New Roman"/>
          <w:b/>
          <w:bCs/>
          <w:sz w:val="30"/>
          <w:szCs w:val="30"/>
          <w:lang w:val="es-ES"/>
        </w:rPr>
        <w:t xml:space="preserve">Vulneración de derechos. </w:t>
      </w:r>
      <w:r>
        <w:rPr>
          <w:rFonts w:eastAsia="Times New Roman"/>
          <w:sz w:val="30"/>
          <w:szCs w:val="30"/>
          <w:lang w:val="es-ES"/>
        </w:rPr>
        <w:t>Los usuarios financieros podrán interponer quejas o reclamos ante la propia entidad, organismo de control o al Def</w:t>
      </w:r>
      <w:r>
        <w:rPr>
          <w:rFonts w:eastAsia="Times New Roman"/>
          <w:sz w:val="30"/>
          <w:szCs w:val="30"/>
          <w:lang w:val="es-ES"/>
        </w:rPr>
        <w:t>ensor del Cliente o plantear cualquier acción administrativa, judicial o constitucional reconocida en la ley para exigir la restitución de sus derechos vulnerados y la debida compensación por los daños y perjuicios ocasionados.</w:t>
      </w:r>
    </w:p>
    <w:p w:rsidR="00000000" w:rsidRDefault="0018461E">
      <w:pPr>
        <w:divId w:val="697895933"/>
        <w:rPr>
          <w:rFonts w:eastAsia="Times New Roman"/>
          <w:sz w:val="30"/>
          <w:szCs w:val="30"/>
          <w:lang w:val="es-ES"/>
        </w:rPr>
      </w:pPr>
      <w:r>
        <w:rPr>
          <w:rFonts w:eastAsia="Times New Roman"/>
          <w:sz w:val="30"/>
          <w:szCs w:val="30"/>
          <w:lang w:val="es-ES"/>
        </w:rPr>
        <w:t xml:space="preserve">Art. 158.- </w:t>
      </w:r>
      <w:r>
        <w:rPr>
          <w:rFonts w:eastAsia="Times New Roman"/>
          <w:b/>
          <w:bCs/>
          <w:sz w:val="30"/>
          <w:szCs w:val="30"/>
          <w:lang w:val="es-ES"/>
        </w:rPr>
        <w:t>Defensor del clie</w:t>
      </w:r>
      <w:r>
        <w:rPr>
          <w:rFonts w:eastAsia="Times New Roman"/>
          <w:b/>
          <w:bCs/>
          <w:sz w:val="30"/>
          <w:szCs w:val="30"/>
          <w:lang w:val="es-ES"/>
        </w:rPr>
        <w:t xml:space="preserve">nte. </w:t>
      </w:r>
      <w:r>
        <w:rPr>
          <w:rFonts w:eastAsia="Times New Roman"/>
          <w:sz w:val="30"/>
          <w:szCs w:val="30"/>
          <w:lang w:val="es-ES"/>
        </w:rPr>
        <w:t>Cada entidad integrante del sistema financiero nacional tendrá un defensor del cliente, que será independiente de la institución y designado de acuerdo con la regulación que expida la Junta.</w:t>
      </w:r>
      <w:r>
        <w:rPr>
          <w:rFonts w:eastAsia="Times New Roman"/>
          <w:sz w:val="30"/>
          <w:szCs w:val="30"/>
          <w:lang w:val="es-ES"/>
        </w:rPr>
        <w:br/>
      </w:r>
      <w:r>
        <w:rPr>
          <w:rFonts w:eastAsia="Times New Roman"/>
          <w:sz w:val="30"/>
          <w:szCs w:val="30"/>
          <w:lang w:val="es-ES"/>
        </w:rPr>
        <w:br/>
        <w:t>El defensor del cliente no podrá tener ningún tipo de vincu</w:t>
      </w:r>
      <w:r>
        <w:rPr>
          <w:rFonts w:eastAsia="Times New Roman"/>
          <w:sz w:val="30"/>
          <w:szCs w:val="30"/>
          <w:lang w:val="es-ES"/>
        </w:rPr>
        <w:t>lación con los accionistas o con los administradores de la entidad financiera. Su función será proteger los derechos e intereses de los usuarios financieros y estarán reguladas por la Junta de Política y Regulación Monetaria y Financiera.</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CATAS</w:t>
      </w:r>
      <w:r>
        <w:rPr>
          <w:rFonts w:eastAsia="Times New Roman"/>
          <w:b/>
          <w:bCs/>
          <w:sz w:val="36"/>
          <w:szCs w:val="36"/>
          <w:lang w:val="es-ES"/>
        </w:rPr>
        <w:t>TRO PÚBLICO</w:t>
      </w:r>
    </w:p>
    <w:p w:rsidR="00000000" w:rsidRDefault="0018461E">
      <w:pPr>
        <w:divId w:val="1982802783"/>
        <w:rPr>
          <w:rFonts w:eastAsia="Times New Roman"/>
          <w:sz w:val="30"/>
          <w:szCs w:val="30"/>
          <w:lang w:val="es-ES"/>
        </w:rPr>
      </w:pPr>
      <w:r>
        <w:rPr>
          <w:rFonts w:eastAsia="Times New Roman"/>
          <w:sz w:val="30"/>
          <w:szCs w:val="30"/>
          <w:lang w:val="es-ES"/>
        </w:rPr>
        <w:lastRenderedPageBreak/>
        <w:t xml:space="preserve">Art. 159.- </w:t>
      </w:r>
      <w:r>
        <w:rPr>
          <w:rFonts w:eastAsia="Times New Roman"/>
          <w:b/>
          <w:bCs/>
          <w:sz w:val="30"/>
          <w:szCs w:val="30"/>
          <w:lang w:val="es-ES"/>
        </w:rPr>
        <w:t xml:space="preserve">Catastro público. </w:t>
      </w:r>
      <w:r>
        <w:rPr>
          <w:rFonts w:eastAsia="Times New Roman"/>
          <w:sz w:val="30"/>
          <w:szCs w:val="30"/>
          <w:lang w:val="es-ES"/>
        </w:rPr>
        <w:t>La Superintendencia de Bancos, la Superintendencia de Economía Popular y Solidaria y la Superintendencia de Compañías, Valores y Seguros organizarán y mantendrán un catastro público que contenga al menos los siguien</w:t>
      </w:r>
      <w:r>
        <w:rPr>
          <w:rFonts w:eastAsia="Times New Roman"/>
          <w:sz w:val="30"/>
          <w:szCs w:val="30"/>
          <w:lang w:val="es-ES"/>
        </w:rPr>
        <w:t>tes datos:</w:t>
      </w:r>
      <w:r>
        <w:rPr>
          <w:rFonts w:eastAsia="Times New Roman"/>
          <w:sz w:val="30"/>
          <w:szCs w:val="30"/>
          <w:lang w:val="es-ES"/>
        </w:rPr>
        <w:br/>
      </w:r>
      <w:r>
        <w:rPr>
          <w:rFonts w:eastAsia="Times New Roman"/>
          <w:sz w:val="30"/>
          <w:szCs w:val="30"/>
          <w:lang w:val="es-ES"/>
        </w:rPr>
        <w:br/>
        <w:t>1. Nómina de entidades creadas o constituidas;</w:t>
      </w:r>
      <w:r>
        <w:rPr>
          <w:rFonts w:eastAsia="Times New Roman"/>
          <w:sz w:val="30"/>
          <w:szCs w:val="30"/>
          <w:lang w:val="es-ES"/>
        </w:rPr>
        <w:br/>
      </w:r>
      <w:r>
        <w:rPr>
          <w:rFonts w:eastAsia="Times New Roman"/>
          <w:sz w:val="30"/>
          <w:szCs w:val="30"/>
          <w:lang w:val="es-ES"/>
        </w:rPr>
        <w:br/>
        <w:t>2. Nómina de entidades autorizadas para ejercer actividades financieras, de valores y de seguros;</w:t>
      </w:r>
      <w:r>
        <w:rPr>
          <w:rFonts w:eastAsia="Times New Roman"/>
          <w:sz w:val="30"/>
          <w:szCs w:val="30"/>
          <w:lang w:val="es-ES"/>
        </w:rPr>
        <w:br/>
      </w:r>
      <w:r>
        <w:rPr>
          <w:rFonts w:eastAsia="Times New Roman"/>
          <w:sz w:val="30"/>
          <w:szCs w:val="30"/>
          <w:lang w:val="es-ES"/>
        </w:rPr>
        <w:br/>
        <w:t>3. Nómina de personas jurídicas no financieras que han recibido autorización para realizar operac</w:t>
      </w:r>
      <w:r>
        <w:rPr>
          <w:rFonts w:eastAsia="Times New Roman"/>
          <w:sz w:val="30"/>
          <w:szCs w:val="30"/>
          <w:lang w:val="es-ES"/>
        </w:rPr>
        <w:t>iones de crédito;</w:t>
      </w:r>
      <w:r>
        <w:rPr>
          <w:rFonts w:eastAsia="Times New Roman"/>
          <w:sz w:val="30"/>
          <w:szCs w:val="30"/>
          <w:lang w:val="es-ES"/>
        </w:rPr>
        <w:br/>
      </w:r>
      <w:r>
        <w:rPr>
          <w:rFonts w:eastAsia="Times New Roman"/>
          <w:sz w:val="30"/>
          <w:szCs w:val="30"/>
          <w:lang w:val="es-ES"/>
        </w:rPr>
        <w:br/>
        <w:t>4. Nómina de entidades liquidadas;</w:t>
      </w:r>
      <w:r>
        <w:rPr>
          <w:rFonts w:eastAsia="Times New Roman"/>
          <w:sz w:val="30"/>
          <w:szCs w:val="30"/>
          <w:lang w:val="es-ES"/>
        </w:rPr>
        <w:br/>
      </w:r>
      <w:r>
        <w:rPr>
          <w:rFonts w:eastAsia="Times New Roman"/>
          <w:sz w:val="30"/>
          <w:szCs w:val="30"/>
          <w:lang w:val="es-ES"/>
        </w:rPr>
        <w:br/>
        <w:t>5. Nómina de accionistas. En caso de tener como accionistas a personas jurídicas que representen más del 2% del capital social, el registro incluirá el detalle de los accionistas hasta llegar a las per</w:t>
      </w:r>
      <w:r>
        <w:rPr>
          <w:rFonts w:eastAsia="Times New Roman"/>
          <w:sz w:val="30"/>
          <w:szCs w:val="30"/>
          <w:lang w:val="es-ES"/>
        </w:rPr>
        <w:t>sonas naturales que representen, de manera directa o indirecta, más del 2% del capital social de tales personas jurídicas. La Junta de Política y Regulación Monetaria y Financiera podrá reducir este porcentaje y establecer excepciones para las entidades qu</w:t>
      </w:r>
      <w:r>
        <w:rPr>
          <w:rFonts w:eastAsia="Times New Roman"/>
          <w:sz w:val="30"/>
          <w:szCs w:val="30"/>
          <w:lang w:val="es-ES"/>
        </w:rPr>
        <w:t>e coticen en bolsa por debajo de este porcentaje. Para las entidades del sector financiero popular y solidario, el registro será la nómina de los representantes a la asamblea general, en los casos que aplique;</w:t>
      </w:r>
      <w:r>
        <w:rPr>
          <w:rFonts w:eastAsia="Times New Roman"/>
          <w:sz w:val="30"/>
          <w:szCs w:val="30"/>
          <w:lang w:val="es-ES"/>
        </w:rPr>
        <w:br/>
      </w:r>
      <w:r>
        <w:rPr>
          <w:rFonts w:eastAsia="Times New Roman"/>
          <w:sz w:val="30"/>
          <w:szCs w:val="30"/>
          <w:lang w:val="es-ES"/>
        </w:rPr>
        <w:br/>
        <w:t xml:space="preserve">6. Nómina de administradores que incluye los </w:t>
      </w:r>
      <w:r>
        <w:rPr>
          <w:rFonts w:eastAsia="Times New Roman"/>
          <w:sz w:val="30"/>
          <w:szCs w:val="30"/>
          <w:lang w:val="es-ES"/>
        </w:rPr>
        <w:t>miembros del directorio u organismo que haga sus veces y los representantes legales.</w:t>
      </w:r>
      <w:r>
        <w:rPr>
          <w:rFonts w:eastAsia="Times New Roman"/>
          <w:sz w:val="30"/>
          <w:szCs w:val="30"/>
          <w:lang w:val="es-ES"/>
        </w:rPr>
        <w:br/>
      </w:r>
      <w:r>
        <w:rPr>
          <w:rFonts w:eastAsia="Times New Roman"/>
          <w:sz w:val="30"/>
          <w:szCs w:val="30"/>
          <w:lang w:val="es-ES"/>
        </w:rPr>
        <w:br/>
        <w:t>El catastro deberá estar permanentemente actualizado, será público y de fácil consulta. La información del catastro deberá estar disponible en la web.</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INTEGR</w:t>
      </w:r>
      <w:r>
        <w:rPr>
          <w:rFonts w:eastAsia="Times New Roman"/>
          <w:b/>
          <w:bCs/>
          <w:sz w:val="36"/>
          <w:szCs w:val="36"/>
          <w:lang w:val="es-ES"/>
        </w:rPr>
        <w:t>ACIÓN DEL SISTEMA FINANCIERO NACIONAL</w:t>
      </w:r>
    </w:p>
    <w:p w:rsidR="00000000" w:rsidRDefault="0018461E">
      <w:pPr>
        <w:divId w:val="1704405102"/>
        <w:rPr>
          <w:rFonts w:eastAsia="Times New Roman"/>
          <w:sz w:val="30"/>
          <w:szCs w:val="30"/>
          <w:lang w:val="es-ES"/>
        </w:rPr>
      </w:pPr>
      <w:r>
        <w:rPr>
          <w:rFonts w:eastAsia="Times New Roman"/>
          <w:sz w:val="30"/>
          <w:szCs w:val="30"/>
          <w:lang w:val="es-ES"/>
        </w:rPr>
        <w:lastRenderedPageBreak/>
        <w:t xml:space="preserve">Art. 160.- </w:t>
      </w:r>
      <w:r>
        <w:rPr>
          <w:rFonts w:eastAsia="Times New Roman"/>
          <w:b/>
          <w:bCs/>
          <w:sz w:val="30"/>
          <w:szCs w:val="30"/>
          <w:lang w:val="es-ES"/>
        </w:rPr>
        <w:t xml:space="preserve">Sistema financiero nacional. </w:t>
      </w:r>
      <w:r>
        <w:rPr>
          <w:rFonts w:eastAsia="Times New Roman"/>
          <w:sz w:val="30"/>
          <w:szCs w:val="30"/>
          <w:lang w:val="es-ES"/>
        </w:rPr>
        <w:t>El sistema financiero nacional está integrado por el sector financiero público, el sector financiero privado y el sector financiero popular y solidario.</w:t>
      </w:r>
    </w:p>
    <w:p w:rsidR="00000000" w:rsidRDefault="0018461E">
      <w:pPr>
        <w:divId w:val="606816393"/>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Sector financi</w:t>
      </w:r>
      <w:r>
        <w:rPr>
          <w:rFonts w:eastAsia="Times New Roman"/>
          <w:b/>
          <w:bCs/>
          <w:sz w:val="30"/>
          <w:szCs w:val="30"/>
          <w:lang w:val="es-ES"/>
        </w:rPr>
        <w:t xml:space="preserve">ero público. </w:t>
      </w:r>
      <w:r>
        <w:rPr>
          <w:rFonts w:eastAsia="Times New Roman"/>
          <w:sz w:val="30"/>
          <w:szCs w:val="30"/>
          <w:lang w:val="es-ES"/>
        </w:rPr>
        <w:t>El sector financiero público está compuesto por:</w:t>
      </w:r>
      <w:r>
        <w:rPr>
          <w:rFonts w:eastAsia="Times New Roman"/>
          <w:sz w:val="30"/>
          <w:szCs w:val="30"/>
          <w:lang w:val="es-ES"/>
        </w:rPr>
        <w:br/>
      </w:r>
      <w:r>
        <w:rPr>
          <w:rFonts w:eastAsia="Times New Roman"/>
          <w:sz w:val="30"/>
          <w:szCs w:val="30"/>
          <w:lang w:val="es-ES"/>
        </w:rPr>
        <w:br/>
        <w:t>1. Bancos; y,</w:t>
      </w:r>
      <w:r>
        <w:rPr>
          <w:rFonts w:eastAsia="Times New Roman"/>
          <w:sz w:val="30"/>
          <w:szCs w:val="30"/>
          <w:lang w:val="es-ES"/>
        </w:rPr>
        <w:br/>
      </w:r>
      <w:r>
        <w:rPr>
          <w:rFonts w:eastAsia="Times New Roman"/>
          <w:sz w:val="30"/>
          <w:szCs w:val="30"/>
          <w:lang w:val="es-ES"/>
        </w:rPr>
        <w:br/>
        <w:t>2. Corporaciones.</w:t>
      </w:r>
    </w:p>
    <w:p w:rsidR="00000000" w:rsidRDefault="0018461E">
      <w:pPr>
        <w:divId w:val="1258828096"/>
        <w:rPr>
          <w:rFonts w:eastAsia="Times New Roman"/>
          <w:sz w:val="30"/>
          <w:szCs w:val="30"/>
          <w:lang w:val="es-ES"/>
        </w:rPr>
      </w:pPr>
      <w:r>
        <w:rPr>
          <w:rFonts w:eastAsia="Times New Roman"/>
          <w:sz w:val="30"/>
          <w:szCs w:val="30"/>
          <w:lang w:val="es-ES"/>
        </w:rPr>
        <w:t xml:space="preserve">Art. 162.- </w:t>
      </w:r>
      <w:r>
        <w:rPr>
          <w:rFonts w:eastAsia="Times New Roman"/>
          <w:b/>
          <w:bCs/>
          <w:sz w:val="30"/>
          <w:szCs w:val="30"/>
          <w:lang w:val="es-ES"/>
        </w:rPr>
        <w:t xml:space="preserve">Sector financiero privado. </w:t>
      </w:r>
      <w:r>
        <w:rPr>
          <w:rFonts w:eastAsia="Times New Roman"/>
          <w:sz w:val="30"/>
          <w:szCs w:val="30"/>
          <w:lang w:val="es-ES"/>
        </w:rPr>
        <w:t>El sector financiero privado está compuesto por las siguientes entidades:</w:t>
      </w:r>
      <w:r>
        <w:rPr>
          <w:rFonts w:eastAsia="Times New Roman"/>
          <w:sz w:val="30"/>
          <w:szCs w:val="30"/>
          <w:lang w:val="es-ES"/>
        </w:rPr>
        <w:br/>
      </w:r>
      <w:r>
        <w:rPr>
          <w:rFonts w:eastAsia="Times New Roman"/>
          <w:sz w:val="30"/>
          <w:szCs w:val="30"/>
          <w:lang w:val="es-ES"/>
        </w:rPr>
        <w:br/>
        <w:t>1. Bancos múltiples y bancos especializados: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Banco múltiple es la entidad financiera que tiene operaciones autorizadas en dos o más segmentos de crédito; y,</w:t>
      </w:r>
      <w:r>
        <w:rPr>
          <w:rFonts w:eastAsia="Times New Roman"/>
          <w:sz w:val="30"/>
          <w:szCs w:val="30"/>
          <w:lang w:val="es-ES"/>
        </w:rPr>
        <w:br/>
      </w:r>
      <w:r>
        <w:rPr>
          <w:rFonts w:eastAsia="Times New Roman"/>
          <w:sz w:val="30"/>
          <w:szCs w:val="30"/>
          <w:lang w:val="es-ES"/>
        </w:rPr>
        <w:br/>
        <w:t>b) Banco especializado es la entidad financiera que tiene operaciones autorizadas en un segmento de crédito y que en los demás segmentos sus</w:t>
      </w:r>
      <w:r>
        <w:rPr>
          <w:rFonts w:eastAsia="Times New Roman"/>
          <w:sz w:val="30"/>
          <w:szCs w:val="30"/>
          <w:lang w:val="es-ES"/>
        </w:rPr>
        <w:t xml:space="preserve"> operaciones no superen los umbrales determinados por la Junta de Política y Regulación Monetaria y Financiera.</w:t>
      </w:r>
      <w:r>
        <w:rPr>
          <w:rFonts w:eastAsia="Times New Roman"/>
          <w:sz w:val="30"/>
          <w:szCs w:val="30"/>
          <w:lang w:val="es-ES"/>
        </w:rPr>
        <w:br/>
      </w:r>
      <w:r>
        <w:rPr>
          <w:rFonts w:eastAsia="Times New Roman"/>
          <w:sz w:val="30"/>
          <w:szCs w:val="30"/>
          <w:lang w:val="es-ES"/>
        </w:rPr>
        <w:br/>
        <w:t>2. De servicios financieros: almacenes generales de depósito, casas de cambio y corporaciones de desarrollo de mercado secundario de hipotecas;</w:t>
      </w:r>
      <w:r>
        <w:rPr>
          <w:rFonts w:eastAsia="Times New Roman"/>
          <w:sz w:val="30"/>
          <w:szCs w:val="30"/>
          <w:lang w:val="es-ES"/>
        </w:rPr>
        <w:t xml:space="preserve"> y,</w:t>
      </w:r>
      <w:r>
        <w:rPr>
          <w:rFonts w:eastAsia="Times New Roman"/>
          <w:sz w:val="30"/>
          <w:szCs w:val="30"/>
          <w:lang w:val="es-ES"/>
        </w:rPr>
        <w:br/>
      </w:r>
      <w:r>
        <w:rPr>
          <w:rFonts w:eastAsia="Times New Roman"/>
          <w:sz w:val="30"/>
          <w:szCs w:val="30"/>
          <w:lang w:val="es-ES"/>
        </w:rPr>
        <w:br/>
        <w:t>3. De servicios auxiliares del sistema financiero, tales como: software bancario, transaccionales, de transporte de especies monetarias y de valores, pagos, cobranzas, redes y cajeros automáticos, contables y de computación y otras calificadas como ta</w:t>
      </w:r>
      <w:r>
        <w:rPr>
          <w:rFonts w:eastAsia="Times New Roman"/>
          <w:sz w:val="30"/>
          <w:szCs w:val="30"/>
          <w:lang w:val="es-ES"/>
        </w:rPr>
        <w:t>les por la Superintendencia de Bancos en el ámbito de su competencia.</w:t>
      </w:r>
    </w:p>
    <w:p w:rsidR="00000000" w:rsidRDefault="0018461E">
      <w:pPr>
        <w:divId w:val="5208624"/>
        <w:rPr>
          <w:rFonts w:eastAsia="Times New Roman"/>
          <w:sz w:val="30"/>
          <w:szCs w:val="30"/>
          <w:lang w:val="es-ES"/>
        </w:rPr>
      </w:pPr>
      <w:r>
        <w:rPr>
          <w:rFonts w:eastAsia="Times New Roman"/>
          <w:sz w:val="30"/>
          <w:szCs w:val="30"/>
          <w:lang w:val="es-ES"/>
        </w:rPr>
        <w:t xml:space="preserve">Art. 163.- </w:t>
      </w:r>
      <w:r>
        <w:rPr>
          <w:rFonts w:eastAsia="Times New Roman"/>
          <w:b/>
          <w:bCs/>
          <w:sz w:val="30"/>
          <w:szCs w:val="30"/>
          <w:lang w:val="es-ES"/>
        </w:rPr>
        <w:t xml:space="preserve">Sector financiero popular y solidario. </w:t>
      </w:r>
      <w:r>
        <w:rPr>
          <w:rFonts w:eastAsia="Times New Roman"/>
          <w:sz w:val="30"/>
          <w:szCs w:val="30"/>
          <w:lang w:val="es-ES"/>
        </w:rPr>
        <w:t>El sector financiero popular y solidario está compuesto por:</w:t>
      </w:r>
      <w:r>
        <w:rPr>
          <w:rFonts w:eastAsia="Times New Roman"/>
          <w:sz w:val="30"/>
          <w:szCs w:val="30"/>
          <w:lang w:val="es-ES"/>
        </w:rPr>
        <w:br/>
      </w:r>
      <w:r>
        <w:rPr>
          <w:rFonts w:eastAsia="Times New Roman"/>
          <w:sz w:val="30"/>
          <w:szCs w:val="30"/>
          <w:lang w:val="es-ES"/>
        </w:rPr>
        <w:br/>
        <w:t>1. Cooperativas de ahorro y crédito;</w:t>
      </w:r>
      <w:r>
        <w:rPr>
          <w:rFonts w:eastAsia="Times New Roman"/>
          <w:sz w:val="30"/>
          <w:szCs w:val="30"/>
          <w:lang w:val="es-ES"/>
        </w:rPr>
        <w:br/>
      </w:r>
      <w:r>
        <w:rPr>
          <w:rFonts w:eastAsia="Times New Roman"/>
          <w:sz w:val="30"/>
          <w:szCs w:val="30"/>
          <w:lang w:val="es-ES"/>
        </w:rPr>
        <w:br/>
        <w:t>2. Cajas centrales;</w:t>
      </w:r>
      <w:r>
        <w:rPr>
          <w:rFonts w:eastAsia="Times New Roman"/>
          <w:sz w:val="30"/>
          <w:szCs w:val="30"/>
          <w:lang w:val="es-ES"/>
        </w:rPr>
        <w:br/>
      </w:r>
      <w:r>
        <w:rPr>
          <w:rFonts w:eastAsia="Times New Roman"/>
          <w:sz w:val="30"/>
          <w:szCs w:val="30"/>
          <w:lang w:val="es-ES"/>
        </w:rPr>
        <w:br/>
        <w:t>3. Entidades as</w:t>
      </w:r>
      <w:r>
        <w:rPr>
          <w:rFonts w:eastAsia="Times New Roman"/>
          <w:sz w:val="30"/>
          <w:szCs w:val="30"/>
          <w:lang w:val="es-ES"/>
        </w:rPr>
        <w:t>ociativas o solidarias, cajas y bancos comunales y cajas de ahorro; y,</w:t>
      </w:r>
      <w:r>
        <w:rPr>
          <w:rFonts w:eastAsia="Times New Roman"/>
          <w:sz w:val="30"/>
          <w:szCs w:val="30"/>
          <w:lang w:val="es-ES"/>
        </w:rPr>
        <w:br/>
      </w:r>
      <w:r>
        <w:rPr>
          <w:rFonts w:eastAsia="Times New Roman"/>
          <w:sz w:val="30"/>
          <w:szCs w:val="30"/>
          <w:lang w:val="es-ES"/>
        </w:rPr>
        <w:lastRenderedPageBreak/>
        <w:br/>
        <w:t xml:space="preserve">4. De servicios auxiliares del sistema financiero, tales como: software bancario, transaccionales, de transporte de especies monetarias y de valores, pagos, cobranzas, redes y cajeros </w:t>
      </w:r>
      <w:r>
        <w:rPr>
          <w:rFonts w:eastAsia="Times New Roman"/>
          <w:sz w:val="30"/>
          <w:szCs w:val="30"/>
          <w:lang w:val="es-ES"/>
        </w:rPr>
        <w:t>automáticos, contables y de computación y otras calificadas como tales por la Superintendencia de Economía Popular y Solidaria en el ámbito de su competencia.</w:t>
      </w:r>
      <w:r>
        <w:rPr>
          <w:rFonts w:eastAsia="Times New Roman"/>
          <w:sz w:val="30"/>
          <w:szCs w:val="30"/>
          <w:lang w:val="es-ES"/>
        </w:rPr>
        <w:br/>
      </w:r>
      <w:r>
        <w:rPr>
          <w:rFonts w:eastAsia="Times New Roman"/>
          <w:sz w:val="30"/>
          <w:szCs w:val="30"/>
          <w:lang w:val="es-ES"/>
        </w:rPr>
        <w:br/>
        <w:t>También son parte del sector financiero popular y solidario las asociaciones mutualistas de ahor</w:t>
      </w:r>
      <w:r>
        <w:rPr>
          <w:rFonts w:eastAsia="Times New Roman"/>
          <w:sz w:val="30"/>
          <w:szCs w:val="30"/>
          <w:lang w:val="es-ES"/>
        </w:rPr>
        <w:t>ro y crédito para la vivienda.</w:t>
      </w:r>
      <w:r>
        <w:rPr>
          <w:rFonts w:eastAsia="Times New Roman"/>
          <w:sz w:val="30"/>
          <w:szCs w:val="30"/>
          <w:lang w:val="es-ES"/>
        </w:rPr>
        <w:br/>
      </w:r>
      <w:r>
        <w:rPr>
          <w:rFonts w:eastAsia="Times New Roman"/>
          <w:sz w:val="30"/>
          <w:szCs w:val="30"/>
          <w:lang w:val="es-ES"/>
        </w:rPr>
        <w:br/>
        <w:t>Las entidades asociativas o solidarias, cajas y bancos comunales y cajas de ahorro se regirán por las disposiciones de la Ley Orgánica de la Economía Popular y Solidaria y las regulaciones que dicte la Junta de Política y Re</w:t>
      </w:r>
      <w:r>
        <w:rPr>
          <w:rFonts w:eastAsia="Times New Roman"/>
          <w:sz w:val="30"/>
          <w:szCs w:val="30"/>
          <w:lang w:val="es-ES"/>
        </w:rPr>
        <w:t>gulación Monetaria y Financiera.</w:t>
      </w:r>
    </w:p>
    <w:p w:rsidR="00000000" w:rsidRDefault="0018461E">
      <w:pPr>
        <w:divId w:val="1107627520"/>
        <w:rPr>
          <w:rFonts w:eastAsia="Times New Roman"/>
          <w:sz w:val="30"/>
          <w:szCs w:val="30"/>
          <w:lang w:val="es-ES"/>
        </w:rPr>
      </w:pPr>
      <w:r>
        <w:rPr>
          <w:rFonts w:eastAsia="Times New Roman"/>
          <w:sz w:val="30"/>
          <w:szCs w:val="30"/>
          <w:lang w:val="es-ES"/>
        </w:rPr>
        <w:t xml:space="preserve">Art. 164.- </w:t>
      </w:r>
      <w:r>
        <w:rPr>
          <w:rFonts w:eastAsia="Times New Roman"/>
          <w:b/>
          <w:bCs/>
          <w:sz w:val="30"/>
          <w:szCs w:val="30"/>
          <w:lang w:val="es-ES"/>
        </w:rPr>
        <w:t xml:space="preserve">Subsidiarias o afiliadas. </w:t>
      </w:r>
      <w:r>
        <w:rPr>
          <w:rFonts w:eastAsia="Times New Roman"/>
          <w:sz w:val="30"/>
          <w:szCs w:val="30"/>
          <w:lang w:val="es-ES"/>
        </w:rPr>
        <w:t>También forman parte del sistema financiero nacional las subsidiarias o afiliadas de las entidades financieras domiciliadas en el Ecuador.</w:t>
      </w:r>
      <w:r>
        <w:rPr>
          <w:rFonts w:eastAsia="Times New Roman"/>
          <w:sz w:val="30"/>
          <w:szCs w:val="30"/>
          <w:lang w:val="es-ES"/>
        </w:rPr>
        <w:br/>
      </w:r>
      <w:r>
        <w:rPr>
          <w:rFonts w:eastAsia="Times New Roman"/>
          <w:sz w:val="30"/>
          <w:szCs w:val="30"/>
          <w:lang w:val="es-ES"/>
        </w:rPr>
        <w:br/>
        <w:t>Subsidiaria es aquella sociedad con personería</w:t>
      </w:r>
      <w:r>
        <w:rPr>
          <w:rFonts w:eastAsia="Times New Roman"/>
          <w:sz w:val="30"/>
          <w:szCs w:val="30"/>
          <w:lang w:val="es-ES"/>
        </w:rPr>
        <w:t xml:space="preserve"> jurídica propia, en la cual un banco, corporación, caja central, cooperativa de ahorro y crédito o asociación mutualista de ahorro y crédito para la vivienda tiene una participación accionaria, directa o indirecta, superior al 50% del capital suscrito y p</w:t>
      </w:r>
      <w:r>
        <w:rPr>
          <w:rFonts w:eastAsia="Times New Roman"/>
          <w:sz w:val="30"/>
          <w:szCs w:val="30"/>
          <w:lang w:val="es-ES"/>
        </w:rPr>
        <w:t>agado de la compañía.</w:t>
      </w:r>
      <w:r>
        <w:rPr>
          <w:rFonts w:eastAsia="Times New Roman"/>
          <w:sz w:val="30"/>
          <w:szCs w:val="30"/>
          <w:lang w:val="es-ES"/>
        </w:rPr>
        <w:br/>
      </w:r>
      <w:r>
        <w:rPr>
          <w:rFonts w:eastAsia="Times New Roman"/>
          <w:sz w:val="30"/>
          <w:szCs w:val="30"/>
          <w:lang w:val="es-ES"/>
        </w:rPr>
        <w:br/>
        <w:t>Afiliada es aquella sociedad con personería jurídica propia, en la cual un banco, corporación, caja central, cooperativa de ahorro y crédito o asociación mutualista de ahorro y crédito para la vivienda tiene una participación acciona</w:t>
      </w:r>
      <w:r>
        <w:rPr>
          <w:rFonts w:eastAsia="Times New Roman"/>
          <w:sz w:val="30"/>
          <w:szCs w:val="30"/>
          <w:lang w:val="es-ES"/>
        </w:rPr>
        <w:t>ria, directa o indirecta, inferior al 50% y no menor al 20% del capital suscrito y pagado de la compañía o en la que ejerce una influencia en su gestión por la presencia de accionistas, directores, administradores o empleados comunes.</w:t>
      </w:r>
    </w:p>
    <w:p w:rsidR="00000000" w:rsidRDefault="0018461E">
      <w:pPr>
        <w:jc w:val="center"/>
        <w:rPr>
          <w:rFonts w:eastAsia="Times New Roman"/>
          <w:sz w:val="36"/>
          <w:szCs w:val="36"/>
          <w:lang w:val="es-ES"/>
        </w:rPr>
      </w:pPr>
      <w:r>
        <w:rPr>
          <w:rFonts w:eastAsia="Times New Roman"/>
          <w:b/>
          <w:bCs/>
          <w:sz w:val="36"/>
          <w:szCs w:val="36"/>
          <w:lang w:val="es-ES"/>
        </w:rPr>
        <w:br/>
        <w:t>Capítulo 3</w:t>
      </w:r>
      <w:r>
        <w:rPr>
          <w:rFonts w:eastAsia="Times New Roman"/>
          <w:b/>
          <w:bCs/>
          <w:sz w:val="36"/>
          <w:szCs w:val="36"/>
          <w:lang w:val="es-ES"/>
        </w:rPr>
        <w:br/>
        <w:t>DISPOSICI</w:t>
      </w:r>
      <w:r>
        <w:rPr>
          <w:rFonts w:eastAsia="Times New Roman"/>
          <w:b/>
          <w:bCs/>
          <w:sz w:val="36"/>
          <w:szCs w:val="36"/>
          <w:lang w:val="es-ES"/>
        </w:rPr>
        <w:t>ONES COMUNES PARA EL SISTEMA FINANCIERO NACIONAL</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DEL CAPITAL, RESERVAS Y UTILIDADES</w:t>
      </w:r>
    </w:p>
    <w:p w:rsidR="00000000" w:rsidRDefault="0018461E">
      <w:pPr>
        <w:divId w:val="305208632"/>
        <w:rPr>
          <w:rFonts w:eastAsia="Times New Roman"/>
          <w:sz w:val="30"/>
          <w:szCs w:val="30"/>
          <w:lang w:val="es-ES"/>
        </w:rPr>
      </w:pPr>
      <w:r>
        <w:rPr>
          <w:rFonts w:eastAsia="Times New Roman"/>
          <w:sz w:val="30"/>
          <w:szCs w:val="30"/>
          <w:lang w:val="es-ES"/>
        </w:rPr>
        <w:lastRenderedPageBreak/>
        <w:t xml:space="preserve">Art. 165.- </w:t>
      </w:r>
      <w:r>
        <w:rPr>
          <w:rFonts w:eastAsia="Times New Roman"/>
          <w:b/>
          <w:bCs/>
          <w:sz w:val="30"/>
          <w:szCs w:val="30"/>
          <w:lang w:val="es-ES"/>
        </w:rPr>
        <w:t xml:space="preserve">Capital. </w:t>
      </w:r>
      <w:r>
        <w:rPr>
          <w:rFonts w:eastAsia="Times New Roman"/>
          <w:sz w:val="30"/>
          <w:szCs w:val="30"/>
          <w:lang w:val="es-ES"/>
        </w:rPr>
        <w:t>Las entidades de los sectores financieros público y privado tendrán un capital autorizado y un capital suscrito y pagado.</w:t>
      </w:r>
      <w:r>
        <w:rPr>
          <w:rFonts w:eastAsia="Times New Roman"/>
          <w:sz w:val="30"/>
          <w:szCs w:val="30"/>
          <w:lang w:val="es-ES"/>
        </w:rPr>
        <w:br/>
      </w:r>
      <w:r>
        <w:rPr>
          <w:rFonts w:eastAsia="Times New Roman"/>
          <w:sz w:val="30"/>
          <w:szCs w:val="30"/>
          <w:lang w:val="es-ES"/>
        </w:rPr>
        <w:br/>
        <w:t>El capital autori</w:t>
      </w:r>
      <w:r>
        <w:rPr>
          <w:rFonts w:eastAsia="Times New Roman"/>
          <w:sz w:val="30"/>
          <w:szCs w:val="30"/>
          <w:lang w:val="es-ES"/>
        </w:rPr>
        <w:t>zado es el monto hasta el cual las entidades de los sectores financieros público y privado pueden aceptar suscripciones o emitir acciones, según el caso.</w:t>
      </w:r>
      <w:r>
        <w:rPr>
          <w:rFonts w:eastAsia="Times New Roman"/>
          <w:sz w:val="30"/>
          <w:szCs w:val="30"/>
          <w:lang w:val="es-ES"/>
        </w:rPr>
        <w:br/>
      </w:r>
      <w:r>
        <w:rPr>
          <w:rFonts w:eastAsia="Times New Roman"/>
          <w:sz w:val="30"/>
          <w:szCs w:val="30"/>
          <w:lang w:val="es-ES"/>
        </w:rPr>
        <w:br/>
        <w:t>El capital suscrito y pagado será al menos el 50% del monto del capital autorizado.</w:t>
      </w:r>
      <w:r>
        <w:rPr>
          <w:rFonts w:eastAsia="Times New Roman"/>
          <w:sz w:val="30"/>
          <w:szCs w:val="30"/>
          <w:lang w:val="es-ES"/>
        </w:rPr>
        <w:br/>
      </w:r>
      <w:r>
        <w:rPr>
          <w:rFonts w:eastAsia="Times New Roman"/>
          <w:sz w:val="30"/>
          <w:szCs w:val="30"/>
          <w:lang w:val="es-ES"/>
        </w:rPr>
        <w:br/>
        <w:t>El capital socia</w:t>
      </w:r>
      <w:r>
        <w:rPr>
          <w:rFonts w:eastAsia="Times New Roman"/>
          <w:sz w:val="30"/>
          <w:szCs w:val="30"/>
          <w:lang w:val="es-ES"/>
        </w:rPr>
        <w:t>l de las entidades del sector financiero popular y solidario será variable y podrá acrecentarse de forma ilimitada.</w:t>
      </w:r>
    </w:p>
    <w:p w:rsidR="00000000" w:rsidRDefault="0018461E">
      <w:pPr>
        <w:divId w:val="1898735798"/>
        <w:rPr>
          <w:rFonts w:eastAsia="Times New Roman"/>
          <w:sz w:val="30"/>
          <w:szCs w:val="30"/>
          <w:lang w:val="es-ES"/>
        </w:rPr>
      </w:pPr>
      <w:r>
        <w:rPr>
          <w:rFonts w:eastAsia="Times New Roman"/>
          <w:sz w:val="30"/>
          <w:szCs w:val="30"/>
          <w:lang w:val="es-ES"/>
        </w:rPr>
        <w:t xml:space="preserve">Art. 166.- </w:t>
      </w:r>
      <w:r>
        <w:rPr>
          <w:rFonts w:eastAsia="Times New Roman"/>
          <w:b/>
          <w:bCs/>
          <w:sz w:val="30"/>
          <w:szCs w:val="30"/>
          <w:lang w:val="es-ES"/>
        </w:rPr>
        <w:t xml:space="preserve">Aumentos de capital. </w:t>
      </w:r>
      <w:r>
        <w:rPr>
          <w:rFonts w:eastAsia="Times New Roman"/>
          <w:sz w:val="30"/>
          <w:szCs w:val="30"/>
          <w:lang w:val="es-ES"/>
        </w:rPr>
        <w:t>Las entidades de los sectores financieros público y privado podrán aumentar su capital autorizado en cualqui</w:t>
      </w:r>
      <w:r>
        <w:rPr>
          <w:rFonts w:eastAsia="Times New Roman"/>
          <w:sz w:val="30"/>
          <w:szCs w:val="30"/>
          <w:lang w:val="es-ES"/>
        </w:rPr>
        <w:t>er tiempo, mediante reforma a sus documentos de creación o constitución.</w:t>
      </w:r>
      <w:r>
        <w:rPr>
          <w:rFonts w:eastAsia="Times New Roman"/>
          <w:sz w:val="30"/>
          <w:szCs w:val="30"/>
          <w:lang w:val="es-ES"/>
        </w:rPr>
        <w:br/>
      </w:r>
      <w:r>
        <w:rPr>
          <w:rFonts w:eastAsia="Times New Roman"/>
          <w:sz w:val="30"/>
          <w:szCs w:val="30"/>
          <w:lang w:val="es-ES"/>
        </w:rPr>
        <w:br/>
        <w:t>Los aumentos del capital autorizado serán resueltos por el directorio en el caso de las entidades del sector financiero público, y por la junta general de accionistas en el caso de l</w:t>
      </w:r>
      <w:r>
        <w:rPr>
          <w:rFonts w:eastAsia="Times New Roman"/>
          <w:sz w:val="30"/>
          <w:szCs w:val="30"/>
          <w:lang w:val="es-ES"/>
        </w:rPr>
        <w:t>as entidades del sector financiero privado; luego de cumplidas las formalidades correspondientes, se inscribirán en el Registro Mercantil y serán notificados a la Superintendencia de Bancos.</w:t>
      </w:r>
      <w:r>
        <w:rPr>
          <w:rFonts w:eastAsia="Times New Roman"/>
          <w:sz w:val="30"/>
          <w:szCs w:val="30"/>
          <w:lang w:val="es-ES"/>
        </w:rPr>
        <w:br/>
      </w:r>
      <w:r>
        <w:rPr>
          <w:rFonts w:eastAsia="Times New Roman"/>
          <w:sz w:val="30"/>
          <w:szCs w:val="30"/>
          <w:lang w:val="es-ES"/>
        </w:rPr>
        <w:br/>
        <w:t xml:space="preserve">El pago de los aumentos de capital suscrito y pagado se hará de </w:t>
      </w:r>
      <w:r>
        <w:rPr>
          <w:rFonts w:eastAsia="Times New Roman"/>
          <w:sz w:val="30"/>
          <w:szCs w:val="30"/>
          <w:lang w:val="es-ES"/>
        </w:rPr>
        <w:t>la manera prevista en este Código.</w:t>
      </w:r>
      <w:r>
        <w:rPr>
          <w:rFonts w:eastAsia="Times New Roman"/>
          <w:sz w:val="30"/>
          <w:szCs w:val="30"/>
          <w:lang w:val="es-ES"/>
        </w:rPr>
        <w:br/>
      </w:r>
      <w:r>
        <w:rPr>
          <w:rFonts w:eastAsia="Times New Roman"/>
          <w:sz w:val="30"/>
          <w:szCs w:val="30"/>
          <w:lang w:val="es-ES"/>
        </w:rPr>
        <w:br/>
        <w:t>Sin perjuicio de que la entidad del sector financiero privado contabilice el aumento de capital suscrito y pagado, el organismo de control podrá realizar las investigaciones que considere del caso para verificar la legal</w:t>
      </w:r>
      <w:r>
        <w:rPr>
          <w:rFonts w:eastAsia="Times New Roman"/>
          <w:sz w:val="30"/>
          <w:szCs w:val="30"/>
          <w:lang w:val="es-ES"/>
        </w:rPr>
        <w:t>idad del pago de los aumentos de capital y la procedencia de los fondos.</w:t>
      </w:r>
      <w:r>
        <w:rPr>
          <w:rFonts w:eastAsia="Times New Roman"/>
          <w:sz w:val="30"/>
          <w:szCs w:val="30"/>
          <w:lang w:val="es-ES"/>
        </w:rPr>
        <w:br/>
      </w:r>
      <w:r>
        <w:rPr>
          <w:rFonts w:eastAsia="Times New Roman"/>
          <w:sz w:val="30"/>
          <w:szCs w:val="30"/>
          <w:lang w:val="es-ES"/>
        </w:rPr>
        <w:br/>
        <w:t>Si de la verificación de la legalidad del aumento de capital de una entidad financiera y la procedencia de los fondos utilizados para su pago se estableciere que existieron infraccio</w:t>
      </w:r>
      <w:r>
        <w:rPr>
          <w:rFonts w:eastAsia="Times New Roman"/>
          <w:sz w:val="30"/>
          <w:szCs w:val="30"/>
          <w:lang w:val="es-ES"/>
        </w:rPr>
        <w:t>nes a este Código, el organismo de control, previo el requerimiento de las pruebas de descargo y mediante acto motivado, dejará insubsistente total o parcialmente dicho aumento.</w:t>
      </w:r>
    </w:p>
    <w:p w:rsidR="00000000" w:rsidRDefault="0018461E">
      <w:pPr>
        <w:divId w:val="980230461"/>
        <w:rPr>
          <w:rFonts w:eastAsia="Times New Roman"/>
          <w:sz w:val="30"/>
          <w:szCs w:val="30"/>
          <w:lang w:val="es-ES"/>
        </w:rPr>
      </w:pPr>
      <w:r>
        <w:rPr>
          <w:rFonts w:eastAsia="Times New Roman"/>
          <w:sz w:val="30"/>
          <w:szCs w:val="30"/>
          <w:lang w:val="es-ES"/>
        </w:rPr>
        <w:lastRenderedPageBreak/>
        <w:t xml:space="preserve">Art. 167.- </w:t>
      </w:r>
      <w:r>
        <w:rPr>
          <w:rFonts w:eastAsia="Times New Roman"/>
          <w:b/>
          <w:bCs/>
          <w:sz w:val="30"/>
          <w:szCs w:val="30"/>
          <w:lang w:val="es-ES"/>
        </w:rPr>
        <w:t xml:space="preserve">Publicidad del capital. </w:t>
      </w:r>
      <w:r>
        <w:rPr>
          <w:rFonts w:eastAsia="Times New Roman"/>
          <w:sz w:val="30"/>
          <w:szCs w:val="30"/>
          <w:lang w:val="es-ES"/>
        </w:rPr>
        <w:t>Las entidades de los sectores financieros p</w:t>
      </w:r>
      <w:r>
        <w:rPr>
          <w:rFonts w:eastAsia="Times New Roman"/>
          <w:sz w:val="30"/>
          <w:szCs w:val="30"/>
          <w:lang w:val="es-ES"/>
        </w:rPr>
        <w:t>úblico y privado anunciarán únicamente su capital suscrito y pagado. Igualmente, las sucursales de entidades financieras extranjeras anunciarán solamente la cuantía del capital y reservas asignados por la entidad financiera matriz.</w:t>
      </w:r>
    </w:p>
    <w:p w:rsidR="00000000" w:rsidRDefault="0018461E">
      <w:pPr>
        <w:divId w:val="1035426989"/>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Fondo de rese</w:t>
      </w:r>
      <w:r>
        <w:rPr>
          <w:rFonts w:eastAsia="Times New Roman"/>
          <w:b/>
          <w:bCs/>
          <w:sz w:val="30"/>
          <w:szCs w:val="30"/>
          <w:lang w:val="es-ES"/>
        </w:rPr>
        <w:t xml:space="preserve">rva legal. </w:t>
      </w:r>
      <w:r>
        <w:rPr>
          <w:rFonts w:eastAsia="Times New Roman"/>
          <w:sz w:val="30"/>
          <w:szCs w:val="30"/>
          <w:lang w:val="es-ES"/>
        </w:rPr>
        <w:t>Las entidades de los sectores financieros público y privado deben constituir un fondo de reserva legal que ascenderá al menos al 50% de su capital suscrito y pagado. Para formar esta reserva legal, las entidades financieras destinarán, por lo me</w:t>
      </w:r>
      <w:r>
        <w:rPr>
          <w:rFonts w:eastAsia="Times New Roman"/>
          <w:sz w:val="30"/>
          <w:szCs w:val="30"/>
          <w:lang w:val="es-ES"/>
        </w:rPr>
        <w:t>nos el 10% de sus utilidades anuales.</w:t>
      </w:r>
      <w:r>
        <w:rPr>
          <w:rFonts w:eastAsia="Times New Roman"/>
          <w:sz w:val="30"/>
          <w:szCs w:val="30"/>
          <w:lang w:val="es-ES"/>
        </w:rPr>
        <w:br/>
      </w:r>
      <w:r>
        <w:rPr>
          <w:rFonts w:eastAsia="Times New Roman"/>
          <w:sz w:val="30"/>
          <w:szCs w:val="30"/>
          <w:lang w:val="es-ES"/>
        </w:rPr>
        <w:br/>
        <w:t>Asimismo, de acuerdo con sus estatutos y por decisión de los directorios o la junta general de accionistas, cuando corresponda, podrán constituir otras reservas que tendrán el carácter de especiales o facultativas, fo</w:t>
      </w:r>
      <w:r>
        <w:rPr>
          <w:rFonts w:eastAsia="Times New Roman"/>
          <w:sz w:val="30"/>
          <w:szCs w:val="30"/>
          <w:lang w:val="es-ES"/>
        </w:rPr>
        <w:t>rmadas por la transferencia de las utilidades al patrimonio.</w:t>
      </w:r>
      <w:r>
        <w:rPr>
          <w:rFonts w:eastAsia="Times New Roman"/>
          <w:sz w:val="30"/>
          <w:szCs w:val="30"/>
          <w:lang w:val="es-ES"/>
        </w:rPr>
        <w:br/>
      </w:r>
      <w:r>
        <w:rPr>
          <w:rFonts w:eastAsia="Times New Roman"/>
          <w:sz w:val="30"/>
          <w:szCs w:val="30"/>
          <w:lang w:val="es-ES"/>
        </w:rPr>
        <w:br/>
        <w:t>Las entidades del sector financiero popular y solidario tendrán un Fondo Irrepartible de Reserva Legal, conforme lo dispuesto en la Ley Orgánica de la Economía Popular y Solidaria.</w:t>
      </w:r>
    </w:p>
    <w:p w:rsidR="00000000" w:rsidRDefault="0018461E">
      <w:pPr>
        <w:divId w:val="2020695540"/>
        <w:rPr>
          <w:rFonts w:eastAsia="Times New Roman"/>
          <w:sz w:val="30"/>
          <w:szCs w:val="30"/>
          <w:lang w:val="es-ES"/>
        </w:rPr>
      </w:pPr>
      <w:r>
        <w:rPr>
          <w:rFonts w:eastAsia="Times New Roman"/>
          <w:sz w:val="30"/>
          <w:szCs w:val="30"/>
          <w:lang w:val="es-ES"/>
        </w:rPr>
        <w:t xml:space="preserve">Art. 169.- </w:t>
      </w:r>
      <w:r>
        <w:rPr>
          <w:rFonts w:eastAsia="Times New Roman"/>
          <w:b/>
          <w:bCs/>
          <w:sz w:val="30"/>
          <w:szCs w:val="30"/>
          <w:lang w:val="es-ES"/>
        </w:rPr>
        <w:t>Pe</w:t>
      </w:r>
      <w:r>
        <w:rPr>
          <w:rFonts w:eastAsia="Times New Roman"/>
          <w:b/>
          <w:bCs/>
          <w:sz w:val="30"/>
          <w:szCs w:val="30"/>
          <w:lang w:val="es-ES"/>
        </w:rPr>
        <w:t xml:space="preserve">rsonas con propiedad patrimonial con influencia. </w:t>
      </w:r>
      <w:r>
        <w:rPr>
          <w:rFonts w:eastAsia="Times New Roman"/>
          <w:sz w:val="30"/>
          <w:szCs w:val="30"/>
          <w:lang w:val="es-ES"/>
        </w:rPr>
        <w:t>Para las entidades del sistema financiero nacional, se consideran personas con propiedad patrimonial con influencia a las personas naturales o jurídicas que posean, directa o indirectamente, el menor valor d</w:t>
      </w:r>
      <w:r>
        <w:rPr>
          <w:rFonts w:eastAsia="Times New Roman"/>
          <w:sz w:val="30"/>
          <w:szCs w:val="30"/>
          <w:lang w:val="es-ES"/>
        </w:rPr>
        <w:t>e entre los siguientes numerales:</w:t>
      </w:r>
      <w:r>
        <w:rPr>
          <w:rFonts w:eastAsia="Times New Roman"/>
          <w:sz w:val="30"/>
          <w:szCs w:val="30"/>
          <w:lang w:val="es-ES"/>
        </w:rPr>
        <w:br/>
      </w:r>
      <w:r>
        <w:rPr>
          <w:rFonts w:eastAsia="Times New Roman"/>
          <w:sz w:val="30"/>
          <w:szCs w:val="30"/>
          <w:lang w:val="es-ES"/>
        </w:rPr>
        <w:br/>
        <w:t>1. El 6% o más del capital suscrito y pagado o del capital social; o,</w:t>
      </w:r>
      <w:r>
        <w:rPr>
          <w:rFonts w:eastAsia="Times New Roman"/>
          <w:sz w:val="30"/>
          <w:szCs w:val="30"/>
          <w:lang w:val="es-ES"/>
        </w:rPr>
        <w:br/>
      </w:r>
      <w:r>
        <w:rPr>
          <w:rFonts w:eastAsia="Times New Roman"/>
          <w:sz w:val="30"/>
          <w:szCs w:val="30"/>
          <w:lang w:val="es-ES"/>
        </w:rPr>
        <w:br/>
        <w:t>2. Acciones o participaciones por un monto mayor o igual a seiscientas fracciones básicas exentas del impuesto a la renta.</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LAS FUSIONES</w:t>
      </w:r>
      <w:r>
        <w:rPr>
          <w:rFonts w:eastAsia="Times New Roman"/>
          <w:b/>
          <w:bCs/>
          <w:sz w:val="36"/>
          <w:szCs w:val="36"/>
          <w:lang w:val="es-ES"/>
        </w:rPr>
        <w:t>, CONVERSIONES Y ASOCIACIONES</w:t>
      </w:r>
    </w:p>
    <w:p w:rsidR="00000000" w:rsidRDefault="0018461E">
      <w:pPr>
        <w:divId w:val="27459665"/>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 xml:space="preserve">Fusión. </w:t>
      </w:r>
      <w:r>
        <w:rPr>
          <w:rFonts w:eastAsia="Times New Roman"/>
          <w:sz w:val="30"/>
          <w:szCs w:val="30"/>
          <w:lang w:val="es-ES"/>
        </w:rPr>
        <w:t>La fusión es la unión de dos o más entidades del sistema financiero nacional del mismo sector, por la que se comprometen a juntar sus patrimonios y formar una nueva sociedad, la cual adquiere a título univer</w:t>
      </w:r>
      <w:r>
        <w:rPr>
          <w:rFonts w:eastAsia="Times New Roman"/>
          <w:sz w:val="30"/>
          <w:szCs w:val="30"/>
          <w:lang w:val="es-ES"/>
        </w:rPr>
        <w:t xml:space="preserve">sal los derechos y obligaciones de las </w:t>
      </w:r>
      <w:r>
        <w:rPr>
          <w:rFonts w:eastAsia="Times New Roman"/>
          <w:sz w:val="30"/>
          <w:szCs w:val="30"/>
          <w:lang w:val="es-ES"/>
        </w:rPr>
        <w:lastRenderedPageBreak/>
        <w:t>sociedades intervinientes. La fusión se produce también cuando una o más entidades son absorbidas por otra que continúa subsistiendo.</w:t>
      </w:r>
    </w:p>
    <w:p w:rsidR="00000000" w:rsidRDefault="0018461E">
      <w:pPr>
        <w:divId w:val="1014266749"/>
        <w:rPr>
          <w:rFonts w:eastAsia="Times New Roman"/>
          <w:sz w:val="30"/>
          <w:szCs w:val="30"/>
          <w:lang w:val="es-ES"/>
        </w:rPr>
      </w:pPr>
      <w:r>
        <w:rPr>
          <w:rFonts w:eastAsia="Times New Roman"/>
          <w:sz w:val="30"/>
          <w:szCs w:val="30"/>
          <w:lang w:val="es-ES"/>
        </w:rPr>
        <w:t xml:space="preserve">Art. 171.- </w:t>
      </w:r>
      <w:r>
        <w:rPr>
          <w:rFonts w:eastAsia="Times New Roman"/>
          <w:b/>
          <w:bCs/>
          <w:sz w:val="30"/>
          <w:szCs w:val="30"/>
          <w:lang w:val="es-ES"/>
        </w:rPr>
        <w:t xml:space="preserve">Clases de fusión. </w:t>
      </w:r>
      <w:r>
        <w:rPr>
          <w:rFonts w:eastAsia="Times New Roman"/>
          <w:sz w:val="30"/>
          <w:szCs w:val="30"/>
          <w:lang w:val="es-ES"/>
        </w:rPr>
        <w:t>Las fusiones podrán ser ordinarias y extraordinarias.</w:t>
      </w:r>
      <w:r>
        <w:rPr>
          <w:rFonts w:eastAsia="Times New Roman"/>
          <w:sz w:val="30"/>
          <w:szCs w:val="30"/>
          <w:lang w:val="es-ES"/>
        </w:rPr>
        <w:br/>
      </w:r>
      <w:r>
        <w:rPr>
          <w:rFonts w:eastAsia="Times New Roman"/>
          <w:sz w:val="30"/>
          <w:szCs w:val="30"/>
          <w:lang w:val="es-ES"/>
        </w:rPr>
        <w:br/>
        <w:t>La fusión ordinaria es la acordada y efectuada por entidades financieras que no estuvieren en situación de deficiencia de patrimonio técnico.</w:t>
      </w:r>
      <w:r>
        <w:rPr>
          <w:rFonts w:eastAsia="Times New Roman"/>
          <w:sz w:val="30"/>
          <w:szCs w:val="30"/>
          <w:lang w:val="es-ES"/>
        </w:rPr>
        <w:br/>
      </w:r>
      <w:r>
        <w:rPr>
          <w:rFonts w:eastAsia="Times New Roman"/>
          <w:sz w:val="30"/>
          <w:szCs w:val="30"/>
          <w:lang w:val="es-ES"/>
        </w:rPr>
        <w:br/>
        <w:t>La fusión extraordinaria se produce entre una entidad que se encuentre en situación de deficiencia de patrimonio</w:t>
      </w:r>
      <w:r>
        <w:rPr>
          <w:rFonts w:eastAsia="Times New Roman"/>
          <w:sz w:val="30"/>
          <w:szCs w:val="30"/>
          <w:lang w:val="es-ES"/>
        </w:rPr>
        <w:t xml:space="preserve"> técnico con otra entidad que no se hallare en tal situación; en este caso, siempre será necesaria la aceptación expresa del representante legal de la entidad que no se encontrare en situación de deficiencia, quien para el efecto queda facultado para tomar</w:t>
      </w:r>
      <w:r>
        <w:rPr>
          <w:rFonts w:eastAsia="Times New Roman"/>
          <w:sz w:val="30"/>
          <w:szCs w:val="30"/>
          <w:lang w:val="es-ES"/>
        </w:rPr>
        <w:t xml:space="preserve"> esta decisión. Para este caso, la junta general de accionistas o el organismo que haga sus veces de la entidad que no se hallare en deficiencia de patrimonio técnico, se tendrá por convocada para resolver la fusión extraordinaria. Si la junta general de a</w:t>
      </w:r>
      <w:r>
        <w:rPr>
          <w:rFonts w:eastAsia="Times New Roman"/>
          <w:sz w:val="30"/>
          <w:szCs w:val="30"/>
          <w:lang w:val="es-ES"/>
        </w:rPr>
        <w:t>ccionistas o el organismo que haga sus veces no atiende esta convocatoria, el organismo de control dispondrá la reunión obligatoria de estos cuerpos colegiados para que resuelvan lo que corresponda, con los miembros que estuvieren presentes.</w:t>
      </w:r>
    </w:p>
    <w:p w:rsidR="00000000" w:rsidRDefault="0018461E">
      <w:pPr>
        <w:divId w:val="548804460"/>
        <w:rPr>
          <w:rFonts w:eastAsia="Times New Roman"/>
          <w:sz w:val="30"/>
          <w:szCs w:val="30"/>
          <w:lang w:val="es-ES"/>
        </w:rPr>
      </w:pPr>
      <w:r>
        <w:rPr>
          <w:rFonts w:eastAsia="Times New Roman"/>
          <w:sz w:val="30"/>
          <w:szCs w:val="30"/>
          <w:lang w:val="es-ES"/>
        </w:rPr>
        <w:t xml:space="preserve">Art. 172.- </w:t>
      </w:r>
      <w:r>
        <w:rPr>
          <w:rFonts w:eastAsia="Times New Roman"/>
          <w:b/>
          <w:bCs/>
          <w:sz w:val="30"/>
          <w:szCs w:val="30"/>
          <w:lang w:val="es-ES"/>
        </w:rPr>
        <w:t>Pro</w:t>
      </w:r>
      <w:r>
        <w:rPr>
          <w:rFonts w:eastAsia="Times New Roman"/>
          <w:b/>
          <w:bCs/>
          <w:sz w:val="30"/>
          <w:szCs w:val="30"/>
          <w:lang w:val="es-ES"/>
        </w:rPr>
        <w:t xml:space="preserve">ceso de fusión. </w:t>
      </w:r>
      <w:r>
        <w:rPr>
          <w:rFonts w:eastAsia="Times New Roman"/>
          <w:sz w:val="30"/>
          <w:szCs w:val="30"/>
          <w:lang w:val="es-ES"/>
        </w:rPr>
        <w:t>El proceso de fusión ordinario será normado por los organismos de control.</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proceso de fusión extraordinario queda exceptuado de los procedimientos ordinarios de fusión y será regulado por la Junta de Política y Regulación Monetaria y Financiera. Esta fusión estará exenta del pago de tributos. Igual exención tendrán las coopera</w:t>
      </w:r>
      <w:r>
        <w:rPr>
          <w:rFonts w:eastAsia="Times New Roman"/>
          <w:sz w:val="30"/>
          <w:szCs w:val="30"/>
          <w:lang w:val="es-ES"/>
        </w:rPr>
        <w:t>tivas de ahorro y crédito cuando se fusionen con otras.</w:t>
      </w:r>
    </w:p>
    <w:p w:rsidR="00000000" w:rsidRDefault="0018461E">
      <w:pPr>
        <w:divId w:val="106782599"/>
        <w:rPr>
          <w:rFonts w:eastAsia="Times New Roman"/>
          <w:sz w:val="30"/>
          <w:szCs w:val="30"/>
          <w:lang w:val="es-ES"/>
        </w:rPr>
      </w:pPr>
      <w:r>
        <w:rPr>
          <w:rFonts w:eastAsia="Times New Roman"/>
          <w:sz w:val="30"/>
          <w:szCs w:val="30"/>
          <w:lang w:val="es-ES"/>
        </w:rPr>
        <w:t xml:space="preserve">Art. 173.- </w:t>
      </w:r>
      <w:r>
        <w:rPr>
          <w:rFonts w:eastAsia="Times New Roman"/>
          <w:b/>
          <w:bCs/>
          <w:sz w:val="30"/>
          <w:szCs w:val="30"/>
          <w:lang w:val="es-ES"/>
        </w:rPr>
        <w:t xml:space="preserve">Traspaso de activos. </w:t>
      </w:r>
      <w:r>
        <w:rPr>
          <w:rFonts w:eastAsia="Times New Roman"/>
          <w:sz w:val="30"/>
          <w:szCs w:val="30"/>
          <w:lang w:val="es-ES"/>
        </w:rPr>
        <w:t>En caso de fusión, los traspasos de activos se sujetarán a las normas que emitan los organismos de control y a las normas contables aplicables. El proceso de transferen</w:t>
      </w:r>
      <w:r>
        <w:rPr>
          <w:rFonts w:eastAsia="Times New Roman"/>
          <w:sz w:val="30"/>
          <w:szCs w:val="30"/>
          <w:lang w:val="es-ES"/>
        </w:rPr>
        <w:t>cia de pasivos y garantías no requerirá de la aceptación expresa de los clientes, quienes serán notificados con posterioridad por la entidad absorbente.</w:t>
      </w:r>
    </w:p>
    <w:p w:rsidR="00000000" w:rsidRDefault="0018461E">
      <w:pPr>
        <w:divId w:val="1800997925"/>
        <w:rPr>
          <w:rFonts w:eastAsia="Times New Roman"/>
          <w:sz w:val="30"/>
          <w:szCs w:val="30"/>
          <w:lang w:val="es-ES"/>
        </w:rPr>
      </w:pPr>
      <w:r>
        <w:rPr>
          <w:rFonts w:eastAsia="Times New Roman"/>
          <w:sz w:val="30"/>
          <w:szCs w:val="30"/>
          <w:lang w:val="es-ES"/>
        </w:rPr>
        <w:t xml:space="preserve">Art. 174.- </w:t>
      </w:r>
      <w:r>
        <w:rPr>
          <w:rFonts w:eastAsia="Times New Roman"/>
          <w:b/>
          <w:bCs/>
          <w:sz w:val="30"/>
          <w:szCs w:val="30"/>
          <w:lang w:val="es-ES"/>
        </w:rPr>
        <w:t xml:space="preserve">Responsabilidad sobre los pasivos. </w:t>
      </w:r>
      <w:r>
        <w:rPr>
          <w:rFonts w:eastAsia="Times New Roman"/>
          <w:sz w:val="30"/>
          <w:szCs w:val="30"/>
          <w:lang w:val="es-ES"/>
        </w:rPr>
        <w:t>En el caso de fusión por absorción, la entidad financiera</w:t>
      </w:r>
      <w:r>
        <w:rPr>
          <w:rFonts w:eastAsia="Times New Roman"/>
          <w:sz w:val="30"/>
          <w:szCs w:val="30"/>
          <w:lang w:val="es-ES"/>
        </w:rPr>
        <w:t xml:space="preserve"> absorbente se hará cargo del pasivo de la absorbida.</w:t>
      </w:r>
    </w:p>
    <w:p w:rsidR="00000000" w:rsidRDefault="0018461E">
      <w:pPr>
        <w:divId w:val="2010984777"/>
        <w:rPr>
          <w:rFonts w:eastAsia="Times New Roman"/>
          <w:sz w:val="30"/>
          <w:szCs w:val="30"/>
          <w:lang w:val="es-ES"/>
        </w:rPr>
      </w:pPr>
      <w:r>
        <w:rPr>
          <w:rFonts w:eastAsia="Times New Roman"/>
          <w:sz w:val="30"/>
          <w:szCs w:val="30"/>
          <w:lang w:val="es-ES"/>
        </w:rPr>
        <w:lastRenderedPageBreak/>
        <w:t xml:space="preserve">Art. 175.- </w:t>
      </w:r>
      <w:r>
        <w:rPr>
          <w:rFonts w:eastAsia="Times New Roman"/>
          <w:b/>
          <w:bCs/>
          <w:sz w:val="30"/>
          <w:szCs w:val="30"/>
          <w:lang w:val="es-ES"/>
        </w:rPr>
        <w:t xml:space="preserve">Conversión. </w:t>
      </w:r>
      <w:r>
        <w:rPr>
          <w:rFonts w:eastAsia="Times New Roman"/>
          <w:sz w:val="30"/>
          <w:szCs w:val="30"/>
          <w:lang w:val="es-ES"/>
        </w:rPr>
        <w:t>La conversión es la modificación o el cambio del objeto social o actividad de una entidad financiera para adoptar el objeto y la forma de otra entidad prevista en este Código dent</w:t>
      </w:r>
      <w:r>
        <w:rPr>
          <w:rFonts w:eastAsia="Times New Roman"/>
          <w:sz w:val="30"/>
          <w:szCs w:val="30"/>
          <w:lang w:val="es-ES"/>
        </w:rPr>
        <w:t>ro del mismo sector; esta figura no altera la existencia como persona jurídica y solamente le otorga las facultades y le impone las exigencias y limitaciones legales propias de la especie adoptada.</w:t>
      </w:r>
    </w:p>
    <w:p w:rsidR="00000000" w:rsidRDefault="0018461E">
      <w:pPr>
        <w:divId w:val="1681540820"/>
        <w:rPr>
          <w:rFonts w:eastAsia="Times New Roman"/>
          <w:sz w:val="30"/>
          <w:szCs w:val="30"/>
          <w:lang w:val="es-ES"/>
        </w:rPr>
      </w:pPr>
      <w:r>
        <w:rPr>
          <w:rFonts w:eastAsia="Times New Roman"/>
          <w:sz w:val="30"/>
          <w:szCs w:val="30"/>
          <w:lang w:val="es-ES"/>
        </w:rPr>
        <w:t xml:space="preserve">Art. 176.- </w:t>
      </w:r>
      <w:r>
        <w:rPr>
          <w:rFonts w:eastAsia="Times New Roman"/>
          <w:b/>
          <w:bCs/>
          <w:sz w:val="30"/>
          <w:szCs w:val="30"/>
          <w:lang w:val="es-ES"/>
        </w:rPr>
        <w:t xml:space="preserve">Aprobación. </w:t>
      </w:r>
      <w:r>
        <w:rPr>
          <w:rFonts w:eastAsia="Times New Roman"/>
          <w:sz w:val="30"/>
          <w:szCs w:val="30"/>
          <w:lang w:val="es-ES"/>
        </w:rPr>
        <w:t>La fusión y conversión serán aproba</w:t>
      </w:r>
      <w:r>
        <w:rPr>
          <w:rFonts w:eastAsia="Times New Roman"/>
          <w:sz w:val="30"/>
          <w:szCs w:val="30"/>
          <w:lang w:val="es-ES"/>
        </w:rPr>
        <w:t>das previamente por los respectivos organismos de control, de conformidad con la regulación vigente.</w:t>
      </w:r>
      <w:r>
        <w:rPr>
          <w:rFonts w:eastAsia="Times New Roman"/>
          <w:sz w:val="30"/>
          <w:szCs w:val="30"/>
          <w:lang w:val="es-ES"/>
        </w:rPr>
        <w:br/>
      </w:r>
      <w:r>
        <w:rPr>
          <w:rFonts w:eastAsia="Times New Roman"/>
          <w:sz w:val="30"/>
          <w:szCs w:val="30"/>
          <w:lang w:val="es-ES"/>
        </w:rPr>
        <w:br/>
        <w:t>En caso de fusión ordinaria, se considerarán las políticas y regulaciones que en materia de control de poder del mercado, haya emitido la instancia regula</w:t>
      </w:r>
      <w:r>
        <w:rPr>
          <w:rFonts w:eastAsia="Times New Roman"/>
          <w:sz w:val="30"/>
          <w:szCs w:val="30"/>
          <w:lang w:val="es-ES"/>
        </w:rPr>
        <w:t>dora competente y se requerirá un informe previo de la Superintendencia de Control de Poder de Mercado cuando supere los límites por sector y/o segmento financiero determinados por la Junta de Política y Regulación Monetaria y Financiera, en coordinación c</w:t>
      </w:r>
      <w:r>
        <w:rPr>
          <w:rFonts w:eastAsia="Times New Roman"/>
          <w:sz w:val="30"/>
          <w:szCs w:val="30"/>
          <w:lang w:val="es-ES"/>
        </w:rPr>
        <w:t>on la Junta de Control de Poder de Mercado. En caso de fusión extraordinaria, no serán necesarios estos requisitos.</w:t>
      </w:r>
    </w:p>
    <w:p w:rsidR="00000000" w:rsidRDefault="0018461E">
      <w:pPr>
        <w:divId w:val="1310593146"/>
        <w:rPr>
          <w:rFonts w:eastAsia="Times New Roman"/>
          <w:sz w:val="30"/>
          <w:szCs w:val="30"/>
          <w:lang w:val="es-ES"/>
        </w:rPr>
      </w:pPr>
      <w:r>
        <w:rPr>
          <w:rFonts w:eastAsia="Times New Roman"/>
          <w:sz w:val="30"/>
          <w:szCs w:val="30"/>
          <w:lang w:val="es-ES"/>
        </w:rPr>
        <w:t xml:space="preserve">Art. 177.- </w:t>
      </w:r>
      <w:r>
        <w:rPr>
          <w:rFonts w:eastAsia="Times New Roman"/>
          <w:b/>
          <w:bCs/>
          <w:sz w:val="30"/>
          <w:szCs w:val="30"/>
          <w:lang w:val="es-ES"/>
        </w:rPr>
        <w:t xml:space="preserve">Asociación. </w:t>
      </w:r>
      <w:r>
        <w:rPr>
          <w:rFonts w:eastAsia="Times New Roman"/>
          <w:sz w:val="30"/>
          <w:szCs w:val="30"/>
          <w:lang w:val="es-ES"/>
        </w:rPr>
        <w:t>La asociación es la unión de dos o más entidades del sistema financiero nacional que se encontraren en actual funcion</w:t>
      </w:r>
      <w:r>
        <w:rPr>
          <w:rFonts w:eastAsia="Times New Roman"/>
          <w:sz w:val="30"/>
          <w:szCs w:val="30"/>
          <w:lang w:val="es-ES"/>
        </w:rPr>
        <w:t>amiento, para la ampliación o prestación de servicios específicos, sin que cada una de las entidades asociadas pierda su identidad y personería jurídica. La asociación se hará mediante convenio de asociación, previa autorización de los organismos de contro</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t>El convenio de asociación deberá establecer el plazo de duración, dentro de los plazos máximos que determine la Junta de Política y Regulación Monetaria y Financiera, las normas que la rijan y la responsabilidad de cada una de ellas frente a los riesgo</w:t>
      </w:r>
      <w:r>
        <w:rPr>
          <w:rFonts w:eastAsia="Times New Roman"/>
          <w:sz w:val="30"/>
          <w:szCs w:val="30"/>
          <w:lang w:val="es-ES"/>
        </w:rPr>
        <w:t>s que asuman.</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INVERSIÓN EXTRANJERA</w:t>
      </w:r>
    </w:p>
    <w:p w:rsidR="00000000" w:rsidRDefault="0018461E">
      <w:pPr>
        <w:divId w:val="837042325"/>
        <w:rPr>
          <w:rFonts w:eastAsia="Times New Roman"/>
          <w:sz w:val="30"/>
          <w:szCs w:val="30"/>
          <w:lang w:val="es-ES"/>
        </w:rPr>
      </w:pPr>
      <w:r>
        <w:rPr>
          <w:rFonts w:eastAsia="Times New Roman"/>
          <w:sz w:val="30"/>
          <w:szCs w:val="30"/>
          <w:lang w:val="es-ES"/>
        </w:rPr>
        <w:t xml:space="preserve">Art. 178.- </w:t>
      </w:r>
      <w:r>
        <w:rPr>
          <w:rFonts w:eastAsia="Times New Roman"/>
          <w:b/>
          <w:bCs/>
          <w:sz w:val="30"/>
          <w:szCs w:val="30"/>
          <w:lang w:val="es-ES"/>
        </w:rPr>
        <w:t xml:space="preserve">Inversión extranjera. </w:t>
      </w:r>
      <w:r>
        <w:rPr>
          <w:rFonts w:eastAsia="Times New Roman"/>
          <w:sz w:val="30"/>
          <w:szCs w:val="30"/>
          <w:lang w:val="es-ES"/>
        </w:rPr>
        <w:t>Las personas naturales o jurídicas extranjeras y las entidades financieras extranjeras podrán constituir entidades financieras o establecer sucursales u oficinas de repre</w:t>
      </w:r>
      <w:r>
        <w:rPr>
          <w:rFonts w:eastAsia="Times New Roman"/>
          <w:sz w:val="30"/>
          <w:szCs w:val="30"/>
          <w:lang w:val="es-ES"/>
        </w:rPr>
        <w:t>sentación en el Ecuador que pasarán a formar parte de las entidades financieras en los términos reconocidos por la legislación vigente.</w:t>
      </w:r>
      <w:r>
        <w:rPr>
          <w:rFonts w:eastAsia="Times New Roman"/>
          <w:sz w:val="30"/>
          <w:szCs w:val="30"/>
          <w:lang w:val="es-ES"/>
        </w:rPr>
        <w:br/>
      </w:r>
      <w:r>
        <w:rPr>
          <w:rFonts w:eastAsia="Times New Roman"/>
          <w:sz w:val="30"/>
          <w:szCs w:val="30"/>
          <w:lang w:val="es-ES"/>
        </w:rPr>
        <w:lastRenderedPageBreak/>
        <w:br/>
        <w:t>La entidad financiera extranjera responderá solidariamente por las obligaciones contraídas por la sucursal u oficina de</w:t>
      </w:r>
      <w:r>
        <w:rPr>
          <w:rFonts w:eastAsia="Times New Roman"/>
          <w:sz w:val="30"/>
          <w:szCs w:val="30"/>
          <w:lang w:val="es-ES"/>
        </w:rPr>
        <w:t xml:space="preserve"> representación establecida en el Ecuador.</w:t>
      </w:r>
    </w:p>
    <w:p w:rsidR="00000000" w:rsidRDefault="0018461E">
      <w:pPr>
        <w:divId w:val="604190968"/>
        <w:rPr>
          <w:rFonts w:eastAsia="Times New Roman"/>
          <w:sz w:val="30"/>
          <w:szCs w:val="30"/>
          <w:lang w:val="es-ES"/>
        </w:rPr>
      </w:pPr>
      <w:r>
        <w:rPr>
          <w:rFonts w:eastAsia="Times New Roman"/>
          <w:sz w:val="30"/>
          <w:szCs w:val="30"/>
          <w:lang w:val="es-ES"/>
        </w:rPr>
        <w:t xml:space="preserve">Art. 179.- </w:t>
      </w:r>
      <w:r>
        <w:rPr>
          <w:rFonts w:eastAsia="Times New Roman"/>
          <w:b/>
          <w:bCs/>
          <w:sz w:val="30"/>
          <w:szCs w:val="30"/>
          <w:lang w:val="es-ES"/>
        </w:rPr>
        <w:t>Sucursales y oficinas de representación.</w:t>
      </w:r>
      <w:r>
        <w:rPr>
          <w:rFonts w:eastAsia="Times New Roman"/>
          <w:sz w:val="30"/>
          <w:szCs w:val="30"/>
          <w:lang w:val="es-ES"/>
        </w:rPr>
        <w:br/>
      </w:r>
      <w:r>
        <w:rPr>
          <w:rFonts w:eastAsia="Times New Roman"/>
          <w:sz w:val="30"/>
          <w:szCs w:val="30"/>
          <w:lang w:val="es-ES"/>
        </w:rPr>
        <w:br/>
        <w:t>Las entidades financieras extranjeras que se propongan establecer sucursales en el Ecuador, para ejercer actividades financieras o constituir oficinas de repres</w:t>
      </w:r>
      <w:r>
        <w:rPr>
          <w:rFonts w:eastAsia="Times New Roman"/>
          <w:sz w:val="30"/>
          <w:szCs w:val="30"/>
          <w:lang w:val="es-ES"/>
        </w:rPr>
        <w:t>entación, deberán obtener autorización previa de los organismos de control nacionales. Las sucursales deberán previamente domiciliarse en el Ecuador.</w:t>
      </w:r>
      <w:r>
        <w:rPr>
          <w:rFonts w:eastAsia="Times New Roman"/>
          <w:sz w:val="30"/>
          <w:szCs w:val="30"/>
          <w:lang w:val="es-ES"/>
        </w:rPr>
        <w:br/>
      </w:r>
      <w:r>
        <w:rPr>
          <w:rFonts w:eastAsia="Times New Roman"/>
          <w:sz w:val="30"/>
          <w:szCs w:val="30"/>
          <w:lang w:val="es-ES"/>
        </w:rPr>
        <w:br/>
        <w:t>Las sucursales de entidades financieras extranjeras y las oficinas de representación estarán sujetas a la</w:t>
      </w:r>
      <w:r>
        <w:rPr>
          <w:rFonts w:eastAsia="Times New Roman"/>
          <w:sz w:val="30"/>
          <w:szCs w:val="30"/>
          <w:lang w:val="es-ES"/>
        </w:rPr>
        <w:t>s regulaciones que expida la Junta de Política y Regulación Monetaria y Financiera.</w:t>
      </w:r>
      <w:r>
        <w:rPr>
          <w:rFonts w:eastAsia="Times New Roman"/>
          <w:sz w:val="30"/>
          <w:szCs w:val="30"/>
          <w:lang w:val="es-ES"/>
        </w:rPr>
        <w:br/>
      </w:r>
      <w:r>
        <w:rPr>
          <w:rFonts w:eastAsia="Times New Roman"/>
          <w:sz w:val="30"/>
          <w:szCs w:val="30"/>
          <w:lang w:val="es-ES"/>
        </w:rPr>
        <w:br/>
        <w:t>Los acreedores de una entidad financiera extranjera que haya establecido sucursal en el Ecuador no podrán ejercer derechos sobre los activos que la sucursal posea en el pa</w:t>
      </w:r>
      <w:r>
        <w:rPr>
          <w:rFonts w:eastAsia="Times New Roman"/>
          <w:sz w:val="30"/>
          <w:szCs w:val="30"/>
          <w:lang w:val="es-ES"/>
        </w:rPr>
        <w:t>ís.</w:t>
      </w:r>
      <w:r>
        <w:rPr>
          <w:rFonts w:eastAsia="Times New Roman"/>
          <w:sz w:val="30"/>
          <w:szCs w:val="30"/>
          <w:lang w:val="es-ES"/>
        </w:rPr>
        <w:br/>
      </w:r>
      <w:r>
        <w:rPr>
          <w:rFonts w:eastAsia="Times New Roman"/>
          <w:sz w:val="30"/>
          <w:szCs w:val="30"/>
          <w:lang w:val="es-ES"/>
        </w:rPr>
        <w:br/>
        <w:t>Las oficinas de representación solo servirán para actuar como centros de información a sus clientes y para efectuar las operaciones señaladas en el artículo 194 numeral 1 literal a) numerales 1 y 3 de este Código.</w:t>
      </w:r>
    </w:p>
    <w:p w:rsidR="00000000" w:rsidRDefault="0018461E">
      <w:pPr>
        <w:divId w:val="460921165"/>
        <w:rPr>
          <w:rFonts w:eastAsia="Times New Roman"/>
          <w:sz w:val="30"/>
          <w:szCs w:val="30"/>
          <w:lang w:val="es-ES"/>
        </w:rPr>
      </w:pPr>
      <w:r>
        <w:rPr>
          <w:rFonts w:eastAsia="Times New Roman"/>
          <w:sz w:val="30"/>
          <w:szCs w:val="30"/>
          <w:lang w:val="es-ES"/>
        </w:rPr>
        <w:t xml:space="preserve">Art. 180.- </w:t>
      </w:r>
      <w:r>
        <w:rPr>
          <w:rFonts w:eastAsia="Times New Roman"/>
          <w:b/>
          <w:bCs/>
          <w:sz w:val="30"/>
          <w:szCs w:val="30"/>
          <w:lang w:val="es-ES"/>
        </w:rPr>
        <w:t>Prohibición de denominacio</w:t>
      </w:r>
      <w:r>
        <w:rPr>
          <w:rFonts w:eastAsia="Times New Roman"/>
          <w:b/>
          <w:bCs/>
          <w:sz w:val="30"/>
          <w:szCs w:val="30"/>
          <w:lang w:val="es-ES"/>
        </w:rPr>
        <w:t xml:space="preserve">nes. </w:t>
      </w:r>
      <w:r>
        <w:rPr>
          <w:rFonts w:eastAsia="Times New Roman"/>
          <w:sz w:val="30"/>
          <w:szCs w:val="30"/>
          <w:lang w:val="es-ES"/>
        </w:rPr>
        <w:t>Las entidades financieras extranjeras no podrán adoptar denominaciones que pertenezcan a entidades financieras ecuatorianas o que induzcan a pensar que son subsidiarias o afiliadas de dichas instituciones cuando en realidad no lo sean. Deberán indicar</w:t>
      </w:r>
      <w:r>
        <w:rPr>
          <w:rFonts w:eastAsia="Times New Roman"/>
          <w:sz w:val="30"/>
          <w:szCs w:val="30"/>
          <w:lang w:val="es-ES"/>
        </w:rPr>
        <w:t xml:space="preserve"> inequívocamente su calidad de entidad financiera extranjera.</w:t>
      </w:r>
    </w:p>
    <w:p w:rsidR="00000000" w:rsidRDefault="0018461E">
      <w:pPr>
        <w:divId w:val="484931484"/>
        <w:rPr>
          <w:rFonts w:eastAsia="Times New Roman"/>
          <w:sz w:val="30"/>
          <w:szCs w:val="30"/>
          <w:lang w:val="es-ES"/>
        </w:rPr>
      </w:pPr>
      <w:r>
        <w:rPr>
          <w:rFonts w:eastAsia="Times New Roman"/>
          <w:sz w:val="30"/>
          <w:szCs w:val="30"/>
          <w:lang w:val="es-ES"/>
        </w:rPr>
        <w:t xml:space="preserve">Art. 181.- </w:t>
      </w:r>
      <w:r>
        <w:rPr>
          <w:rFonts w:eastAsia="Times New Roman"/>
          <w:b/>
          <w:bCs/>
          <w:sz w:val="30"/>
          <w:szCs w:val="30"/>
          <w:lang w:val="es-ES"/>
        </w:rPr>
        <w:t xml:space="preserve">Requisitos. </w:t>
      </w:r>
      <w:r>
        <w:rPr>
          <w:rFonts w:eastAsia="Times New Roman"/>
          <w:sz w:val="30"/>
          <w:szCs w:val="30"/>
          <w:lang w:val="es-ES"/>
        </w:rPr>
        <w:t>Para establecer sucursales u oficinas de representación en el Ecuador, la entidad financiera extranjera interesada deberá:</w:t>
      </w:r>
      <w:r>
        <w:rPr>
          <w:rFonts w:eastAsia="Times New Roman"/>
          <w:sz w:val="30"/>
          <w:szCs w:val="30"/>
          <w:lang w:val="es-ES"/>
        </w:rPr>
        <w:br/>
      </w:r>
      <w:r>
        <w:rPr>
          <w:rFonts w:eastAsia="Times New Roman"/>
          <w:sz w:val="30"/>
          <w:szCs w:val="30"/>
          <w:lang w:val="es-ES"/>
        </w:rPr>
        <w:br/>
        <w:t>1. Demostrar que está legalmente establecida de</w:t>
      </w:r>
      <w:r>
        <w:rPr>
          <w:rFonts w:eastAsia="Times New Roman"/>
          <w:sz w:val="30"/>
          <w:szCs w:val="30"/>
          <w:lang w:val="es-ES"/>
        </w:rPr>
        <w:t xml:space="preserve"> acuerdo con las leyes del país en donde está constituida;</w:t>
      </w:r>
      <w:r>
        <w:rPr>
          <w:rFonts w:eastAsia="Times New Roman"/>
          <w:sz w:val="30"/>
          <w:szCs w:val="30"/>
          <w:lang w:val="es-ES"/>
        </w:rPr>
        <w:br/>
      </w:r>
      <w:r>
        <w:rPr>
          <w:rFonts w:eastAsia="Times New Roman"/>
          <w:sz w:val="30"/>
          <w:szCs w:val="30"/>
          <w:lang w:val="es-ES"/>
        </w:rPr>
        <w:br/>
        <w:t>2. Demostrar que conforme a dichas leyes y a sus propios estatutos puede acordar y no tiene impedimento para crear sucursales u oficinas de representación en el Ecuador;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Demostrar que su domic</w:t>
      </w:r>
      <w:r>
        <w:rPr>
          <w:rFonts w:eastAsia="Times New Roman"/>
          <w:sz w:val="30"/>
          <w:szCs w:val="30"/>
          <w:lang w:val="es-ES"/>
        </w:rPr>
        <w:t>ilio principal no se encuentre establecido en paraísos fiscales o jurisdicciones de menor imposición a la del Ecuador, de acuerdo con las definiciones que establezca el Servicio de Rentas Internas;</w:t>
      </w:r>
      <w:r>
        <w:rPr>
          <w:rFonts w:eastAsia="Times New Roman"/>
          <w:sz w:val="30"/>
          <w:szCs w:val="30"/>
          <w:lang w:val="es-ES"/>
        </w:rPr>
        <w:br/>
      </w:r>
      <w:r>
        <w:rPr>
          <w:rFonts w:eastAsia="Times New Roman"/>
          <w:sz w:val="30"/>
          <w:szCs w:val="30"/>
          <w:lang w:val="es-ES"/>
        </w:rPr>
        <w:br/>
        <w:t>4. Cumplir con los requisitos determinados en este Código</w:t>
      </w:r>
      <w:r>
        <w:rPr>
          <w:rFonts w:eastAsia="Times New Roman"/>
          <w:sz w:val="30"/>
          <w:szCs w:val="30"/>
          <w:lang w:val="es-ES"/>
        </w:rPr>
        <w:t>, los dispuestos por la Junta de Política y Regulación Monetaria y Financiera y los organismos de control, de acuerdo con la naturaleza de la entidad;</w:t>
      </w:r>
      <w:r>
        <w:rPr>
          <w:rFonts w:eastAsia="Times New Roman"/>
          <w:sz w:val="30"/>
          <w:szCs w:val="30"/>
          <w:lang w:val="es-ES"/>
        </w:rPr>
        <w:br/>
      </w:r>
      <w:r>
        <w:rPr>
          <w:rFonts w:eastAsia="Times New Roman"/>
          <w:sz w:val="30"/>
          <w:szCs w:val="30"/>
          <w:lang w:val="es-ES"/>
        </w:rPr>
        <w:br/>
        <w:t>5. Cumplir con los requisitos que la legislación ecuatoriana señala y demostrar que la disposición de op</w:t>
      </w:r>
      <w:r>
        <w:rPr>
          <w:rFonts w:eastAsia="Times New Roman"/>
          <w:sz w:val="30"/>
          <w:szCs w:val="30"/>
          <w:lang w:val="es-ES"/>
        </w:rPr>
        <w:t>erar en el Ecuador ha sido debidamente autorizada por la autoridad gubernamental encargada del control de la institución en su país de origen, si fuere exigible según la ley de ese país;</w:t>
      </w:r>
      <w:r>
        <w:rPr>
          <w:rFonts w:eastAsia="Times New Roman"/>
          <w:sz w:val="30"/>
          <w:szCs w:val="30"/>
          <w:lang w:val="es-ES"/>
        </w:rPr>
        <w:br/>
      </w:r>
      <w:r>
        <w:rPr>
          <w:rFonts w:eastAsia="Times New Roman"/>
          <w:sz w:val="30"/>
          <w:szCs w:val="30"/>
          <w:lang w:val="es-ES"/>
        </w:rPr>
        <w:br/>
        <w:t>6. Mantener permanentemente en el país un apoderado o representante,</w:t>
      </w:r>
      <w:r>
        <w:rPr>
          <w:rFonts w:eastAsia="Times New Roman"/>
          <w:sz w:val="30"/>
          <w:szCs w:val="30"/>
          <w:lang w:val="es-ES"/>
        </w:rPr>
        <w:t xml:space="preserve"> cuyo poder será previamente calificado por el respectivo organismo de control y deberá inscribirse en el Registro Mercantil. Este apoderado o representante deberá tener facultades amplias y suficientes para realizar todos los actos y contratos que hayan d</w:t>
      </w:r>
      <w:r>
        <w:rPr>
          <w:rFonts w:eastAsia="Times New Roman"/>
          <w:sz w:val="30"/>
          <w:szCs w:val="30"/>
          <w:lang w:val="es-ES"/>
        </w:rPr>
        <w:t>e celebrarse y surtir efecto en el Ecuador y, especialmente, para que pueda contestar demandas y cumplir obligaciones. El poder deberá otorgarse en forma clara y precisa, cumpliendo los requisitos exigidos tanto por la legislación ecuatoriana como por la l</w:t>
      </w:r>
      <w:r>
        <w:rPr>
          <w:rFonts w:eastAsia="Times New Roman"/>
          <w:sz w:val="30"/>
          <w:szCs w:val="30"/>
          <w:lang w:val="es-ES"/>
        </w:rPr>
        <w:t>egislación del país de origen de la entidad financiera extranjera;</w:t>
      </w:r>
      <w:r>
        <w:rPr>
          <w:rFonts w:eastAsia="Times New Roman"/>
          <w:sz w:val="30"/>
          <w:szCs w:val="30"/>
          <w:lang w:val="es-ES"/>
        </w:rPr>
        <w:br/>
      </w:r>
      <w:r>
        <w:rPr>
          <w:rFonts w:eastAsia="Times New Roman"/>
          <w:sz w:val="30"/>
          <w:szCs w:val="30"/>
          <w:lang w:val="es-ES"/>
        </w:rPr>
        <w:br/>
        <w:t>7. Reconocer expresamente:</w:t>
      </w:r>
      <w:r>
        <w:rPr>
          <w:rFonts w:eastAsia="Times New Roman"/>
          <w:sz w:val="30"/>
          <w:szCs w:val="30"/>
          <w:lang w:val="es-ES"/>
        </w:rPr>
        <w:br/>
      </w:r>
      <w:r>
        <w:rPr>
          <w:rFonts w:eastAsia="Times New Roman"/>
          <w:sz w:val="30"/>
          <w:szCs w:val="30"/>
          <w:lang w:val="es-ES"/>
        </w:rPr>
        <w:br/>
        <w:t xml:space="preserve">a. El sometimiento a la jurisdicción, leyes, tribunales y autoridades del Ecuador, con relación a los actos que celebre y contratos que suscriba o que hayan de </w:t>
      </w:r>
      <w:r>
        <w:rPr>
          <w:rFonts w:eastAsia="Times New Roman"/>
          <w:sz w:val="30"/>
          <w:szCs w:val="30"/>
          <w:lang w:val="es-ES"/>
        </w:rPr>
        <w:t>surtir efectos en el territorio ecuatoriano;</w:t>
      </w:r>
      <w:r>
        <w:rPr>
          <w:rFonts w:eastAsia="Times New Roman"/>
          <w:sz w:val="30"/>
          <w:szCs w:val="30"/>
          <w:lang w:val="es-ES"/>
        </w:rPr>
        <w:br/>
      </w:r>
      <w:r>
        <w:rPr>
          <w:rFonts w:eastAsia="Times New Roman"/>
          <w:sz w:val="30"/>
          <w:szCs w:val="30"/>
          <w:lang w:val="es-ES"/>
        </w:rPr>
        <w:br/>
        <w:t>b. Renunciar a la reclamación por la vía diplomática;</w:t>
      </w:r>
      <w:r>
        <w:rPr>
          <w:rFonts w:eastAsia="Times New Roman"/>
          <w:sz w:val="30"/>
          <w:szCs w:val="30"/>
          <w:lang w:val="es-ES"/>
        </w:rPr>
        <w:br/>
      </w:r>
      <w:r>
        <w:rPr>
          <w:rFonts w:eastAsia="Times New Roman"/>
          <w:sz w:val="30"/>
          <w:szCs w:val="30"/>
          <w:lang w:val="es-ES"/>
        </w:rPr>
        <w:br/>
        <w:t>c. Los derechos establecidos en cualquier tratado comercial o de protección de inversiones no limitan de ninguna manera el ejercicio de las facultades regu</w:t>
      </w:r>
      <w:r>
        <w:rPr>
          <w:rFonts w:eastAsia="Times New Roman"/>
          <w:sz w:val="30"/>
          <w:szCs w:val="30"/>
          <w:lang w:val="es-ES"/>
        </w:rPr>
        <w:t xml:space="preserve">latorias del estado, la imposición de sanciones y el establecimiento de responsabilidades a las que hace referencia este Código, por lo que acepta en todo momento recibir un trato igual al </w:t>
      </w:r>
      <w:r>
        <w:rPr>
          <w:rFonts w:eastAsia="Times New Roman"/>
          <w:sz w:val="30"/>
          <w:szCs w:val="30"/>
          <w:lang w:val="es-ES"/>
        </w:rPr>
        <w:lastRenderedPageBreak/>
        <w:t>nacional en circunstancias semejantes; y,</w:t>
      </w:r>
      <w:r>
        <w:rPr>
          <w:rFonts w:eastAsia="Times New Roman"/>
          <w:sz w:val="30"/>
          <w:szCs w:val="30"/>
          <w:lang w:val="es-ES"/>
        </w:rPr>
        <w:br/>
      </w:r>
      <w:r>
        <w:rPr>
          <w:rFonts w:eastAsia="Times New Roman"/>
          <w:sz w:val="30"/>
          <w:szCs w:val="30"/>
          <w:lang w:val="es-ES"/>
        </w:rPr>
        <w:br/>
        <w:t>d. La legislación del Ec</w:t>
      </w:r>
      <w:r>
        <w:rPr>
          <w:rFonts w:eastAsia="Times New Roman"/>
          <w:sz w:val="30"/>
          <w:szCs w:val="30"/>
          <w:lang w:val="es-ES"/>
        </w:rPr>
        <w:t>uador y la jurisdicción y competencia de los tribunales ecuatorianos para conocer y resolver cualquier controversia sobre la interpretación, aplicación, ejecución de cualquier medida adoptada por los organismos de regulación y control, y/o sobre el cumplim</w:t>
      </w:r>
      <w:r>
        <w:rPr>
          <w:rFonts w:eastAsia="Times New Roman"/>
          <w:sz w:val="30"/>
          <w:szCs w:val="30"/>
          <w:lang w:val="es-ES"/>
        </w:rPr>
        <w:t>iento de los derechos y obligaciones derivados de la aplicación de este Código;</w:t>
      </w:r>
      <w:r>
        <w:rPr>
          <w:rFonts w:eastAsia="Times New Roman"/>
          <w:sz w:val="30"/>
          <w:szCs w:val="30"/>
          <w:lang w:val="es-ES"/>
        </w:rPr>
        <w:br/>
      </w:r>
      <w:r>
        <w:rPr>
          <w:rFonts w:eastAsia="Times New Roman"/>
          <w:sz w:val="30"/>
          <w:szCs w:val="30"/>
          <w:lang w:val="es-ES"/>
        </w:rPr>
        <w:br/>
        <w:t>8. Todos los requerimientos establecidos en los literales precedentes serán obligatorios. La no presentación de alguno anulará el proceso. La sucursal solo podrá ser autorizad</w:t>
      </w:r>
      <w:r>
        <w:rPr>
          <w:rFonts w:eastAsia="Times New Roman"/>
          <w:sz w:val="30"/>
          <w:szCs w:val="30"/>
          <w:lang w:val="es-ES"/>
        </w:rPr>
        <w:t>a si en el país en el que se encuentra establecida su casa matriz existe legislación que regule el riesgo de sus operaciones, a satisfacción de los organismos de control nacionales, y sea factible el intercambio recíproco de información sobre estas entidad</w:t>
      </w:r>
      <w:r>
        <w:rPr>
          <w:rFonts w:eastAsia="Times New Roman"/>
          <w:sz w:val="30"/>
          <w:szCs w:val="30"/>
          <w:lang w:val="es-ES"/>
        </w:rPr>
        <w:t>es financieras entre los organismos de control de ambos países.</w:t>
      </w:r>
      <w:r>
        <w:rPr>
          <w:rFonts w:eastAsia="Times New Roman"/>
          <w:sz w:val="30"/>
          <w:szCs w:val="30"/>
          <w:lang w:val="es-ES"/>
        </w:rPr>
        <w:br/>
      </w:r>
      <w:r>
        <w:rPr>
          <w:rFonts w:eastAsia="Times New Roman"/>
          <w:sz w:val="30"/>
          <w:szCs w:val="30"/>
          <w:lang w:val="es-ES"/>
        </w:rPr>
        <w:br/>
        <w:t>Una vez que el organismo de control extienda la autorización señalada en el artículo 185, la entidad financiera extranjera procederá según lo dispuesto en el título II capítulo 5.</w:t>
      </w:r>
    </w:p>
    <w:p w:rsidR="00000000" w:rsidRDefault="0018461E">
      <w:pPr>
        <w:divId w:val="1123504598"/>
        <w:rPr>
          <w:rFonts w:eastAsia="Times New Roman"/>
          <w:sz w:val="30"/>
          <w:szCs w:val="30"/>
          <w:lang w:val="es-ES"/>
        </w:rPr>
      </w:pPr>
      <w:r>
        <w:rPr>
          <w:rFonts w:eastAsia="Times New Roman"/>
          <w:sz w:val="30"/>
          <w:szCs w:val="30"/>
          <w:lang w:val="es-ES"/>
        </w:rPr>
        <w:t xml:space="preserve">Art. 182.- </w:t>
      </w:r>
      <w:r>
        <w:rPr>
          <w:rFonts w:eastAsia="Times New Roman"/>
          <w:b/>
          <w:bCs/>
          <w:sz w:val="30"/>
          <w:szCs w:val="30"/>
          <w:lang w:val="es-ES"/>
        </w:rPr>
        <w:t xml:space="preserve">Representación en el extranjero. </w:t>
      </w:r>
      <w:r>
        <w:rPr>
          <w:rFonts w:eastAsia="Times New Roman"/>
          <w:sz w:val="30"/>
          <w:szCs w:val="30"/>
          <w:lang w:val="es-ES"/>
        </w:rPr>
        <w:t>Las entidades de los sectores financieros público y privado podrán constituir oficinas en el extranjero, previa autorización del organismo de control del Ecuador, y mantener apoderados que representen los intereses de la en</w:t>
      </w:r>
      <w:r>
        <w:rPr>
          <w:rFonts w:eastAsia="Times New Roman"/>
          <w:sz w:val="30"/>
          <w:szCs w:val="30"/>
          <w:lang w:val="es-ES"/>
        </w:rPr>
        <w:t>tidad.</w:t>
      </w:r>
    </w:p>
    <w:p w:rsidR="00000000" w:rsidRDefault="0018461E">
      <w:pPr>
        <w:divId w:val="289168706"/>
        <w:rPr>
          <w:rFonts w:eastAsia="Times New Roman"/>
          <w:sz w:val="30"/>
          <w:szCs w:val="30"/>
          <w:lang w:val="es-ES"/>
        </w:rPr>
      </w:pPr>
      <w:r>
        <w:rPr>
          <w:rFonts w:eastAsia="Times New Roman"/>
          <w:sz w:val="30"/>
          <w:szCs w:val="30"/>
          <w:lang w:val="es-ES"/>
        </w:rPr>
        <w:t xml:space="preserve">Art. 183.- </w:t>
      </w:r>
      <w:r>
        <w:rPr>
          <w:rFonts w:eastAsia="Times New Roman"/>
          <w:b/>
          <w:bCs/>
          <w:sz w:val="30"/>
          <w:szCs w:val="30"/>
          <w:lang w:val="es-ES"/>
        </w:rPr>
        <w:t>Entidades financieras nacionales en el extranjero.</w:t>
      </w:r>
      <w:r>
        <w:rPr>
          <w:rFonts w:eastAsia="Times New Roman"/>
          <w:sz w:val="30"/>
          <w:szCs w:val="30"/>
          <w:lang w:val="es-ES"/>
        </w:rPr>
        <w:br/>
      </w:r>
      <w:r>
        <w:rPr>
          <w:rFonts w:eastAsia="Times New Roman"/>
          <w:sz w:val="30"/>
          <w:szCs w:val="30"/>
          <w:lang w:val="es-ES"/>
        </w:rPr>
        <w:br/>
        <w:t>Las entidades de los sectores financieros público, privado y del sector financiero popular y solidario, previa autorización del respectivo organismo de control, podrán participar como ac</w:t>
      </w:r>
      <w:r>
        <w:rPr>
          <w:rFonts w:eastAsia="Times New Roman"/>
          <w:sz w:val="30"/>
          <w:szCs w:val="30"/>
          <w:lang w:val="es-ES"/>
        </w:rPr>
        <w:t>cionistas en el capital de entidades financieras extranjeras de la misma naturaleza, constituidas o por constituirse, sujetándose a las condiciones que determine este Código y a la regulación correspondiente que expida la Junta. Las entidades financieras a</w:t>
      </w:r>
      <w:r>
        <w:rPr>
          <w:rFonts w:eastAsia="Times New Roman"/>
          <w:sz w:val="30"/>
          <w:szCs w:val="30"/>
          <w:lang w:val="es-ES"/>
        </w:rPr>
        <w:t>ntes mencionadas y los accionistas de dichas entidades con propiedad patrimonial con influencia, no podrán participar como accionistas en entidades financieras constituidas o por constituirse en paraísos fiscales o jurisdicciones de menor imposición a la d</w:t>
      </w:r>
      <w:r>
        <w:rPr>
          <w:rFonts w:eastAsia="Times New Roman"/>
          <w:sz w:val="30"/>
          <w:szCs w:val="30"/>
          <w:lang w:val="es-ES"/>
        </w:rPr>
        <w:t>el Ecuador, de acuerdo con las definiciones que establezca el Servicio de Rentas Internas, y tampoco donde los estándares de supervisión sean inferiores a los nacionales.</w:t>
      </w:r>
      <w:r>
        <w:rPr>
          <w:rFonts w:eastAsia="Times New Roman"/>
          <w:sz w:val="30"/>
          <w:szCs w:val="30"/>
          <w:lang w:val="es-ES"/>
        </w:rPr>
        <w:br/>
      </w:r>
      <w:r>
        <w:rPr>
          <w:rFonts w:eastAsia="Times New Roman"/>
          <w:sz w:val="30"/>
          <w:szCs w:val="30"/>
          <w:lang w:val="es-ES"/>
        </w:rPr>
        <w:lastRenderedPageBreak/>
        <w:br/>
        <w:t>La inversión en el capital en entidades financieras extranjeras que superen el 50% d</w:t>
      </w:r>
      <w:r>
        <w:rPr>
          <w:rFonts w:eastAsia="Times New Roman"/>
          <w:sz w:val="30"/>
          <w:szCs w:val="30"/>
          <w:lang w:val="es-ES"/>
        </w:rPr>
        <w:t>el capital suscrito y pagado, le convertirá a ésta en subsidiaria de la dueña de la inversión. La inversión entre el 20% y el 50% le convertirá en afiliada.</w:t>
      </w:r>
    </w:p>
    <w:p w:rsidR="00000000" w:rsidRDefault="0018461E">
      <w:pPr>
        <w:divId w:val="1427386489"/>
        <w:rPr>
          <w:rFonts w:eastAsia="Times New Roman"/>
          <w:sz w:val="30"/>
          <w:szCs w:val="30"/>
          <w:lang w:val="es-ES"/>
        </w:rPr>
      </w:pPr>
      <w:r>
        <w:rPr>
          <w:rFonts w:eastAsia="Times New Roman"/>
          <w:sz w:val="30"/>
          <w:szCs w:val="30"/>
          <w:lang w:val="es-ES"/>
        </w:rPr>
        <w:t xml:space="preserve">Art. 184.- </w:t>
      </w:r>
      <w:r>
        <w:rPr>
          <w:rFonts w:eastAsia="Times New Roman"/>
          <w:b/>
          <w:bCs/>
          <w:sz w:val="30"/>
          <w:szCs w:val="30"/>
          <w:lang w:val="es-ES"/>
        </w:rPr>
        <w:t xml:space="preserve">Participación como accionista o apertura de oficinas en el extranjero. </w:t>
      </w:r>
      <w:r>
        <w:rPr>
          <w:rFonts w:eastAsia="Times New Roman"/>
          <w:sz w:val="30"/>
          <w:szCs w:val="30"/>
          <w:lang w:val="es-ES"/>
        </w:rPr>
        <w:t>Para obtener la a</w:t>
      </w:r>
      <w:r>
        <w:rPr>
          <w:rFonts w:eastAsia="Times New Roman"/>
          <w:sz w:val="30"/>
          <w:szCs w:val="30"/>
          <w:lang w:val="es-ES"/>
        </w:rPr>
        <w:t>utorización para participar como accionista en entidades financieras extranjeras, constituidas o por constituirse, o establecer oficinas en el extranjero, la entidad financiera pública o privada nacional deberá cumplir con las siguientes condiciones:</w:t>
      </w:r>
      <w:r>
        <w:rPr>
          <w:rFonts w:eastAsia="Times New Roman"/>
          <w:sz w:val="30"/>
          <w:szCs w:val="30"/>
          <w:lang w:val="es-ES"/>
        </w:rPr>
        <w:br/>
      </w:r>
      <w:r>
        <w:rPr>
          <w:rFonts w:eastAsia="Times New Roman"/>
          <w:sz w:val="30"/>
          <w:szCs w:val="30"/>
          <w:lang w:val="es-ES"/>
        </w:rPr>
        <w:br/>
        <w:t>1. P</w:t>
      </w:r>
      <w:r>
        <w:rPr>
          <w:rFonts w:eastAsia="Times New Roman"/>
          <w:sz w:val="30"/>
          <w:szCs w:val="30"/>
          <w:lang w:val="es-ES"/>
        </w:rPr>
        <w:t>resentar la anuencia de la autoridad de control del país donde participará;</w:t>
      </w:r>
      <w:r>
        <w:rPr>
          <w:rFonts w:eastAsia="Times New Roman"/>
          <w:sz w:val="30"/>
          <w:szCs w:val="30"/>
          <w:lang w:val="es-ES"/>
        </w:rPr>
        <w:br/>
      </w:r>
      <w:r>
        <w:rPr>
          <w:rFonts w:eastAsia="Times New Roman"/>
          <w:sz w:val="30"/>
          <w:szCs w:val="30"/>
          <w:lang w:val="es-ES"/>
        </w:rPr>
        <w:br/>
        <w:t>2. Presentar la declaración juramentada de su representante legal en la que indique que la participación no se utilizará con el propósito de facilitar la evasión de impuestos o la</w:t>
      </w:r>
      <w:r>
        <w:rPr>
          <w:rFonts w:eastAsia="Times New Roman"/>
          <w:sz w:val="30"/>
          <w:szCs w:val="30"/>
          <w:lang w:val="es-ES"/>
        </w:rPr>
        <w:t xml:space="preserve"> fuga de capitales;</w:t>
      </w:r>
      <w:r>
        <w:rPr>
          <w:rFonts w:eastAsia="Times New Roman"/>
          <w:sz w:val="30"/>
          <w:szCs w:val="30"/>
          <w:lang w:val="es-ES"/>
        </w:rPr>
        <w:br/>
      </w:r>
      <w:r>
        <w:rPr>
          <w:rFonts w:eastAsia="Times New Roman"/>
          <w:sz w:val="30"/>
          <w:szCs w:val="30"/>
          <w:lang w:val="es-ES"/>
        </w:rPr>
        <w:br/>
        <w:t>3. Presentar las normas vigentes del país donde participará como accionista relacionadas con requerimientos de capital, calificación de activos de riesgo, régimen de provisiones, concentración de crédito, consolidación de estados finan</w:t>
      </w:r>
      <w:r>
        <w:rPr>
          <w:rFonts w:eastAsia="Times New Roman"/>
          <w:sz w:val="30"/>
          <w:szCs w:val="30"/>
          <w:lang w:val="es-ES"/>
        </w:rPr>
        <w:t>cieros, administración de riesgos, así como cualquier información que permita evaluar la capacidad de supervisión y control del país en donde participará; y,</w:t>
      </w:r>
      <w:r>
        <w:rPr>
          <w:rFonts w:eastAsia="Times New Roman"/>
          <w:sz w:val="30"/>
          <w:szCs w:val="30"/>
          <w:lang w:val="es-ES"/>
        </w:rPr>
        <w:br/>
      </w:r>
      <w:r>
        <w:rPr>
          <w:rFonts w:eastAsia="Times New Roman"/>
          <w:sz w:val="30"/>
          <w:szCs w:val="30"/>
          <w:lang w:val="es-ES"/>
        </w:rPr>
        <w:br/>
        <w:t>4. Aceptar expresamente que la Superintendencia pueda realizar las inspecciones que juzgue conven</w:t>
      </w:r>
      <w:r>
        <w:rPr>
          <w:rFonts w:eastAsia="Times New Roman"/>
          <w:sz w:val="30"/>
          <w:szCs w:val="30"/>
          <w:lang w:val="es-ES"/>
        </w:rPr>
        <w:t>ientes y solicitar la información que considere necesaria, sin límite alguno.</w:t>
      </w:r>
      <w:r>
        <w:rPr>
          <w:rFonts w:eastAsia="Times New Roman"/>
          <w:sz w:val="30"/>
          <w:szCs w:val="30"/>
          <w:lang w:val="es-ES"/>
        </w:rPr>
        <w:br/>
      </w:r>
      <w:r>
        <w:rPr>
          <w:rFonts w:eastAsia="Times New Roman"/>
          <w:sz w:val="30"/>
          <w:szCs w:val="30"/>
          <w:lang w:val="es-ES"/>
        </w:rPr>
        <w:br/>
        <w:t>En el caso de participación en el capital de entidades financieras extranjeras ya constituidas, el organismo de control, a más de los requisitos establecidos en los numerales an</w:t>
      </w:r>
      <w:r>
        <w:rPr>
          <w:rFonts w:eastAsia="Times New Roman"/>
          <w:sz w:val="30"/>
          <w:szCs w:val="30"/>
          <w:lang w:val="es-ES"/>
        </w:rPr>
        <w:t>teriores, podrá exigir la información que permita evaluar los riesgos financieros de la entidad receptora.</w:t>
      </w:r>
      <w:r>
        <w:rPr>
          <w:rFonts w:eastAsia="Times New Roman"/>
          <w:sz w:val="30"/>
          <w:szCs w:val="30"/>
          <w:lang w:val="es-ES"/>
        </w:rPr>
        <w:br/>
      </w:r>
      <w:r>
        <w:rPr>
          <w:rFonts w:eastAsia="Times New Roman"/>
          <w:sz w:val="30"/>
          <w:szCs w:val="30"/>
          <w:lang w:val="es-ES"/>
        </w:rPr>
        <w:br/>
        <w:t>En el caso de que para la participación como accionistas en el extranjero se requiera la autorización del organismo de control ecuatoriano, la Super</w:t>
      </w:r>
      <w:r>
        <w:rPr>
          <w:rFonts w:eastAsia="Times New Roman"/>
          <w:sz w:val="30"/>
          <w:szCs w:val="30"/>
          <w:lang w:val="es-ES"/>
        </w:rPr>
        <w:t>intendencia podrá proporcionar una autorización provisional.</w:t>
      </w:r>
    </w:p>
    <w:p w:rsidR="00000000" w:rsidRDefault="0018461E">
      <w:pPr>
        <w:divId w:val="462893893"/>
        <w:rPr>
          <w:rFonts w:eastAsia="Times New Roman"/>
          <w:sz w:val="30"/>
          <w:szCs w:val="30"/>
          <w:lang w:val="es-ES"/>
        </w:rPr>
      </w:pPr>
      <w:r>
        <w:rPr>
          <w:rFonts w:eastAsia="Times New Roman"/>
          <w:sz w:val="30"/>
          <w:szCs w:val="30"/>
          <w:lang w:val="es-ES"/>
        </w:rPr>
        <w:lastRenderedPageBreak/>
        <w:t xml:space="preserve">Art. 185.- </w:t>
      </w:r>
      <w:r>
        <w:rPr>
          <w:rFonts w:eastAsia="Times New Roman"/>
          <w:b/>
          <w:bCs/>
          <w:sz w:val="30"/>
          <w:szCs w:val="30"/>
          <w:lang w:val="es-ES"/>
        </w:rPr>
        <w:t xml:space="preserve">Autorización. </w:t>
      </w:r>
      <w:r>
        <w:rPr>
          <w:rFonts w:eastAsia="Times New Roman"/>
          <w:sz w:val="30"/>
          <w:szCs w:val="30"/>
          <w:lang w:val="es-ES"/>
        </w:rPr>
        <w:t xml:space="preserve">Cumplidas las condiciones señaladas en esta sección, el organismo de control podrá expedir la correspondiente resolución mediante la cual autoriza tanto la participación </w:t>
      </w:r>
      <w:r>
        <w:rPr>
          <w:rFonts w:eastAsia="Times New Roman"/>
          <w:sz w:val="30"/>
          <w:szCs w:val="30"/>
          <w:lang w:val="es-ES"/>
        </w:rPr>
        <w:t>extranjera en el Ecuador como la participación nacional en el extranjero.</w:t>
      </w:r>
      <w:r>
        <w:rPr>
          <w:rFonts w:eastAsia="Times New Roman"/>
          <w:sz w:val="30"/>
          <w:szCs w:val="30"/>
          <w:lang w:val="es-ES"/>
        </w:rPr>
        <w:br/>
      </w:r>
      <w:r>
        <w:rPr>
          <w:rFonts w:eastAsia="Times New Roman"/>
          <w:sz w:val="30"/>
          <w:szCs w:val="30"/>
          <w:lang w:val="es-ES"/>
        </w:rPr>
        <w:br/>
        <w:t>La entidad financiera pública o privada deberá notificar de forma inmediata al organismo de control respecto de cualquier cambio relacionado con la participación autorizada.</w:t>
      </w:r>
    </w:p>
    <w:p w:rsidR="00000000" w:rsidRDefault="0018461E">
      <w:pPr>
        <w:divId w:val="1797063632"/>
        <w:rPr>
          <w:rFonts w:eastAsia="Times New Roman"/>
          <w:sz w:val="30"/>
          <w:szCs w:val="30"/>
          <w:lang w:val="es-ES"/>
        </w:rPr>
      </w:pPr>
      <w:r>
        <w:rPr>
          <w:rFonts w:eastAsia="Times New Roman"/>
          <w:sz w:val="30"/>
          <w:szCs w:val="30"/>
          <w:lang w:val="es-ES"/>
        </w:rPr>
        <w:t xml:space="preserve">Art. 186.- </w:t>
      </w:r>
      <w:r>
        <w:rPr>
          <w:rFonts w:eastAsia="Times New Roman"/>
          <w:b/>
          <w:bCs/>
          <w:sz w:val="30"/>
          <w:szCs w:val="30"/>
          <w:lang w:val="es-ES"/>
        </w:rPr>
        <w:t xml:space="preserve">Informes. </w:t>
      </w:r>
      <w:r>
        <w:rPr>
          <w:rFonts w:eastAsia="Times New Roman"/>
          <w:sz w:val="30"/>
          <w:szCs w:val="30"/>
          <w:lang w:val="es-ES"/>
        </w:rPr>
        <w:t>La entidad financiera pública o privada autorizada deberá presentar al organismo de control copia certificada de la autorización otorgada por la autoridad de control extranjera para la participación como accionista.</w:t>
      </w:r>
      <w:r>
        <w:rPr>
          <w:rFonts w:eastAsia="Times New Roman"/>
          <w:sz w:val="30"/>
          <w:szCs w:val="30"/>
          <w:lang w:val="es-ES"/>
        </w:rPr>
        <w:br/>
      </w:r>
      <w:r>
        <w:rPr>
          <w:rFonts w:eastAsia="Times New Roman"/>
          <w:sz w:val="30"/>
          <w:szCs w:val="30"/>
          <w:lang w:val="es-ES"/>
        </w:rPr>
        <w:br/>
        <w:t>Las subsidiarias d</w:t>
      </w:r>
      <w:r>
        <w:rPr>
          <w:rFonts w:eastAsia="Times New Roman"/>
          <w:sz w:val="30"/>
          <w:szCs w:val="30"/>
          <w:lang w:val="es-ES"/>
        </w:rPr>
        <w:t>irectamente o a través de la cabeza de grupo, presentarán anualmente dentro de los noventa días de finalizado el ejercicio económico o cuando lo solicite la superintendencia, una copia certificada actualizada de la autorización para el funcionamiento y los</w:t>
      </w:r>
      <w:r>
        <w:rPr>
          <w:rFonts w:eastAsia="Times New Roman"/>
          <w:sz w:val="30"/>
          <w:szCs w:val="30"/>
          <w:lang w:val="es-ES"/>
        </w:rPr>
        <w:t xml:space="preserve"> balances auditados. En caso de no hacerlo o cuando el informe contenga comentarios que hagan presumir la existencia de un grave problema financiero, la Superintendencia podrá revocar la autorización otorgada.</w:t>
      </w:r>
      <w:r>
        <w:rPr>
          <w:rFonts w:eastAsia="Times New Roman"/>
          <w:sz w:val="30"/>
          <w:szCs w:val="30"/>
          <w:lang w:val="es-ES"/>
        </w:rPr>
        <w:br/>
      </w:r>
      <w:r>
        <w:rPr>
          <w:rFonts w:eastAsia="Times New Roman"/>
          <w:sz w:val="30"/>
          <w:szCs w:val="30"/>
          <w:lang w:val="es-ES"/>
        </w:rPr>
        <w:br/>
        <w:t>La cabeza de grupo o su subsidiaria, a petici</w:t>
      </w:r>
      <w:r>
        <w:rPr>
          <w:rFonts w:eastAsia="Times New Roman"/>
          <w:sz w:val="30"/>
          <w:szCs w:val="30"/>
          <w:lang w:val="es-ES"/>
        </w:rPr>
        <w:t>ón de la Superintendencia, deberá entregar información respecto de posibles depositantes de dinero que se encuentren encausados por actividades ilícitas, incluidos el lavado de activos y financiamiento de delitos como el terrorismo.</w:t>
      </w:r>
      <w:r>
        <w:rPr>
          <w:rFonts w:eastAsia="Times New Roman"/>
          <w:sz w:val="30"/>
          <w:szCs w:val="30"/>
          <w:lang w:val="es-ES"/>
        </w:rPr>
        <w:br/>
      </w:r>
      <w:r>
        <w:rPr>
          <w:rFonts w:eastAsia="Times New Roman"/>
          <w:sz w:val="30"/>
          <w:szCs w:val="30"/>
          <w:lang w:val="es-ES"/>
        </w:rPr>
        <w:br/>
        <w:t>Para fines de control,</w:t>
      </w:r>
      <w:r>
        <w:rPr>
          <w:rFonts w:eastAsia="Times New Roman"/>
          <w:sz w:val="30"/>
          <w:szCs w:val="30"/>
          <w:lang w:val="es-ES"/>
        </w:rPr>
        <w:t xml:space="preserve"> la Superintendencia podrá solicitar en cualquier tiempo la información adicional que requiera para ejercer sus funciones.</w:t>
      </w:r>
    </w:p>
    <w:p w:rsidR="00000000" w:rsidRDefault="0018461E">
      <w:pPr>
        <w:divId w:val="1227107602"/>
        <w:rPr>
          <w:rFonts w:eastAsia="Times New Roman"/>
          <w:sz w:val="30"/>
          <w:szCs w:val="30"/>
          <w:lang w:val="es-ES"/>
        </w:rPr>
      </w:pPr>
      <w:r>
        <w:rPr>
          <w:rFonts w:eastAsia="Times New Roman"/>
          <w:sz w:val="30"/>
          <w:szCs w:val="30"/>
          <w:lang w:val="es-ES"/>
        </w:rPr>
        <w:t xml:space="preserve">Art. 187.- </w:t>
      </w:r>
      <w:r>
        <w:rPr>
          <w:rFonts w:eastAsia="Times New Roman"/>
          <w:b/>
          <w:bCs/>
          <w:sz w:val="30"/>
          <w:szCs w:val="30"/>
          <w:lang w:val="es-ES"/>
        </w:rPr>
        <w:t xml:space="preserve">Revocatoria de la autorización. </w:t>
      </w:r>
      <w:r>
        <w:rPr>
          <w:rFonts w:eastAsia="Times New Roman"/>
          <w:sz w:val="30"/>
          <w:szCs w:val="30"/>
          <w:lang w:val="es-ES"/>
        </w:rPr>
        <w:t>La autorización otorgada para que una entidad financiera pública o privada participe en el</w:t>
      </w:r>
      <w:r>
        <w:rPr>
          <w:rFonts w:eastAsia="Times New Roman"/>
          <w:sz w:val="30"/>
          <w:szCs w:val="30"/>
          <w:lang w:val="es-ES"/>
        </w:rPr>
        <w:t xml:space="preserve"> capital de una institución financiera del extranjero, podrá ser revocada por el organismo de control, mediante resolución motivada, en los siguientes casos:</w:t>
      </w:r>
      <w:r>
        <w:rPr>
          <w:rFonts w:eastAsia="Times New Roman"/>
          <w:sz w:val="30"/>
          <w:szCs w:val="30"/>
          <w:lang w:val="es-ES"/>
        </w:rPr>
        <w:br/>
      </w:r>
      <w:r>
        <w:rPr>
          <w:rFonts w:eastAsia="Times New Roman"/>
          <w:sz w:val="30"/>
          <w:szCs w:val="30"/>
          <w:lang w:val="es-ES"/>
        </w:rPr>
        <w:br/>
        <w:t>1. Cuando la entidad autorizada, a criterio del organismo de control, haya modificado unilateralm</w:t>
      </w:r>
      <w:r>
        <w:rPr>
          <w:rFonts w:eastAsia="Times New Roman"/>
          <w:sz w:val="30"/>
          <w:szCs w:val="30"/>
          <w:lang w:val="es-ES"/>
        </w:rPr>
        <w:t>ente las condiciones bajo las cuales se extendió la autorización para invertir;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Cuando no presente los informes o la información señalados en el artículo precedente;</w:t>
      </w:r>
      <w:r>
        <w:rPr>
          <w:rFonts w:eastAsia="Times New Roman"/>
          <w:sz w:val="30"/>
          <w:szCs w:val="30"/>
          <w:lang w:val="es-ES"/>
        </w:rPr>
        <w:br/>
      </w:r>
      <w:r>
        <w:rPr>
          <w:rFonts w:eastAsia="Times New Roman"/>
          <w:sz w:val="30"/>
          <w:szCs w:val="30"/>
          <w:lang w:val="es-ES"/>
        </w:rPr>
        <w:br/>
        <w:t>3. Cuando del proceso de supervisión consolidada y transfronteriza a cargo del organi</w:t>
      </w:r>
      <w:r>
        <w:rPr>
          <w:rFonts w:eastAsia="Times New Roman"/>
          <w:sz w:val="30"/>
          <w:szCs w:val="30"/>
          <w:lang w:val="es-ES"/>
        </w:rPr>
        <w:t>smo de control ecuatoriano o de la información remitida se determine la existencia de graves problemas financieros en la entidad financiera extranjera, o que las líneas de negocio de dicha entidad no estén acordes a las autorizadas por los organismos de co</w:t>
      </w:r>
      <w:r>
        <w:rPr>
          <w:rFonts w:eastAsia="Times New Roman"/>
          <w:sz w:val="30"/>
          <w:szCs w:val="30"/>
          <w:lang w:val="es-ES"/>
        </w:rPr>
        <w:t>ntrol nacional o extranjero; y,</w:t>
      </w:r>
      <w:r>
        <w:rPr>
          <w:rFonts w:eastAsia="Times New Roman"/>
          <w:sz w:val="30"/>
          <w:szCs w:val="30"/>
          <w:lang w:val="es-ES"/>
        </w:rPr>
        <w:br/>
      </w:r>
      <w:r>
        <w:rPr>
          <w:rFonts w:eastAsia="Times New Roman"/>
          <w:sz w:val="30"/>
          <w:szCs w:val="30"/>
          <w:lang w:val="es-ES"/>
        </w:rPr>
        <w:br/>
        <w:t>4. Por infracción muy grave, de conformidad con este Código.</w:t>
      </w:r>
      <w:r>
        <w:rPr>
          <w:rFonts w:eastAsia="Times New Roman"/>
          <w:sz w:val="30"/>
          <w:szCs w:val="30"/>
          <w:lang w:val="es-ES"/>
        </w:rPr>
        <w:br/>
      </w:r>
      <w:r>
        <w:rPr>
          <w:rFonts w:eastAsia="Times New Roman"/>
          <w:sz w:val="30"/>
          <w:szCs w:val="30"/>
          <w:lang w:val="es-ES"/>
        </w:rPr>
        <w:br/>
        <w:t>Como consecuencia de la revocatoria, el organismo de control ordenará la desinversión correspondiente.</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 LA SOLVENCIA Y PRUDENCIA FINANCIERA</w:t>
      </w:r>
    </w:p>
    <w:p w:rsidR="00000000" w:rsidRDefault="0018461E">
      <w:pPr>
        <w:divId w:val="491289550"/>
        <w:rPr>
          <w:rFonts w:eastAsia="Times New Roman"/>
          <w:sz w:val="30"/>
          <w:szCs w:val="30"/>
          <w:lang w:val="es-ES"/>
        </w:rPr>
      </w:pPr>
      <w:r>
        <w:rPr>
          <w:rFonts w:eastAsia="Times New Roman"/>
          <w:sz w:val="30"/>
          <w:szCs w:val="30"/>
          <w:lang w:val="es-ES"/>
        </w:rPr>
        <w:t>Art. 18</w:t>
      </w:r>
      <w:r>
        <w:rPr>
          <w:rFonts w:eastAsia="Times New Roman"/>
          <w:sz w:val="30"/>
          <w:szCs w:val="30"/>
          <w:lang w:val="es-ES"/>
        </w:rPr>
        <w:t xml:space="preserve">8.- </w:t>
      </w:r>
      <w:r>
        <w:rPr>
          <w:rFonts w:eastAsia="Times New Roman"/>
          <w:b/>
          <w:bCs/>
          <w:sz w:val="30"/>
          <w:szCs w:val="30"/>
          <w:lang w:val="es-ES"/>
        </w:rPr>
        <w:t xml:space="preserve">Requerimientos financieros de operación. </w:t>
      </w:r>
      <w:r>
        <w:rPr>
          <w:rFonts w:eastAsia="Times New Roman"/>
          <w:sz w:val="30"/>
          <w:szCs w:val="30"/>
          <w:lang w:val="es-ES"/>
        </w:rPr>
        <w:t xml:space="preserve">Las entidades del sistema financiero nacional deberán cumplir, en todo tiempo, los requerimientos financieros y de operación que fija este Código y los que disponga la Junta de Política y Regulación Monetaria y </w:t>
      </w:r>
      <w:r>
        <w:rPr>
          <w:rFonts w:eastAsia="Times New Roman"/>
          <w:sz w:val="30"/>
          <w:szCs w:val="30"/>
          <w:lang w:val="es-ES"/>
        </w:rPr>
        <w:t>Financiera, de acuerdo con las actividades que efectúen.</w:t>
      </w:r>
    </w:p>
    <w:p w:rsidR="00000000" w:rsidRDefault="0018461E">
      <w:pPr>
        <w:divId w:val="1199396859"/>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Liquidez. </w:t>
      </w:r>
      <w:r>
        <w:rPr>
          <w:rFonts w:eastAsia="Times New Roman"/>
          <w:sz w:val="30"/>
          <w:szCs w:val="30"/>
          <w:lang w:val="es-ES"/>
        </w:rPr>
        <w:t>Las entidades del sistema financiero nacional deberán mantener los niveles suficientes de activos líquidos de alta calidad libres de gravamen o restricción, que puedan ser transf</w:t>
      </w:r>
      <w:r>
        <w:rPr>
          <w:rFonts w:eastAsia="Times New Roman"/>
          <w:sz w:val="30"/>
          <w:szCs w:val="30"/>
          <w:lang w:val="es-ES"/>
        </w:rPr>
        <w:t>ormados en efectivo en determinado periodo de tiempo sin pérdida significativa de su valor, en relación con sus obligaciones y contingentes, ponderados conforme lo determine la Junta.</w:t>
      </w:r>
      <w:r>
        <w:rPr>
          <w:rFonts w:eastAsia="Times New Roman"/>
          <w:sz w:val="30"/>
          <w:szCs w:val="30"/>
          <w:lang w:val="es-ES"/>
        </w:rPr>
        <w:br/>
      </w:r>
      <w:r>
        <w:rPr>
          <w:rFonts w:eastAsia="Times New Roman"/>
          <w:sz w:val="30"/>
          <w:szCs w:val="30"/>
          <w:lang w:val="es-ES"/>
        </w:rPr>
        <w:br/>
        <w:t>Los niveles y administración de liquidez serán determinados por la Junt</w:t>
      </w:r>
      <w:r>
        <w:rPr>
          <w:rFonts w:eastAsia="Times New Roman"/>
          <w:sz w:val="30"/>
          <w:szCs w:val="30"/>
          <w:lang w:val="es-ES"/>
        </w:rPr>
        <w:t>a de Política y Regulación Monetaria y Financiera y serán medidos utilizando, al menos, los siguientes parámetros prudenciales:</w:t>
      </w:r>
      <w:r>
        <w:rPr>
          <w:rFonts w:eastAsia="Times New Roman"/>
          <w:sz w:val="30"/>
          <w:szCs w:val="30"/>
          <w:lang w:val="es-ES"/>
        </w:rPr>
        <w:br/>
      </w:r>
      <w:r>
        <w:rPr>
          <w:rFonts w:eastAsia="Times New Roman"/>
          <w:sz w:val="30"/>
          <w:szCs w:val="30"/>
          <w:lang w:val="es-ES"/>
        </w:rPr>
        <w:br/>
        <w:t>1. Liquidez inmediata;</w:t>
      </w:r>
      <w:r>
        <w:rPr>
          <w:rFonts w:eastAsia="Times New Roman"/>
          <w:sz w:val="30"/>
          <w:szCs w:val="30"/>
          <w:lang w:val="es-ES"/>
        </w:rPr>
        <w:br/>
      </w:r>
      <w:r>
        <w:rPr>
          <w:rFonts w:eastAsia="Times New Roman"/>
          <w:sz w:val="30"/>
          <w:szCs w:val="30"/>
          <w:lang w:val="es-ES"/>
        </w:rPr>
        <w:br/>
        <w:t>2. Liquidez estructural;</w:t>
      </w:r>
      <w:r>
        <w:rPr>
          <w:rFonts w:eastAsia="Times New Roman"/>
          <w:sz w:val="30"/>
          <w:szCs w:val="30"/>
          <w:lang w:val="es-ES"/>
        </w:rPr>
        <w:br/>
      </w:r>
      <w:r>
        <w:rPr>
          <w:rFonts w:eastAsia="Times New Roman"/>
          <w:sz w:val="30"/>
          <w:szCs w:val="30"/>
          <w:lang w:val="es-ES"/>
        </w:rPr>
        <w:br/>
        <w:t>3. Reservas de liquidez;</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Liquidez doméstica; y,</w:t>
      </w:r>
      <w:r>
        <w:rPr>
          <w:rFonts w:eastAsia="Times New Roman"/>
          <w:sz w:val="30"/>
          <w:szCs w:val="30"/>
          <w:lang w:val="es-ES"/>
        </w:rPr>
        <w:br/>
      </w:r>
      <w:r>
        <w:rPr>
          <w:rFonts w:eastAsia="Times New Roman"/>
          <w:sz w:val="30"/>
          <w:szCs w:val="30"/>
          <w:lang w:val="es-ES"/>
        </w:rPr>
        <w:br/>
        <w:t>5. Brechas de liquidez.</w:t>
      </w:r>
    </w:p>
    <w:p w:rsidR="00000000" w:rsidRDefault="0018461E">
      <w:pPr>
        <w:divId w:val="1533423040"/>
        <w:rPr>
          <w:rFonts w:eastAsia="Times New Roman"/>
          <w:sz w:val="30"/>
          <w:szCs w:val="30"/>
          <w:lang w:val="es-ES"/>
        </w:rPr>
      </w:pPr>
      <w:r>
        <w:rPr>
          <w:rFonts w:eastAsia="Times New Roman"/>
          <w:sz w:val="30"/>
          <w:szCs w:val="30"/>
          <w:lang w:val="es-ES"/>
        </w:rPr>
        <w:t xml:space="preserve">Art. 190.- </w:t>
      </w:r>
      <w:r>
        <w:rPr>
          <w:rFonts w:eastAsia="Times New Roman"/>
          <w:b/>
          <w:bCs/>
          <w:sz w:val="30"/>
          <w:szCs w:val="30"/>
          <w:lang w:val="es-ES"/>
        </w:rPr>
        <w:t xml:space="preserve">Solvencia y patrimonio técnico. </w:t>
      </w:r>
      <w:r>
        <w:rPr>
          <w:rFonts w:eastAsia="Times New Roman"/>
          <w:sz w:val="30"/>
          <w:szCs w:val="30"/>
          <w:lang w:val="es-ES"/>
        </w:rPr>
        <w:t>Las entidades del sistema financiero nacional deberán mantener la suficiencia patrimonial para respaldar las operaciones actuales y futuras de la entidad, para cubrir las pérdidas no protegidas por las provisiones</w:t>
      </w:r>
      <w:r>
        <w:rPr>
          <w:rFonts w:eastAsia="Times New Roman"/>
          <w:sz w:val="30"/>
          <w:szCs w:val="30"/>
          <w:lang w:val="es-ES"/>
        </w:rPr>
        <w:t xml:space="preserve"> de los activos de riesgo y para apuntalar el adecuado desempeño macroeconómico.</w:t>
      </w:r>
      <w:r>
        <w:rPr>
          <w:rFonts w:eastAsia="Times New Roman"/>
          <w:sz w:val="30"/>
          <w:szCs w:val="30"/>
          <w:lang w:val="es-ES"/>
        </w:rPr>
        <w:br/>
      </w:r>
      <w:r>
        <w:rPr>
          <w:rFonts w:eastAsia="Times New Roman"/>
          <w:sz w:val="30"/>
          <w:szCs w:val="30"/>
          <w:lang w:val="es-ES"/>
        </w:rPr>
        <w:br/>
        <w:t>Las entidades de los sectores financieros público y privado nacionales, de forma individual, y los grupos financieros, sobre la base de los estados financieros consolidados y</w:t>
      </w:r>
      <w:r>
        <w:rPr>
          <w:rFonts w:eastAsia="Times New Roman"/>
          <w:sz w:val="30"/>
          <w:szCs w:val="30"/>
          <w:lang w:val="es-ES"/>
        </w:rPr>
        <w:t>/o combinados, están obligados a mantener en todo tiempo una relación entre su patrimonio técnico y la suma ponderada por riesgo de sus activos y contingentes no inferior al 9%.</w:t>
      </w:r>
      <w:r>
        <w:rPr>
          <w:rFonts w:eastAsia="Times New Roman"/>
          <w:sz w:val="30"/>
          <w:szCs w:val="30"/>
          <w:lang w:val="es-ES"/>
        </w:rPr>
        <w:br/>
      </w:r>
      <w:r>
        <w:rPr>
          <w:rFonts w:eastAsia="Times New Roman"/>
          <w:sz w:val="30"/>
          <w:szCs w:val="30"/>
          <w:lang w:val="es-ES"/>
        </w:rPr>
        <w:br/>
        <w:t>Las entidades del sector financiero popular y solidario del segmento 1, de fo</w:t>
      </w:r>
      <w:r>
        <w:rPr>
          <w:rFonts w:eastAsia="Times New Roman"/>
          <w:sz w:val="30"/>
          <w:szCs w:val="30"/>
          <w:lang w:val="es-ES"/>
        </w:rPr>
        <w:t xml:space="preserve">rma individual, y los grupos populares y solidarios, sobre la base de los estados financieros consolidados y/o combinados, deberán mantener en todo tiempo la relación entre su patrimonio técnico y la suma ponderada por riesgo de sus activos y contingentes </w:t>
      </w:r>
      <w:r>
        <w:rPr>
          <w:rFonts w:eastAsia="Times New Roman"/>
          <w:sz w:val="30"/>
          <w:szCs w:val="30"/>
          <w:lang w:val="es-ES"/>
        </w:rPr>
        <w:t>no inferior al 9%. La Junta regulará los porcentajes de patrimonio técnico aplicables al resto de segmentos del sector financiero popular y solidario.</w:t>
      </w:r>
      <w:r>
        <w:rPr>
          <w:rFonts w:eastAsia="Times New Roman"/>
          <w:sz w:val="30"/>
          <w:szCs w:val="30"/>
          <w:lang w:val="es-ES"/>
        </w:rPr>
        <w:br/>
      </w:r>
      <w:r>
        <w:rPr>
          <w:rFonts w:eastAsia="Times New Roman"/>
          <w:sz w:val="30"/>
          <w:szCs w:val="30"/>
          <w:lang w:val="es-ES"/>
        </w:rPr>
        <w:br/>
        <w:t>El patrimonio técnico total de las entidades financieras deberá cubrir como mínimo la suma de los requer</w:t>
      </w:r>
      <w:r>
        <w:rPr>
          <w:rFonts w:eastAsia="Times New Roman"/>
          <w:sz w:val="30"/>
          <w:szCs w:val="30"/>
          <w:lang w:val="es-ES"/>
        </w:rPr>
        <w:t>imientos de capital por riesgo de crédito, riesgo de mercado, riesgo operacional y otros en que incurran en la ejecución de actividades financieras de acuerdo con las regulaciones que emita la Junta.</w:t>
      </w:r>
      <w:r>
        <w:rPr>
          <w:rFonts w:eastAsia="Times New Roman"/>
          <w:sz w:val="30"/>
          <w:szCs w:val="30"/>
          <w:lang w:val="es-ES"/>
        </w:rPr>
        <w:br/>
      </w:r>
      <w:r>
        <w:rPr>
          <w:rFonts w:eastAsia="Times New Roman"/>
          <w:sz w:val="30"/>
          <w:szCs w:val="30"/>
          <w:lang w:val="es-ES"/>
        </w:rPr>
        <w:br/>
        <w:t>La relación entre el patrimonio técnico y los activos t</w:t>
      </w:r>
      <w:r>
        <w:rPr>
          <w:rFonts w:eastAsia="Times New Roman"/>
          <w:sz w:val="30"/>
          <w:szCs w:val="30"/>
          <w:lang w:val="es-ES"/>
        </w:rPr>
        <w:t>otales y contingentes de las entidades de los sectores financieros público, privado y popular y solidario del segmento 1, no podrá ser inferior al 4%.</w:t>
      </w:r>
      <w:r>
        <w:rPr>
          <w:rFonts w:eastAsia="Times New Roman"/>
          <w:sz w:val="30"/>
          <w:szCs w:val="30"/>
          <w:lang w:val="es-ES"/>
        </w:rPr>
        <w:br/>
      </w:r>
      <w:r>
        <w:rPr>
          <w:rFonts w:eastAsia="Times New Roman"/>
          <w:sz w:val="30"/>
          <w:szCs w:val="30"/>
          <w:lang w:val="es-ES"/>
        </w:rPr>
        <w:br/>
        <w:t>La Junta regulará los porcentajes aplicables al resto de segmentos del sector financiero popular y solid</w:t>
      </w:r>
      <w:r>
        <w:rPr>
          <w:rFonts w:eastAsia="Times New Roman"/>
          <w:sz w:val="30"/>
          <w:szCs w:val="30"/>
          <w:lang w:val="es-ES"/>
        </w:rPr>
        <w:t>ario.</w:t>
      </w:r>
      <w:r>
        <w:rPr>
          <w:rFonts w:eastAsia="Times New Roman"/>
          <w:sz w:val="30"/>
          <w:szCs w:val="30"/>
          <w:lang w:val="es-ES"/>
        </w:rPr>
        <w:br/>
      </w:r>
      <w:r>
        <w:rPr>
          <w:rFonts w:eastAsia="Times New Roman"/>
          <w:sz w:val="30"/>
          <w:szCs w:val="30"/>
          <w:lang w:val="es-ES"/>
        </w:rPr>
        <w:br/>
        <w:t>La Junta podrá fijar porcentajes de solvencia por sobre los mínimos dispuestos en este artículo.</w:t>
      </w:r>
    </w:p>
    <w:p w:rsidR="00000000" w:rsidRDefault="0018461E">
      <w:pPr>
        <w:divId w:val="1142894344"/>
        <w:rPr>
          <w:rFonts w:eastAsia="Times New Roman"/>
          <w:sz w:val="30"/>
          <w:szCs w:val="30"/>
          <w:lang w:val="es-ES"/>
        </w:rPr>
      </w:pPr>
      <w:r>
        <w:rPr>
          <w:rFonts w:eastAsia="Times New Roman"/>
          <w:sz w:val="30"/>
          <w:szCs w:val="30"/>
          <w:lang w:val="es-ES"/>
        </w:rPr>
        <w:lastRenderedPageBreak/>
        <w:t xml:space="preserve">Art. 191.- </w:t>
      </w:r>
      <w:r>
        <w:rPr>
          <w:rFonts w:eastAsia="Times New Roman"/>
          <w:b/>
          <w:bCs/>
          <w:sz w:val="30"/>
          <w:szCs w:val="30"/>
          <w:lang w:val="es-ES"/>
        </w:rPr>
        <w:t xml:space="preserve">Composición del patrimonio técnico. </w:t>
      </w:r>
      <w:r>
        <w:rPr>
          <w:rFonts w:eastAsia="Times New Roman"/>
          <w:sz w:val="30"/>
          <w:szCs w:val="30"/>
          <w:lang w:val="es-ES"/>
        </w:rPr>
        <w:t>El patrimonio técnico estará constituido, entre otros, por:</w:t>
      </w:r>
      <w:r>
        <w:rPr>
          <w:rFonts w:eastAsia="Times New Roman"/>
          <w:sz w:val="30"/>
          <w:szCs w:val="30"/>
          <w:lang w:val="es-ES"/>
        </w:rPr>
        <w:br/>
      </w:r>
      <w:r>
        <w:rPr>
          <w:rFonts w:eastAsia="Times New Roman"/>
          <w:sz w:val="30"/>
          <w:szCs w:val="30"/>
          <w:lang w:val="es-ES"/>
        </w:rPr>
        <w:br/>
        <w:t>1. La suma del capital suscrito y pagado;</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Reservas;</w:t>
      </w:r>
      <w:r>
        <w:rPr>
          <w:rFonts w:eastAsia="Times New Roman"/>
          <w:sz w:val="30"/>
          <w:szCs w:val="30"/>
          <w:lang w:val="es-ES"/>
        </w:rPr>
        <w:br/>
      </w:r>
      <w:r>
        <w:rPr>
          <w:rFonts w:eastAsia="Times New Roman"/>
          <w:sz w:val="30"/>
          <w:szCs w:val="30"/>
          <w:lang w:val="es-ES"/>
        </w:rPr>
        <w:br/>
        <w:t>3. El total de las utilidades o excedentes del ejercicio corriente una vez cumplidas las obligaciones laborales y tributarias;</w:t>
      </w:r>
      <w:r>
        <w:rPr>
          <w:rFonts w:eastAsia="Times New Roman"/>
          <w:sz w:val="30"/>
          <w:szCs w:val="30"/>
          <w:lang w:val="es-ES"/>
        </w:rPr>
        <w:br/>
      </w:r>
      <w:r>
        <w:rPr>
          <w:rFonts w:eastAsia="Times New Roman"/>
          <w:sz w:val="30"/>
          <w:szCs w:val="30"/>
          <w:lang w:val="es-ES"/>
        </w:rPr>
        <w:br/>
        <w:t>4. El fondo irrepartible de reserva legal;</w:t>
      </w:r>
      <w:r>
        <w:rPr>
          <w:rFonts w:eastAsia="Times New Roman"/>
          <w:sz w:val="30"/>
          <w:szCs w:val="30"/>
          <w:lang w:val="es-ES"/>
        </w:rPr>
        <w:br/>
      </w:r>
      <w:r>
        <w:rPr>
          <w:rFonts w:eastAsia="Times New Roman"/>
          <w:sz w:val="30"/>
          <w:szCs w:val="30"/>
          <w:lang w:val="es-ES"/>
        </w:rPr>
        <w:br/>
        <w:t>5. Las utilidades acumuladas de ejercicios anteriores;</w:t>
      </w:r>
      <w:r>
        <w:rPr>
          <w:rFonts w:eastAsia="Times New Roman"/>
          <w:sz w:val="30"/>
          <w:szCs w:val="30"/>
          <w:lang w:val="es-ES"/>
        </w:rPr>
        <w:br/>
      </w:r>
      <w:r>
        <w:rPr>
          <w:rFonts w:eastAsia="Times New Roman"/>
          <w:sz w:val="30"/>
          <w:szCs w:val="30"/>
          <w:lang w:val="es-ES"/>
        </w:rPr>
        <w:br/>
        <w:t>6. Aportes a fu</w:t>
      </w:r>
      <w:r>
        <w:rPr>
          <w:rFonts w:eastAsia="Times New Roman"/>
          <w:sz w:val="30"/>
          <w:szCs w:val="30"/>
          <w:lang w:val="es-ES"/>
        </w:rPr>
        <w:t>turas capitalizaciones; y,</w:t>
      </w:r>
      <w:r>
        <w:rPr>
          <w:rFonts w:eastAsia="Times New Roman"/>
          <w:sz w:val="30"/>
          <w:szCs w:val="30"/>
          <w:lang w:val="es-ES"/>
        </w:rPr>
        <w:br/>
      </w:r>
      <w:r>
        <w:rPr>
          <w:rFonts w:eastAsia="Times New Roman"/>
          <w:sz w:val="30"/>
          <w:szCs w:val="30"/>
          <w:lang w:val="es-ES"/>
        </w:rPr>
        <w:br/>
        <w:t>7. Obligaciones convertibles sin garantía específica, de acuerdo con las regulaciones que expida la Junta.</w:t>
      </w:r>
      <w:r>
        <w:rPr>
          <w:rFonts w:eastAsia="Times New Roman"/>
          <w:sz w:val="30"/>
          <w:szCs w:val="30"/>
          <w:lang w:val="es-ES"/>
        </w:rPr>
        <w:br/>
      </w:r>
      <w:r>
        <w:rPr>
          <w:rFonts w:eastAsia="Times New Roman"/>
          <w:sz w:val="30"/>
          <w:szCs w:val="30"/>
          <w:lang w:val="es-ES"/>
        </w:rPr>
        <w:br/>
        <w:t>Del patrimonio técnico constituido se deducirá lo siguiente:</w:t>
      </w:r>
      <w:r>
        <w:rPr>
          <w:rFonts w:eastAsia="Times New Roman"/>
          <w:sz w:val="30"/>
          <w:szCs w:val="30"/>
          <w:lang w:val="es-ES"/>
        </w:rPr>
        <w:br/>
      </w:r>
      <w:r>
        <w:rPr>
          <w:rFonts w:eastAsia="Times New Roman"/>
          <w:sz w:val="30"/>
          <w:szCs w:val="30"/>
          <w:lang w:val="es-ES"/>
        </w:rPr>
        <w:br/>
        <w:t>1. La deficiencia de provisiones, amortizaciones y depreci</w:t>
      </w:r>
      <w:r>
        <w:rPr>
          <w:rFonts w:eastAsia="Times New Roman"/>
          <w:sz w:val="30"/>
          <w:szCs w:val="30"/>
          <w:lang w:val="es-ES"/>
        </w:rPr>
        <w:t>aciones requeridas; y,</w:t>
      </w:r>
      <w:r>
        <w:rPr>
          <w:rFonts w:eastAsia="Times New Roman"/>
          <w:sz w:val="30"/>
          <w:szCs w:val="30"/>
          <w:lang w:val="es-ES"/>
        </w:rPr>
        <w:br/>
      </w:r>
      <w:r>
        <w:rPr>
          <w:rFonts w:eastAsia="Times New Roman"/>
          <w:sz w:val="30"/>
          <w:szCs w:val="30"/>
          <w:lang w:val="es-ES"/>
        </w:rPr>
        <w:br/>
        <w:t>2. Desmedros de otras partidas que la entidad financiera no haya reconocido como pérdidas.</w:t>
      </w:r>
      <w:r>
        <w:rPr>
          <w:rFonts w:eastAsia="Times New Roman"/>
          <w:sz w:val="30"/>
          <w:szCs w:val="30"/>
          <w:lang w:val="es-ES"/>
        </w:rPr>
        <w:br/>
      </w:r>
      <w:r>
        <w:rPr>
          <w:rFonts w:eastAsia="Times New Roman"/>
          <w:sz w:val="30"/>
          <w:szCs w:val="30"/>
          <w:lang w:val="es-ES"/>
        </w:rPr>
        <w:br/>
        <w:t>El patrimonio técnico se subdivide en patrimonio técnico primario y patrimonio técnico secundario.</w:t>
      </w:r>
      <w:r>
        <w:rPr>
          <w:rFonts w:eastAsia="Times New Roman"/>
          <w:sz w:val="30"/>
          <w:szCs w:val="30"/>
          <w:lang w:val="es-ES"/>
        </w:rPr>
        <w:br/>
      </w:r>
      <w:r>
        <w:rPr>
          <w:rFonts w:eastAsia="Times New Roman"/>
          <w:sz w:val="30"/>
          <w:szCs w:val="30"/>
          <w:lang w:val="es-ES"/>
        </w:rPr>
        <w:br/>
        <w:t xml:space="preserve">El patrimonio técnico primario es aquel </w:t>
      </w:r>
      <w:r>
        <w:rPr>
          <w:rFonts w:eastAsia="Times New Roman"/>
          <w:sz w:val="30"/>
          <w:szCs w:val="30"/>
          <w:lang w:val="es-ES"/>
        </w:rPr>
        <w:t>constituido por cuentas patrimoniales líquidas, permanentes y de valor cierto. El patrimonio técnico secundario está constituido por el resto de las cuentas patrimoniales.</w:t>
      </w:r>
      <w:r>
        <w:rPr>
          <w:rFonts w:eastAsia="Times New Roman"/>
          <w:sz w:val="30"/>
          <w:szCs w:val="30"/>
          <w:lang w:val="es-ES"/>
        </w:rPr>
        <w:br/>
      </w:r>
      <w:r>
        <w:rPr>
          <w:rFonts w:eastAsia="Times New Roman"/>
          <w:sz w:val="30"/>
          <w:szCs w:val="30"/>
          <w:lang w:val="es-ES"/>
        </w:rPr>
        <w:br/>
        <w:t xml:space="preserve">El total del patrimonio técnico secundario estará limitado en su monto a un máximo </w:t>
      </w:r>
      <w:r>
        <w:rPr>
          <w:rFonts w:eastAsia="Times New Roman"/>
          <w:sz w:val="30"/>
          <w:szCs w:val="30"/>
          <w:lang w:val="es-ES"/>
        </w:rPr>
        <w:t>del 100% del total del patrimonio técnico primario.</w:t>
      </w:r>
      <w:r>
        <w:rPr>
          <w:rFonts w:eastAsia="Times New Roman"/>
          <w:sz w:val="30"/>
          <w:szCs w:val="30"/>
          <w:lang w:val="es-ES"/>
        </w:rPr>
        <w:br/>
      </w:r>
      <w:r>
        <w:rPr>
          <w:rFonts w:eastAsia="Times New Roman"/>
          <w:sz w:val="30"/>
          <w:szCs w:val="30"/>
          <w:lang w:val="es-ES"/>
        </w:rPr>
        <w:br/>
        <w:t xml:space="preserve">La Junta de Política y Regulación Monetaria y Financiera, mediante normas, determinará la clasificación de las cuentas que componen el </w:t>
      </w:r>
      <w:r>
        <w:rPr>
          <w:rFonts w:eastAsia="Times New Roman"/>
          <w:sz w:val="30"/>
          <w:szCs w:val="30"/>
          <w:lang w:val="es-ES"/>
        </w:rPr>
        <w:lastRenderedPageBreak/>
        <w:t>patrimonio técnico primario y secundario y establecerá las condicion</w:t>
      </w:r>
      <w:r>
        <w:rPr>
          <w:rFonts w:eastAsia="Times New Roman"/>
          <w:sz w:val="30"/>
          <w:szCs w:val="30"/>
          <w:lang w:val="es-ES"/>
        </w:rPr>
        <w:t>es para la inclusión, exclusión y deducción de una o varias partidas patrimoniales, delimitando el conjunto de relaciones que deben mantenerse entre ellas con el fin de salvaguardar la solvencia, la sostenibilidad y la protección de los recursos del públic</w:t>
      </w:r>
      <w:r>
        <w:rPr>
          <w:rFonts w:eastAsia="Times New Roman"/>
          <w:sz w:val="30"/>
          <w:szCs w:val="30"/>
          <w:lang w:val="es-ES"/>
        </w:rPr>
        <w:t>o.</w:t>
      </w:r>
    </w:p>
    <w:p w:rsidR="00000000" w:rsidRDefault="0018461E">
      <w:pPr>
        <w:divId w:val="1798064961"/>
        <w:rPr>
          <w:rFonts w:eastAsia="Times New Roman"/>
          <w:sz w:val="30"/>
          <w:szCs w:val="30"/>
          <w:lang w:val="es-ES"/>
        </w:rPr>
      </w:pPr>
      <w:r>
        <w:rPr>
          <w:rFonts w:eastAsia="Times New Roman"/>
          <w:sz w:val="30"/>
          <w:szCs w:val="30"/>
          <w:lang w:val="es-ES"/>
        </w:rPr>
        <w:t xml:space="preserve">Art. 192.- </w:t>
      </w:r>
      <w:r>
        <w:rPr>
          <w:rFonts w:eastAsia="Times New Roman"/>
          <w:b/>
          <w:bCs/>
          <w:sz w:val="30"/>
          <w:szCs w:val="30"/>
          <w:lang w:val="es-ES"/>
        </w:rPr>
        <w:t xml:space="preserve">Deficiencia patrimonial. </w:t>
      </w:r>
      <w:r>
        <w:rPr>
          <w:rFonts w:eastAsia="Times New Roman"/>
          <w:sz w:val="30"/>
          <w:szCs w:val="30"/>
          <w:lang w:val="es-ES"/>
        </w:rPr>
        <w:t xml:space="preserve">Las deficiencias de patrimonio técnico que presenten las entidades del sistema financiero nacional, sin perjuicio de las sanciones que correspondan, podrán ser solventadas dentro del programa de supervisión intensiva </w:t>
      </w:r>
      <w:r>
        <w:rPr>
          <w:rFonts w:eastAsia="Times New Roman"/>
          <w:sz w:val="30"/>
          <w:szCs w:val="30"/>
          <w:lang w:val="es-ES"/>
        </w:rPr>
        <w:t>al que se refiere este Código, con aumentos de capital suscrito y pagado y/o préstamos subordinados, que deberán ejecutarse en un plazo no mayor a noventa días. Dichas deficiencias también se podrán cubrir con obligaciones convertibles en acciones, siempre</w:t>
      </w:r>
      <w:r>
        <w:rPr>
          <w:rFonts w:eastAsia="Times New Roman"/>
          <w:sz w:val="30"/>
          <w:szCs w:val="30"/>
          <w:lang w:val="es-ES"/>
        </w:rPr>
        <w:t xml:space="preserve"> que mantengan garantía general, su plazo de vencimiento sea superior a cinco años y sean adquiridas exclusivamente en moneda.</w:t>
      </w:r>
      <w:r>
        <w:rPr>
          <w:rFonts w:eastAsia="Times New Roman"/>
          <w:sz w:val="30"/>
          <w:szCs w:val="30"/>
          <w:lang w:val="es-ES"/>
        </w:rPr>
        <w:br/>
      </w:r>
      <w:r>
        <w:rPr>
          <w:rFonts w:eastAsia="Times New Roman"/>
          <w:sz w:val="30"/>
          <w:szCs w:val="30"/>
          <w:lang w:val="es-ES"/>
        </w:rPr>
        <w:br/>
        <w:t>En el caso de aumentos de capital suscrito y pagado por nuevos accionistas, estos deberán ser calificados previamente por el org</w:t>
      </w:r>
      <w:r>
        <w:rPr>
          <w:rFonts w:eastAsia="Times New Roman"/>
          <w:sz w:val="30"/>
          <w:szCs w:val="30"/>
          <w:lang w:val="es-ES"/>
        </w:rPr>
        <w:t>anismo de control que corresponda.</w:t>
      </w:r>
      <w:r>
        <w:rPr>
          <w:rFonts w:eastAsia="Times New Roman"/>
          <w:sz w:val="30"/>
          <w:szCs w:val="30"/>
          <w:lang w:val="es-ES"/>
        </w:rPr>
        <w:br/>
      </w:r>
      <w:r>
        <w:rPr>
          <w:rFonts w:eastAsia="Times New Roman"/>
          <w:sz w:val="30"/>
          <w:szCs w:val="30"/>
          <w:lang w:val="es-ES"/>
        </w:rPr>
        <w:br/>
        <w:t>Si la entidad financiera no cubre la deficiencia patrimonial dentro del plazo señalado, las superintendencias dispondrán que los accionistas mayoritarios o socios de la entidad financiera constituyan una garantía incondi</w:t>
      </w:r>
      <w:r>
        <w:rPr>
          <w:rFonts w:eastAsia="Times New Roman"/>
          <w:sz w:val="30"/>
          <w:szCs w:val="30"/>
          <w:lang w:val="es-ES"/>
        </w:rPr>
        <w:t>cional, irrevocable y de cobro inmediato, en favor de la Corporación del Seguro de Depósitos, Fondo de Liquidez y Fondo de Seguros Privados, de por lo menos el equivalente al 140% de la deficiencia. Esta garantía deberá estar vigente mientras se mantenga l</w:t>
      </w:r>
      <w:r>
        <w:rPr>
          <w:rFonts w:eastAsia="Times New Roman"/>
          <w:sz w:val="30"/>
          <w:szCs w:val="30"/>
          <w:lang w:val="es-ES"/>
        </w:rPr>
        <w:t>a deficiencia patrimonial y se ejecutará en caso de incumplimiento del programa de supervisión intensiva. No constituir la garantía o no mantenerla vigente mientras exista la deficiencia patrimonial será causal de liquidación forzosa.</w:t>
      </w:r>
      <w:r>
        <w:rPr>
          <w:rFonts w:eastAsia="Times New Roman"/>
          <w:sz w:val="30"/>
          <w:szCs w:val="30"/>
          <w:lang w:val="es-ES"/>
        </w:rPr>
        <w:br/>
      </w:r>
      <w:r>
        <w:rPr>
          <w:rFonts w:eastAsia="Times New Roman"/>
          <w:sz w:val="30"/>
          <w:szCs w:val="30"/>
          <w:lang w:val="es-ES"/>
        </w:rPr>
        <w:br/>
        <w:t>Será causal de liqui</w:t>
      </w:r>
      <w:r>
        <w:rPr>
          <w:rFonts w:eastAsia="Times New Roman"/>
          <w:sz w:val="30"/>
          <w:szCs w:val="30"/>
          <w:lang w:val="es-ES"/>
        </w:rPr>
        <w:t xml:space="preserve">dación forzosa para una entidad financiera mantener una relación del patrimonio técnico constituido frente a los activos y contingentes ponderados por riesgo, inferior al 9% por más de doscientos setenta días adicionales a los noventa días señalados en el </w:t>
      </w:r>
      <w:r>
        <w:rPr>
          <w:rFonts w:eastAsia="Times New Roman"/>
          <w:sz w:val="30"/>
          <w:szCs w:val="30"/>
          <w:lang w:val="es-ES"/>
        </w:rPr>
        <w:t>primer inciso de este artículo.</w:t>
      </w:r>
      <w:r>
        <w:rPr>
          <w:rFonts w:eastAsia="Times New Roman"/>
          <w:sz w:val="30"/>
          <w:szCs w:val="30"/>
          <w:lang w:val="es-ES"/>
        </w:rPr>
        <w:br/>
      </w:r>
      <w:r>
        <w:rPr>
          <w:rFonts w:eastAsia="Times New Roman"/>
          <w:sz w:val="30"/>
          <w:szCs w:val="30"/>
          <w:lang w:val="es-ES"/>
        </w:rPr>
        <w:br/>
        <w:t xml:space="preserve">Valores patrimoniales inferiores al 50% de los niveles establecidos </w:t>
      </w:r>
      <w:r>
        <w:rPr>
          <w:rFonts w:eastAsia="Times New Roman"/>
          <w:sz w:val="30"/>
          <w:szCs w:val="30"/>
          <w:lang w:val="es-ES"/>
        </w:rPr>
        <w:lastRenderedPageBreak/>
        <w:t>como requisitos patrimoniales será causal de liquidación forzosa de la entidad financiera.</w:t>
      </w:r>
    </w:p>
    <w:p w:rsidR="00000000" w:rsidRDefault="0018461E">
      <w:pPr>
        <w:divId w:val="194781717"/>
        <w:rPr>
          <w:rFonts w:eastAsia="Times New Roman"/>
          <w:sz w:val="30"/>
          <w:szCs w:val="30"/>
          <w:lang w:val="es-ES"/>
        </w:rPr>
      </w:pPr>
      <w:r>
        <w:rPr>
          <w:rFonts w:eastAsia="Times New Roman"/>
          <w:sz w:val="30"/>
          <w:szCs w:val="30"/>
          <w:lang w:val="es-ES"/>
        </w:rPr>
        <w:t xml:space="preserve">Art. 193.- </w:t>
      </w:r>
      <w:r>
        <w:rPr>
          <w:rFonts w:eastAsia="Times New Roman"/>
          <w:b/>
          <w:bCs/>
          <w:sz w:val="30"/>
          <w:szCs w:val="30"/>
          <w:lang w:val="es-ES"/>
        </w:rPr>
        <w:t xml:space="preserve">Solvencia en entidades en el extranjero. </w:t>
      </w:r>
      <w:r>
        <w:rPr>
          <w:rFonts w:eastAsia="Times New Roman"/>
          <w:sz w:val="30"/>
          <w:szCs w:val="30"/>
          <w:lang w:val="es-ES"/>
        </w:rPr>
        <w:t>La solvencia</w:t>
      </w:r>
      <w:r>
        <w:rPr>
          <w:rFonts w:eastAsia="Times New Roman"/>
          <w:sz w:val="30"/>
          <w:szCs w:val="30"/>
          <w:lang w:val="es-ES"/>
        </w:rPr>
        <w:t xml:space="preserve"> de las entidades financieras extranjeras en las que exista participación accionarial de una entidad financiera ecuatoriana por más del 20% del capital será la determinada por los países en donde se encuentren, pero en ningún caso podrá ser inferior al 9% </w:t>
      </w:r>
      <w:r>
        <w:rPr>
          <w:rFonts w:eastAsia="Times New Roman"/>
          <w:sz w:val="30"/>
          <w:szCs w:val="30"/>
          <w:lang w:val="es-ES"/>
        </w:rPr>
        <w:t>de la relación entre el patrimonio técnico y los activos ponderados por riesgo, calculada con la metodología de cómputo aplicada para los grupos financieros en el Ecuador, o inferior al mínimo que determine la Junta, el mayor de los dos.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 LAS</w:t>
      </w:r>
      <w:r>
        <w:rPr>
          <w:rFonts w:eastAsia="Times New Roman"/>
          <w:b/>
          <w:bCs/>
          <w:sz w:val="36"/>
          <w:szCs w:val="36"/>
          <w:lang w:val="es-ES"/>
        </w:rPr>
        <w:t xml:space="preserve"> OPERACIONES</w:t>
      </w:r>
    </w:p>
    <w:p w:rsidR="00000000" w:rsidRDefault="0018461E">
      <w:pPr>
        <w:divId w:val="456339106"/>
        <w:rPr>
          <w:rFonts w:eastAsia="Times New Roman"/>
          <w:sz w:val="30"/>
          <w:szCs w:val="30"/>
          <w:lang w:val="es-ES"/>
        </w:rPr>
      </w:pPr>
      <w:r>
        <w:rPr>
          <w:rFonts w:eastAsia="Times New Roman"/>
          <w:sz w:val="30"/>
          <w:szCs w:val="30"/>
          <w:lang w:val="es-ES"/>
        </w:rPr>
        <w:t xml:space="preserve">Art. 194.- </w:t>
      </w:r>
      <w:r>
        <w:rPr>
          <w:rFonts w:eastAsia="Times New Roman"/>
          <w:b/>
          <w:bCs/>
          <w:sz w:val="30"/>
          <w:szCs w:val="30"/>
          <w:lang w:val="es-ES"/>
        </w:rPr>
        <w:t xml:space="preserve">Operaciones. </w:t>
      </w:r>
      <w:r>
        <w:rPr>
          <w:rFonts w:eastAsia="Times New Roman"/>
          <w:sz w:val="30"/>
          <w:szCs w:val="30"/>
          <w:lang w:val="es-ES"/>
        </w:rPr>
        <w:t>Las entidades financieras podrán realizar las siguientes operaciones, de conformidad con la autorización que le otorgue el respectivo organismo de control:</w:t>
      </w:r>
      <w:r>
        <w:rPr>
          <w:rFonts w:eastAsia="Times New Roman"/>
          <w:sz w:val="30"/>
          <w:szCs w:val="30"/>
          <w:lang w:val="es-ES"/>
        </w:rPr>
        <w:br/>
      </w:r>
      <w:r>
        <w:rPr>
          <w:rFonts w:eastAsia="Times New Roman"/>
          <w:sz w:val="30"/>
          <w:szCs w:val="30"/>
          <w:lang w:val="es-ES"/>
        </w:rPr>
        <w:br/>
        <w:t>1. Sector financiero público y privado:</w:t>
      </w:r>
      <w:r>
        <w:rPr>
          <w:rFonts w:eastAsia="Times New Roman"/>
          <w:sz w:val="30"/>
          <w:szCs w:val="30"/>
          <w:lang w:val="es-ES"/>
        </w:rPr>
        <w:br/>
      </w:r>
      <w:r>
        <w:rPr>
          <w:rFonts w:eastAsia="Times New Roman"/>
          <w:sz w:val="30"/>
          <w:szCs w:val="30"/>
          <w:lang w:val="es-ES"/>
        </w:rPr>
        <w:br/>
        <w:t>a. Operaciones activa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 Otorgar préstamos hipotecarios y prendarios, con o sin emisión de títulos, así como préstamos quirografarios y cualquier otra modalidad de préstamos que autorice la Junta;</w:t>
      </w:r>
      <w:r>
        <w:rPr>
          <w:rFonts w:eastAsia="Times New Roman"/>
          <w:sz w:val="30"/>
          <w:szCs w:val="30"/>
          <w:lang w:val="es-ES"/>
        </w:rPr>
        <w:br/>
      </w:r>
      <w:r>
        <w:rPr>
          <w:rFonts w:eastAsia="Times New Roman"/>
          <w:sz w:val="30"/>
          <w:szCs w:val="30"/>
          <w:lang w:val="es-ES"/>
        </w:rPr>
        <w:br/>
        <w:t>2. Otorgar créditos en cuenta corriente, contratados o no;</w:t>
      </w:r>
      <w:r>
        <w:rPr>
          <w:rFonts w:eastAsia="Times New Roman"/>
          <w:sz w:val="30"/>
          <w:szCs w:val="30"/>
          <w:lang w:val="es-ES"/>
        </w:rPr>
        <w:br/>
      </w:r>
      <w:r>
        <w:rPr>
          <w:rFonts w:eastAsia="Times New Roman"/>
          <w:sz w:val="30"/>
          <w:szCs w:val="30"/>
          <w:lang w:val="es-ES"/>
        </w:rPr>
        <w:br/>
        <w:t>3. Constituir de</w:t>
      </w:r>
      <w:r>
        <w:rPr>
          <w:rFonts w:eastAsia="Times New Roman"/>
          <w:sz w:val="30"/>
          <w:szCs w:val="30"/>
          <w:lang w:val="es-ES"/>
        </w:rPr>
        <w:t>pósitos en entidades financieras del país y del exterior;</w:t>
      </w:r>
      <w:r>
        <w:rPr>
          <w:rFonts w:eastAsia="Times New Roman"/>
          <w:sz w:val="30"/>
          <w:szCs w:val="30"/>
          <w:lang w:val="es-ES"/>
        </w:rPr>
        <w:br/>
      </w:r>
      <w:r>
        <w:rPr>
          <w:rFonts w:eastAsia="Times New Roman"/>
          <w:sz w:val="30"/>
          <w:szCs w:val="30"/>
          <w:lang w:val="es-ES"/>
        </w:rPr>
        <w:br/>
        <w:t>4. Negociar letras de cambio, libranzas, pagarés, facturas y otros documentos que representen obligación de pago creados por ventas a crédito, así como el anticipo de fondos con respaldo de los doc</w:t>
      </w:r>
      <w:r>
        <w:rPr>
          <w:rFonts w:eastAsia="Times New Roman"/>
          <w:sz w:val="30"/>
          <w:szCs w:val="30"/>
          <w:lang w:val="es-ES"/>
        </w:rPr>
        <w:t>umentos referidos;</w:t>
      </w:r>
      <w:r>
        <w:rPr>
          <w:rFonts w:eastAsia="Times New Roman"/>
          <w:sz w:val="30"/>
          <w:szCs w:val="30"/>
          <w:lang w:val="es-ES"/>
        </w:rPr>
        <w:br/>
      </w:r>
      <w:r>
        <w:rPr>
          <w:rFonts w:eastAsia="Times New Roman"/>
          <w:sz w:val="30"/>
          <w:szCs w:val="30"/>
          <w:lang w:val="es-ES"/>
        </w:rPr>
        <w:br/>
        <w:t>5. Negociar documentos resultantes de operaciones de comercio exterior;</w:t>
      </w:r>
      <w:r>
        <w:rPr>
          <w:rFonts w:eastAsia="Times New Roman"/>
          <w:sz w:val="30"/>
          <w:szCs w:val="30"/>
          <w:lang w:val="es-ES"/>
        </w:rPr>
        <w:br/>
      </w:r>
      <w:r>
        <w:rPr>
          <w:rFonts w:eastAsia="Times New Roman"/>
          <w:sz w:val="30"/>
          <w:szCs w:val="30"/>
          <w:lang w:val="es-ES"/>
        </w:rPr>
        <w:br/>
        <w:t xml:space="preserve">6. Negociar títulos valores y descontar letras documentarias sobre el </w:t>
      </w:r>
      <w:r>
        <w:rPr>
          <w:rFonts w:eastAsia="Times New Roman"/>
          <w:sz w:val="30"/>
          <w:szCs w:val="30"/>
          <w:lang w:val="es-ES"/>
        </w:rPr>
        <w:lastRenderedPageBreak/>
        <w:t>exterior o hacer adelantos sobre ellas;</w:t>
      </w:r>
      <w:r>
        <w:rPr>
          <w:rFonts w:eastAsia="Times New Roman"/>
          <w:sz w:val="30"/>
          <w:szCs w:val="30"/>
          <w:lang w:val="es-ES"/>
        </w:rPr>
        <w:br/>
      </w:r>
      <w:r>
        <w:rPr>
          <w:rFonts w:eastAsia="Times New Roman"/>
          <w:sz w:val="30"/>
          <w:szCs w:val="30"/>
          <w:lang w:val="es-ES"/>
        </w:rPr>
        <w:br/>
        <w:t>7. Adquirir, conservar y enajenar, por cuenta propia</w:t>
      </w:r>
      <w:r>
        <w:rPr>
          <w:rFonts w:eastAsia="Times New Roman"/>
          <w:sz w:val="30"/>
          <w:szCs w:val="30"/>
          <w:lang w:val="es-ES"/>
        </w:rPr>
        <w:t xml:space="preserve"> o de terceros, títulos emitidos por el ente rector de las finanzas públicas y por el Banco Central del Ecuador;</w:t>
      </w:r>
      <w:r>
        <w:rPr>
          <w:rFonts w:eastAsia="Times New Roman"/>
          <w:sz w:val="30"/>
          <w:szCs w:val="30"/>
          <w:lang w:val="es-ES"/>
        </w:rPr>
        <w:br/>
      </w:r>
      <w:r>
        <w:rPr>
          <w:rFonts w:eastAsia="Times New Roman"/>
          <w:sz w:val="30"/>
          <w:szCs w:val="30"/>
          <w:lang w:val="es-ES"/>
        </w:rPr>
        <w:br/>
        <w:t>8. Adquirir, conservar o enajenar, por cuenta propia, valores de renta fija, de acuerdo a lo previsto en la Ley de Mercado de Valores, y otros</w:t>
      </w:r>
      <w:r>
        <w:rPr>
          <w:rFonts w:eastAsia="Times New Roman"/>
          <w:sz w:val="30"/>
          <w:szCs w:val="30"/>
          <w:lang w:val="es-ES"/>
        </w:rPr>
        <w:t xml:space="preserve"> títulos de crédito establecidos en el Código de Comercio y otras leyes, así como valores representativos de derechos sobre estos;</w:t>
      </w:r>
      <w:r>
        <w:rPr>
          <w:rFonts w:eastAsia="Times New Roman"/>
          <w:sz w:val="30"/>
          <w:szCs w:val="30"/>
          <w:lang w:val="es-ES"/>
        </w:rPr>
        <w:br/>
      </w:r>
      <w:r>
        <w:rPr>
          <w:rFonts w:eastAsia="Times New Roman"/>
          <w:sz w:val="30"/>
          <w:szCs w:val="30"/>
          <w:lang w:val="es-ES"/>
        </w:rPr>
        <w:br/>
        <w:t>9. Adquirir, conservar o enajenar contratos a término, opciones de compra o venta y futuros; podrán igualmente realizar otra</w:t>
      </w:r>
      <w:r>
        <w:rPr>
          <w:rFonts w:eastAsia="Times New Roman"/>
          <w:sz w:val="30"/>
          <w:szCs w:val="30"/>
          <w:lang w:val="es-ES"/>
        </w:rPr>
        <w:t>s operaciones propias del mercado de dinero, de conformidad con lo establecido en la normativa correspondiente;</w:t>
      </w:r>
      <w:r>
        <w:rPr>
          <w:rFonts w:eastAsia="Times New Roman"/>
          <w:sz w:val="30"/>
          <w:szCs w:val="30"/>
          <w:lang w:val="es-ES"/>
        </w:rPr>
        <w:br/>
      </w:r>
      <w:r>
        <w:rPr>
          <w:rFonts w:eastAsia="Times New Roman"/>
          <w:sz w:val="30"/>
          <w:szCs w:val="30"/>
          <w:lang w:val="es-ES"/>
        </w:rPr>
        <w:br/>
        <w:t>10. Efectuar inversiones en el capital de una entidad de servicios financieros y/o una entidad de servicios auxiliares del sistema financiero p</w:t>
      </w:r>
      <w:r>
        <w:rPr>
          <w:rFonts w:eastAsia="Times New Roman"/>
          <w:sz w:val="30"/>
          <w:szCs w:val="30"/>
          <w:lang w:val="es-ES"/>
        </w:rPr>
        <w:t>ara convertirlas en sus subsidiarias o afiliadas;</w:t>
      </w:r>
      <w:r>
        <w:rPr>
          <w:rFonts w:eastAsia="Times New Roman"/>
          <w:sz w:val="30"/>
          <w:szCs w:val="30"/>
          <w:lang w:val="es-ES"/>
        </w:rPr>
        <w:br/>
      </w:r>
      <w:r>
        <w:rPr>
          <w:rFonts w:eastAsia="Times New Roman"/>
          <w:sz w:val="30"/>
          <w:szCs w:val="30"/>
          <w:lang w:val="es-ES"/>
        </w:rPr>
        <w:br/>
        <w:t>11. Efectuar inversiones en el capital de entidades financieras extranjeras, en los términos de este Código; y,</w:t>
      </w:r>
      <w:r>
        <w:rPr>
          <w:rFonts w:eastAsia="Times New Roman"/>
          <w:sz w:val="30"/>
          <w:szCs w:val="30"/>
          <w:lang w:val="es-ES"/>
        </w:rPr>
        <w:br/>
      </w:r>
      <w:r>
        <w:rPr>
          <w:rFonts w:eastAsia="Times New Roman"/>
          <w:sz w:val="30"/>
          <w:szCs w:val="30"/>
          <w:lang w:val="es-ES"/>
        </w:rPr>
        <w:br/>
        <w:t>12. Comprar o vender minerales preciosos.</w:t>
      </w:r>
      <w:r>
        <w:rPr>
          <w:rFonts w:eastAsia="Times New Roman"/>
          <w:sz w:val="30"/>
          <w:szCs w:val="30"/>
          <w:lang w:val="es-ES"/>
        </w:rPr>
        <w:br/>
      </w:r>
      <w:r>
        <w:rPr>
          <w:rFonts w:eastAsia="Times New Roman"/>
          <w:sz w:val="30"/>
          <w:szCs w:val="30"/>
          <w:lang w:val="es-ES"/>
        </w:rPr>
        <w:br/>
        <w:t>b. Operaciones pasivas:</w:t>
      </w:r>
      <w:r>
        <w:rPr>
          <w:rFonts w:eastAsia="Times New Roman"/>
          <w:sz w:val="30"/>
          <w:szCs w:val="30"/>
          <w:lang w:val="es-ES"/>
        </w:rPr>
        <w:br/>
      </w:r>
      <w:r>
        <w:rPr>
          <w:rFonts w:eastAsia="Times New Roman"/>
          <w:sz w:val="30"/>
          <w:szCs w:val="30"/>
          <w:lang w:val="es-ES"/>
        </w:rPr>
        <w:br/>
        <w:t>1. Recibir depósitos a l</w:t>
      </w:r>
      <w:r>
        <w:rPr>
          <w:rFonts w:eastAsia="Times New Roman"/>
          <w:sz w:val="30"/>
          <w:szCs w:val="30"/>
          <w:lang w:val="es-ES"/>
        </w:rPr>
        <w:t>a vista;</w:t>
      </w:r>
      <w:r>
        <w:rPr>
          <w:rFonts w:eastAsia="Times New Roman"/>
          <w:sz w:val="30"/>
          <w:szCs w:val="30"/>
          <w:lang w:val="es-ES"/>
        </w:rPr>
        <w:br/>
      </w:r>
      <w:r>
        <w:rPr>
          <w:rFonts w:eastAsia="Times New Roman"/>
          <w:sz w:val="30"/>
          <w:szCs w:val="30"/>
          <w:lang w:val="es-ES"/>
        </w:rPr>
        <w:br/>
        <w:t>2. Recibir depósitos a plazo;</w:t>
      </w:r>
      <w:r>
        <w:rPr>
          <w:rFonts w:eastAsia="Times New Roman"/>
          <w:sz w:val="30"/>
          <w:szCs w:val="30"/>
          <w:lang w:val="es-ES"/>
        </w:rPr>
        <w:br/>
      </w:r>
      <w:r>
        <w:rPr>
          <w:rFonts w:eastAsia="Times New Roman"/>
          <w:sz w:val="30"/>
          <w:szCs w:val="30"/>
          <w:lang w:val="es-ES"/>
        </w:rPr>
        <w:br/>
        <w:t>3. Recibir préstamos y aceptar créditos de entidades financieras del país y del exterior;</w:t>
      </w:r>
      <w:r>
        <w:rPr>
          <w:rFonts w:eastAsia="Times New Roman"/>
          <w:sz w:val="30"/>
          <w:szCs w:val="30"/>
          <w:lang w:val="es-ES"/>
        </w:rPr>
        <w:br/>
      </w:r>
      <w:r>
        <w:rPr>
          <w:rFonts w:eastAsia="Times New Roman"/>
          <w:sz w:val="30"/>
          <w:szCs w:val="30"/>
          <w:lang w:val="es-ES"/>
        </w:rPr>
        <w:br/>
        <w:t>4. Actuar como originador de procesos de titularización con respaldo de la cartera de crédito hipotecaria, prendaria o quiro</w:t>
      </w:r>
      <w:r>
        <w:rPr>
          <w:rFonts w:eastAsia="Times New Roman"/>
          <w:sz w:val="30"/>
          <w:szCs w:val="30"/>
          <w:lang w:val="es-ES"/>
        </w:rPr>
        <w:t>grafaria, propia o adquirida; y,</w:t>
      </w:r>
      <w:r>
        <w:rPr>
          <w:rFonts w:eastAsia="Times New Roman"/>
          <w:sz w:val="30"/>
          <w:szCs w:val="30"/>
          <w:lang w:val="es-ES"/>
        </w:rPr>
        <w:br/>
      </w:r>
      <w:r>
        <w:rPr>
          <w:rFonts w:eastAsia="Times New Roman"/>
          <w:sz w:val="30"/>
          <w:szCs w:val="30"/>
          <w:lang w:val="es-ES"/>
        </w:rPr>
        <w:br/>
        <w:t xml:space="preserve">5. Emitir obligaciones de largo plazo y obligaciones convertibles en acciones garantizadas con sus activos y patrimonio; estas obligaciones </w:t>
      </w:r>
      <w:r>
        <w:rPr>
          <w:rFonts w:eastAsia="Times New Roman"/>
          <w:sz w:val="30"/>
          <w:szCs w:val="30"/>
          <w:lang w:val="es-ES"/>
        </w:rPr>
        <w:lastRenderedPageBreak/>
        <w:t>se regirán por lo dispuesto en la Ley de Mercado de Valores.</w:t>
      </w:r>
      <w:r>
        <w:rPr>
          <w:rFonts w:eastAsia="Times New Roman"/>
          <w:sz w:val="30"/>
          <w:szCs w:val="30"/>
          <w:lang w:val="es-ES"/>
        </w:rPr>
        <w:br/>
      </w:r>
      <w:r>
        <w:rPr>
          <w:rFonts w:eastAsia="Times New Roman"/>
          <w:sz w:val="30"/>
          <w:szCs w:val="30"/>
          <w:lang w:val="es-ES"/>
        </w:rPr>
        <w:br/>
        <w:t>c. Operaciones conti</w:t>
      </w:r>
      <w:r>
        <w:rPr>
          <w:rFonts w:eastAsia="Times New Roman"/>
          <w:sz w:val="30"/>
          <w:szCs w:val="30"/>
          <w:lang w:val="es-ES"/>
        </w:rPr>
        <w:t>ngentes:</w:t>
      </w:r>
      <w:r>
        <w:rPr>
          <w:rFonts w:eastAsia="Times New Roman"/>
          <w:sz w:val="30"/>
          <w:szCs w:val="30"/>
          <w:lang w:val="es-ES"/>
        </w:rPr>
        <w:br/>
      </w:r>
      <w:r>
        <w:rPr>
          <w:rFonts w:eastAsia="Times New Roman"/>
          <w:sz w:val="30"/>
          <w:szCs w:val="30"/>
          <w:lang w:val="es-ES"/>
        </w:rPr>
        <w:br/>
        <w:t>1. Asumir obligaciones por cuenta de terceros a través de aceptaciones, endosos o avales de títulos de crédito, el otorgamiento de garantías, fianzas y cartas de crédito internas y externas, o cualquier otro documento; y,</w:t>
      </w:r>
      <w:r>
        <w:rPr>
          <w:rFonts w:eastAsia="Times New Roman"/>
          <w:sz w:val="30"/>
          <w:szCs w:val="30"/>
          <w:lang w:val="es-ES"/>
        </w:rPr>
        <w:br/>
      </w:r>
      <w:r>
        <w:rPr>
          <w:rFonts w:eastAsia="Times New Roman"/>
          <w:sz w:val="30"/>
          <w:szCs w:val="30"/>
          <w:lang w:val="es-ES"/>
        </w:rPr>
        <w:br/>
        <w:t>2. Negociar derivados f</w:t>
      </w:r>
      <w:r>
        <w:rPr>
          <w:rFonts w:eastAsia="Times New Roman"/>
          <w:sz w:val="30"/>
          <w:szCs w:val="30"/>
          <w:lang w:val="es-ES"/>
        </w:rPr>
        <w:t>inancieros por cuenta propia.</w:t>
      </w:r>
      <w:r>
        <w:rPr>
          <w:rFonts w:eastAsia="Times New Roman"/>
          <w:sz w:val="30"/>
          <w:szCs w:val="30"/>
          <w:lang w:val="es-ES"/>
        </w:rPr>
        <w:br/>
      </w:r>
      <w:r>
        <w:rPr>
          <w:rFonts w:eastAsia="Times New Roman"/>
          <w:sz w:val="30"/>
          <w:szCs w:val="30"/>
          <w:lang w:val="es-ES"/>
        </w:rPr>
        <w:br/>
        <w:t>d. Servicios:</w:t>
      </w:r>
      <w:r>
        <w:rPr>
          <w:rFonts w:eastAsia="Times New Roman"/>
          <w:sz w:val="30"/>
          <w:szCs w:val="30"/>
          <w:lang w:val="es-ES"/>
        </w:rPr>
        <w:br/>
      </w:r>
      <w:r>
        <w:rPr>
          <w:rFonts w:eastAsia="Times New Roman"/>
          <w:sz w:val="30"/>
          <w:szCs w:val="30"/>
          <w:lang w:val="es-ES"/>
        </w:rPr>
        <w:br/>
        <w:t>1. Efectuar servicios de caja y tesorería;</w:t>
      </w:r>
      <w:r>
        <w:rPr>
          <w:rFonts w:eastAsia="Times New Roman"/>
          <w:sz w:val="30"/>
          <w:szCs w:val="30"/>
          <w:lang w:val="es-ES"/>
        </w:rPr>
        <w:br/>
      </w:r>
      <w:r>
        <w:rPr>
          <w:rFonts w:eastAsia="Times New Roman"/>
          <w:sz w:val="30"/>
          <w:szCs w:val="30"/>
          <w:lang w:val="es-ES"/>
        </w:rPr>
        <w:br/>
        <w:t>2. Actuar como emisor u operador de tarjetas de crédito, de débito o tarjetas de pago;</w:t>
      </w:r>
      <w:r>
        <w:rPr>
          <w:rFonts w:eastAsia="Times New Roman"/>
          <w:sz w:val="30"/>
          <w:szCs w:val="30"/>
          <w:lang w:val="es-ES"/>
        </w:rPr>
        <w:br/>
      </w:r>
      <w:r>
        <w:rPr>
          <w:rFonts w:eastAsia="Times New Roman"/>
          <w:sz w:val="30"/>
          <w:szCs w:val="30"/>
          <w:lang w:val="es-ES"/>
        </w:rPr>
        <w:br/>
        <w:t>3. Efectuar cobranzas, pagos y transferencias de fondos, así como emitir giros</w:t>
      </w:r>
      <w:r>
        <w:rPr>
          <w:rFonts w:eastAsia="Times New Roman"/>
          <w:sz w:val="30"/>
          <w:szCs w:val="30"/>
          <w:lang w:val="es-ES"/>
        </w:rPr>
        <w:t xml:space="preserve"> contra sus propias oficinas o las de entidades financieras nacionales o extranjeras;</w:t>
      </w:r>
      <w:r>
        <w:rPr>
          <w:rFonts w:eastAsia="Times New Roman"/>
          <w:sz w:val="30"/>
          <w:szCs w:val="30"/>
          <w:lang w:val="es-ES"/>
        </w:rPr>
        <w:br/>
      </w:r>
      <w:r>
        <w:rPr>
          <w:rFonts w:eastAsia="Times New Roman"/>
          <w:sz w:val="30"/>
          <w:szCs w:val="30"/>
          <w:lang w:val="es-ES"/>
        </w:rPr>
        <w:br/>
        <w:t>4. Recibir y conservar objetos, muebles, valores y documentos en depósito para su custodia y arrendar casilleros o cajas de seguridad para depósitos de valores; y,</w:t>
      </w:r>
      <w:r>
        <w:rPr>
          <w:rFonts w:eastAsia="Times New Roman"/>
          <w:sz w:val="30"/>
          <w:szCs w:val="30"/>
          <w:lang w:val="es-ES"/>
        </w:rPr>
        <w:br/>
      </w:r>
      <w:r>
        <w:rPr>
          <w:rFonts w:eastAsia="Times New Roman"/>
          <w:sz w:val="30"/>
          <w:szCs w:val="30"/>
          <w:lang w:val="es-ES"/>
        </w:rPr>
        <w:br/>
        <w:t>5. E</w:t>
      </w:r>
      <w:r>
        <w:rPr>
          <w:rFonts w:eastAsia="Times New Roman"/>
          <w:sz w:val="30"/>
          <w:szCs w:val="30"/>
          <w:lang w:val="es-ES"/>
        </w:rPr>
        <w:t>fectuar por cuenta propia o de terceros, operaciones con divisas, contratar reportos y emitir o negociar cheques de viajero.</w:t>
      </w:r>
      <w:r>
        <w:rPr>
          <w:rFonts w:eastAsia="Times New Roman"/>
          <w:sz w:val="30"/>
          <w:szCs w:val="30"/>
          <w:lang w:val="es-ES"/>
        </w:rPr>
        <w:br/>
      </w:r>
      <w:r>
        <w:rPr>
          <w:rFonts w:eastAsia="Times New Roman"/>
          <w:sz w:val="30"/>
          <w:szCs w:val="30"/>
          <w:lang w:val="es-ES"/>
        </w:rPr>
        <w:br/>
        <w:t>2. Sector financiero popular y solidario:</w:t>
      </w:r>
      <w:r>
        <w:rPr>
          <w:rFonts w:eastAsia="Times New Roman"/>
          <w:sz w:val="30"/>
          <w:szCs w:val="30"/>
          <w:lang w:val="es-ES"/>
        </w:rPr>
        <w:br/>
      </w:r>
      <w:r>
        <w:rPr>
          <w:rFonts w:eastAsia="Times New Roman"/>
          <w:sz w:val="30"/>
          <w:szCs w:val="30"/>
          <w:lang w:val="es-ES"/>
        </w:rPr>
        <w:br/>
        <w:t>a. Las operaciones activas, pasivas, contingentes y de servicios determinadas en el num</w:t>
      </w:r>
      <w:r>
        <w:rPr>
          <w:rFonts w:eastAsia="Times New Roman"/>
          <w:sz w:val="30"/>
          <w:szCs w:val="30"/>
          <w:lang w:val="es-ES"/>
        </w:rPr>
        <w:t>eral 1 literal a numerales 4, 7 y 10; literal b numerales 1, 2, 3 y 4; literal c numeral 1; y, literal d numerales 1, 3 y 4 de este artículo;</w:t>
      </w:r>
      <w:r>
        <w:rPr>
          <w:rFonts w:eastAsia="Times New Roman"/>
          <w:sz w:val="30"/>
          <w:szCs w:val="30"/>
          <w:lang w:val="es-ES"/>
        </w:rPr>
        <w:br/>
      </w:r>
      <w:r>
        <w:rPr>
          <w:rFonts w:eastAsia="Times New Roman"/>
          <w:sz w:val="30"/>
          <w:szCs w:val="30"/>
          <w:lang w:val="es-ES"/>
        </w:rPr>
        <w:br/>
        <w:t>b. Otorgar préstamos a sus socios. Las mutualistas podrán otorgar préstamos a sus clientes;</w:t>
      </w:r>
      <w:r>
        <w:rPr>
          <w:rFonts w:eastAsia="Times New Roman"/>
          <w:sz w:val="30"/>
          <w:szCs w:val="30"/>
          <w:lang w:val="es-ES"/>
        </w:rPr>
        <w:br/>
      </w:r>
      <w:r>
        <w:rPr>
          <w:rFonts w:eastAsia="Times New Roman"/>
          <w:sz w:val="30"/>
          <w:szCs w:val="30"/>
          <w:lang w:val="es-ES"/>
        </w:rPr>
        <w:br/>
        <w:t>c. Constituir depósi</w:t>
      </w:r>
      <w:r>
        <w:rPr>
          <w:rFonts w:eastAsia="Times New Roman"/>
          <w:sz w:val="30"/>
          <w:szCs w:val="30"/>
          <w:lang w:val="es-ES"/>
        </w:rPr>
        <w:t>tos en entidades del sistema financiero nacional;</w:t>
      </w:r>
      <w:r>
        <w:rPr>
          <w:rFonts w:eastAsia="Times New Roman"/>
          <w:sz w:val="30"/>
          <w:szCs w:val="30"/>
          <w:lang w:val="es-ES"/>
        </w:rPr>
        <w:br/>
      </w:r>
      <w:r>
        <w:rPr>
          <w:rFonts w:eastAsia="Times New Roman"/>
          <w:sz w:val="30"/>
          <w:szCs w:val="30"/>
          <w:lang w:val="es-ES"/>
        </w:rPr>
        <w:lastRenderedPageBreak/>
        <w:br/>
        <w:t>d. Actuar como emisor u operador de tarjetas de débito o tarjetas de pago. Las entidades del segmento 1 del sector financiero popular y solidario podrán emitir u operar tarjetas de crédito;</w:t>
      </w:r>
      <w:r>
        <w:rPr>
          <w:rFonts w:eastAsia="Times New Roman"/>
          <w:sz w:val="30"/>
          <w:szCs w:val="30"/>
          <w:lang w:val="es-ES"/>
        </w:rPr>
        <w:br/>
      </w:r>
      <w:r>
        <w:rPr>
          <w:rFonts w:eastAsia="Times New Roman"/>
          <w:sz w:val="30"/>
          <w:szCs w:val="30"/>
          <w:lang w:val="es-ES"/>
        </w:rPr>
        <w:br/>
        <w:t>e. Emitir obli</w:t>
      </w:r>
      <w:r>
        <w:rPr>
          <w:rFonts w:eastAsia="Times New Roman"/>
          <w:sz w:val="30"/>
          <w:szCs w:val="30"/>
          <w:lang w:val="es-ES"/>
        </w:rPr>
        <w:t>gaciones de largo plazo con respaldo en sus activos, patrimonio, cartera de crédito hipotecaria o prendaria, propia o adquirida, siempre que en este último caso se originen en operaciones activas de crédito de otras entidades financieras;</w:t>
      </w:r>
      <w:r>
        <w:rPr>
          <w:rFonts w:eastAsia="Times New Roman"/>
          <w:sz w:val="30"/>
          <w:szCs w:val="30"/>
          <w:lang w:val="es-ES"/>
        </w:rPr>
        <w:br/>
      </w:r>
      <w:r>
        <w:rPr>
          <w:rFonts w:eastAsia="Times New Roman"/>
          <w:sz w:val="30"/>
          <w:szCs w:val="30"/>
          <w:lang w:val="es-ES"/>
        </w:rPr>
        <w:br/>
        <w:t>f. Efectuar inve</w:t>
      </w:r>
      <w:r>
        <w:rPr>
          <w:rFonts w:eastAsia="Times New Roman"/>
          <w:sz w:val="30"/>
          <w:szCs w:val="30"/>
          <w:lang w:val="es-ES"/>
        </w:rPr>
        <w:t>rsiones en el capital social de las cajas centrales; y,</w:t>
      </w:r>
      <w:r>
        <w:rPr>
          <w:rFonts w:eastAsia="Times New Roman"/>
          <w:sz w:val="30"/>
          <w:szCs w:val="30"/>
          <w:lang w:val="es-ES"/>
        </w:rPr>
        <w:br/>
      </w:r>
      <w:r>
        <w:rPr>
          <w:rFonts w:eastAsia="Times New Roman"/>
          <w:sz w:val="30"/>
          <w:szCs w:val="30"/>
          <w:lang w:val="es-ES"/>
        </w:rPr>
        <w:br/>
        <w:t>g. Efectuar operaciones con divisas.</w:t>
      </w:r>
      <w:r>
        <w:rPr>
          <w:rFonts w:eastAsia="Times New Roman"/>
          <w:sz w:val="30"/>
          <w:szCs w:val="30"/>
          <w:lang w:val="es-ES"/>
        </w:rPr>
        <w:br/>
      </w:r>
      <w:r>
        <w:rPr>
          <w:rFonts w:eastAsia="Times New Roman"/>
          <w:sz w:val="30"/>
          <w:szCs w:val="30"/>
          <w:lang w:val="es-ES"/>
        </w:rPr>
        <w:br/>
        <w:t>Las entidades del sector financiero popular y solidario podrán realizar las operaciones detalladas en este artículo, de acuerdo al segmento al que pertenezcan, e</w:t>
      </w:r>
      <w:r>
        <w:rPr>
          <w:rFonts w:eastAsia="Times New Roman"/>
          <w:sz w:val="30"/>
          <w:szCs w:val="30"/>
          <w:lang w:val="es-ES"/>
        </w:rPr>
        <w:t>n los términos de su autorización.</w:t>
      </w:r>
      <w:r>
        <w:rPr>
          <w:rFonts w:eastAsia="Times New Roman"/>
          <w:sz w:val="30"/>
          <w:szCs w:val="30"/>
          <w:lang w:val="es-ES"/>
        </w:rPr>
        <w:br/>
      </w:r>
      <w:r>
        <w:rPr>
          <w:rFonts w:eastAsia="Times New Roman"/>
          <w:sz w:val="30"/>
          <w:szCs w:val="30"/>
          <w:lang w:val="es-ES"/>
        </w:rPr>
        <w:br/>
        <w:t>La definición y las acciones que comprenden las operaciones determinadas en este artículo serán reguladas por la Junta de Política y Regulación Monetaria y Financiera.</w:t>
      </w:r>
      <w:r>
        <w:rPr>
          <w:rFonts w:eastAsia="Times New Roman"/>
          <w:sz w:val="30"/>
          <w:szCs w:val="30"/>
          <w:lang w:val="es-ES"/>
        </w:rPr>
        <w:br/>
      </w:r>
      <w:r>
        <w:rPr>
          <w:rFonts w:eastAsia="Times New Roman"/>
          <w:sz w:val="30"/>
          <w:szCs w:val="30"/>
          <w:lang w:val="es-ES"/>
        </w:rPr>
        <w:br/>
        <w:t>Las entidades financieras, para todas las operacion</w:t>
      </w:r>
      <w:r>
        <w:rPr>
          <w:rFonts w:eastAsia="Times New Roman"/>
          <w:sz w:val="30"/>
          <w:szCs w:val="30"/>
          <w:lang w:val="es-ES"/>
        </w:rPr>
        <w:t>es que efectúen, deberán contar con la tecnología crediticia y de servicios adecuada.</w:t>
      </w:r>
    </w:p>
    <w:p w:rsidR="00000000" w:rsidRDefault="0018461E">
      <w:pPr>
        <w:divId w:val="473915200"/>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Cancelación extraordinaria de obligaciones. </w:t>
      </w:r>
      <w:r>
        <w:rPr>
          <w:rFonts w:eastAsia="Times New Roman"/>
          <w:sz w:val="30"/>
          <w:szCs w:val="30"/>
          <w:lang w:val="es-ES"/>
        </w:rPr>
        <w:t>Las entidades del sistema financiero nacional podrán, de forma extraordinaria, recibir como pago de créditos o de o</w:t>
      </w:r>
      <w:r>
        <w:rPr>
          <w:rFonts w:eastAsia="Times New Roman"/>
          <w:sz w:val="30"/>
          <w:szCs w:val="30"/>
          <w:lang w:val="es-ES"/>
        </w:rPr>
        <w:t>bligaciones constituidas a su favor bienes muebles, inmuebles, acciones o participaciones, entre otros, en dación en pago o por adjudicación judicial.</w:t>
      </w:r>
      <w:r>
        <w:rPr>
          <w:rFonts w:eastAsia="Times New Roman"/>
          <w:sz w:val="30"/>
          <w:szCs w:val="30"/>
          <w:lang w:val="es-ES"/>
        </w:rPr>
        <w:br/>
      </w:r>
      <w:r>
        <w:rPr>
          <w:rFonts w:eastAsia="Times New Roman"/>
          <w:sz w:val="30"/>
          <w:szCs w:val="30"/>
          <w:lang w:val="es-ES"/>
        </w:rPr>
        <w:br/>
        <w:t>Los bienes muebles, inmuebles y las acciones o participaciones podrán ser conservados hasta por un año a</w:t>
      </w:r>
      <w:r>
        <w:rPr>
          <w:rFonts w:eastAsia="Times New Roman"/>
          <w:sz w:val="30"/>
          <w:szCs w:val="30"/>
          <w:lang w:val="es-ES"/>
        </w:rPr>
        <w:t>l valor de recepción; vencido este plazo, deberán ser enajenados en pública subasta, de acuerdo con las normas que dicte la Junta de Política y Regulación Monetaria y Financiera. Si no pudiesen ser enajenados, la entidad financiera deberá constituir provis</w:t>
      </w:r>
      <w:r>
        <w:rPr>
          <w:rFonts w:eastAsia="Times New Roman"/>
          <w:sz w:val="30"/>
          <w:szCs w:val="30"/>
          <w:lang w:val="es-ES"/>
        </w:rPr>
        <w:t xml:space="preserve">iones a razón de un doceavo mensual del valor en libros, comenzando en el mes inmediato posterior al del vencimiento del plazo. En todo caso, no podrán mantener dichos bienes muebles, inmuebles y acciones o </w:t>
      </w:r>
      <w:r>
        <w:rPr>
          <w:rFonts w:eastAsia="Times New Roman"/>
          <w:sz w:val="30"/>
          <w:szCs w:val="30"/>
          <w:lang w:val="es-ES"/>
        </w:rPr>
        <w:lastRenderedPageBreak/>
        <w:t>participaciones por un período que exceda de un a</w:t>
      </w:r>
      <w:r>
        <w:rPr>
          <w:rFonts w:eastAsia="Times New Roman"/>
          <w:sz w:val="30"/>
          <w:szCs w:val="30"/>
          <w:lang w:val="es-ES"/>
        </w:rPr>
        <w:t>ño adicional al plazo de un año originalmente otorgado. Los bienes muebles e inmuebles no enajenados serán vendidos por la Superintendencia en subasta pública.</w:t>
      </w:r>
      <w:r>
        <w:rPr>
          <w:rFonts w:eastAsia="Times New Roman"/>
          <w:sz w:val="30"/>
          <w:szCs w:val="30"/>
          <w:lang w:val="es-ES"/>
        </w:rPr>
        <w:br/>
      </w:r>
      <w:r>
        <w:rPr>
          <w:rFonts w:eastAsia="Times New Roman"/>
          <w:sz w:val="30"/>
          <w:szCs w:val="30"/>
          <w:lang w:val="es-ES"/>
        </w:rPr>
        <w:br/>
        <w:t>Los derechos sobre las acciones o participaciones no enajenadas en el plazo señalado quedarán e</w:t>
      </w:r>
      <w:r>
        <w:rPr>
          <w:rFonts w:eastAsia="Times New Roman"/>
          <w:sz w:val="30"/>
          <w:szCs w:val="30"/>
          <w:lang w:val="es-ES"/>
        </w:rPr>
        <w:t>n suspenso y la Superintendencia dispondrá su venta en subasta pública. Quien adquiera dichas acciones o participaciones tendrá derecho a percibir los beneficios que se hubiesen suspendido.</w:t>
      </w:r>
    </w:p>
    <w:p w:rsidR="00000000" w:rsidRDefault="0018461E">
      <w:pPr>
        <w:divId w:val="757403723"/>
        <w:rPr>
          <w:rFonts w:eastAsia="Times New Roman"/>
          <w:sz w:val="30"/>
          <w:szCs w:val="30"/>
          <w:lang w:val="es-ES"/>
        </w:rPr>
      </w:pPr>
      <w:r>
        <w:rPr>
          <w:rFonts w:eastAsia="Times New Roman"/>
          <w:sz w:val="30"/>
          <w:szCs w:val="30"/>
          <w:lang w:val="es-ES"/>
        </w:rPr>
        <w:t xml:space="preserve">Art. 196.- </w:t>
      </w:r>
      <w:r>
        <w:rPr>
          <w:rFonts w:eastAsia="Times New Roman"/>
          <w:b/>
          <w:bCs/>
          <w:sz w:val="30"/>
          <w:szCs w:val="30"/>
          <w:lang w:val="es-ES"/>
        </w:rPr>
        <w:t xml:space="preserve">Otras operaciones. </w:t>
      </w:r>
      <w:r>
        <w:rPr>
          <w:rFonts w:eastAsia="Times New Roman"/>
          <w:sz w:val="30"/>
          <w:szCs w:val="30"/>
          <w:lang w:val="es-ES"/>
        </w:rPr>
        <w:t>Las entidades del sistema financiero</w:t>
      </w:r>
      <w:r>
        <w:rPr>
          <w:rFonts w:eastAsia="Times New Roman"/>
          <w:sz w:val="30"/>
          <w:szCs w:val="30"/>
          <w:lang w:val="es-ES"/>
        </w:rPr>
        <w:t xml:space="preserve"> nacional podrán efectuar otras operaciones que sean necesarias para su funcionamiento, tales como comprar, edificar, conservar y enajenar bienes muebles e inmuebles necesarios para su funcionamiento, dentro de los cupos que establezca la Junta. Las entida</w:t>
      </w:r>
      <w:r>
        <w:rPr>
          <w:rFonts w:eastAsia="Times New Roman"/>
          <w:sz w:val="30"/>
          <w:szCs w:val="30"/>
          <w:lang w:val="es-ES"/>
        </w:rPr>
        <w:t>des del sistema financiero nacional no podrán efectuar actividades de seguros y valores más allá de las que este Código autorice.</w:t>
      </w:r>
    </w:p>
    <w:p w:rsidR="00000000" w:rsidRDefault="0018461E">
      <w:pPr>
        <w:divId w:val="505638240"/>
        <w:rPr>
          <w:rFonts w:eastAsia="Times New Roman"/>
          <w:sz w:val="30"/>
          <w:szCs w:val="30"/>
          <w:lang w:val="es-ES"/>
        </w:rPr>
      </w:pPr>
      <w:r>
        <w:rPr>
          <w:rFonts w:eastAsia="Times New Roman"/>
          <w:sz w:val="30"/>
          <w:szCs w:val="30"/>
          <w:lang w:val="es-ES"/>
        </w:rPr>
        <w:t xml:space="preserve">Art. 197.- </w:t>
      </w:r>
      <w:r>
        <w:rPr>
          <w:rFonts w:eastAsia="Times New Roman"/>
          <w:b/>
          <w:bCs/>
          <w:sz w:val="30"/>
          <w:szCs w:val="30"/>
          <w:lang w:val="es-ES"/>
        </w:rPr>
        <w:t xml:space="preserve">Operaciones en otros medios de pago. </w:t>
      </w:r>
      <w:r>
        <w:rPr>
          <w:rFonts w:eastAsia="Times New Roman"/>
          <w:sz w:val="30"/>
          <w:szCs w:val="30"/>
          <w:lang w:val="es-ES"/>
        </w:rPr>
        <w:t>Las entidades del sistema financiero nacional podrán realizar operaciones en o</w:t>
      </w:r>
      <w:r>
        <w:rPr>
          <w:rFonts w:eastAsia="Times New Roman"/>
          <w:sz w:val="30"/>
          <w:szCs w:val="30"/>
          <w:lang w:val="es-ES"/>
        </w:rPr>
        <w:t>tros medios de pago, de acuerdo con las normas que dicte la Junta de Política y Regulación Monetaria y Financiera.</w:t>
      </w:r>
    </w:p>
    <w:p w:rsidR="00000000" w:rsidRDefault="0018461E">
      <w:pPr>
        <w:divId w:val="786586815"/>
        <w:rPr>
          <w:rFonts w:eastAsia="Times New Roman"/>
          <w:sz w:val="30"/>
          <w:szCs w:val="30"/>
          <w:lang w:val="es-ES"/>
        </w:rPr>
      </w:pPr>
      <w:r>
        <w:rPr>
          <w:rFonts w:eastAsia="Times New Roman"/>
          <w:sz w:val="30"/>
          <w:szCs w:val="30"/>
          <w:lang w:val="es-ES"/>
        </w:rPr>
        <w:t xml:space="preserve">Art. 198.- </w:t>
      </w:r>
      <w:r>
        <w:rPr>
          <w:rFonts w:eastAsia="Times New Roman"/>
          <w:b/>
          <w:bCs/>
          <w:sz w:val="30"/>
          <w:szCs w:val="30"/>
          <w:lang w:val="es-ES"/>
        </w:rPr>
        <w:t xml:space="preserve">Operaciones por parte de personas jurídicas no financieras. </w:t>
      </w:r>
      <w:r>
        <w:rPr>
          <w:rFonts w:eastAsia="Times New Roman"/>
          <w:sz w:val="30"/>
          <w:szCs w:val="30"/>
          <w:lang w:val="es-ES"/>
        </w:rPr>
        <w:t>Las personas jurídicas no financieras que, como parte del giro de su n</w:t>
      </w:r>
      <w:r>
        <w:rPr>
          <w:rFonts w:eastAsia="Times New Roman"/>
          <w:sz w:val="30"/>
          <w:szCs w:val="30"/>
          <w:lang w:val="es-ES"/>
        </w:rPr>
        <w:t>egocio, realicen ventas a plazo o realicen operaciones de crédito por sobre los límites que establezca la Junta de Política y Regulación Monetaria y Financiera, serán controladas por la Superintendencia de Compañías, Valores y Seguros o por la Superintende</w:t>
      </w:r>
      <w:r>
        <w:rPr>
          <w:rFonts w:eastAsia="Times New Roman"/>
          <w:sz w:val="30"/>
          <w:szCs w:val="30"/>
          <w:lang w:val="es-ES"/>
        </w:rPr>
        <w:t>ncia de la Economía Popular y Solidaria según corresponda y se someterán a las normas que sobre esta materia dicte la Junta de Política y Regulación Monetaria y Financiera. Para este efecto, las ventas a plazo se considerarán como operaciones de crédito.</w:t>
      </w:r>
    </w:p>
    <w:p w:rsidR="00000000" w:rsidRDefault="0018461E">
      <w:pPr>
        <w:divId w:val="987589877"/>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199.- </w:t>
      </w:r>
      <w:r>
        <w:rPr>
          <w:rFonts w:eastAsia="Times New Roman"/>
          <w:b/>
          <w:bCs/>
          <w:sz w:val="30"/>
          <w:szCs w:val="30"/>
          <w:lang w:val="es-ES"/>
        </w:rPr>
        <w:t xml:space="preserve">Suspensión de operaciones. </w:t>
      </w:r>
      <w:r>
        <w:rPr>
          <w:rFonts w:eastAsia="Times New Roman"/>
          <w:sz w:val="30"/>
          <w:szCs w:val="30"/>
          <w:lang w:val="es-ES"/>
        </w:rPr>
        <w:t>Los organismos de control de las entidades del sistema financiero nacional podrán disponer la suspensión de las operaciones de las entidades bajo su control en los casos contemplados en la ley.</w:t>
      </w:r>
    </w:p>
    <w:p w:rsidR="00000000" w:rsidRDefault="0018461E">
      <w:pPr>
        <w:divId w:val="554780016"/>
        <w:rPr>
          <w:rFonts w:eastAsia="Times New Roman"/>
          <w:sz w:val="30"/>
          <w:szCs w:val="30"/>
          <w:lang w:val="es-ES"/>
        </w:rPr>
      </w:pPr>
      <w:r>
        <w:rPr>
          <w:rFonts w:eastAsia="Times New Roman"/>
          <w:sz w:val="30"/>
          <w:szCs w:val="30"/>
          <w:lang w:val="es-ES"/>
        </w:rPr>
        <w:t xml:space="preserve">Art. 200.- </w:t>
      </w:r>
      <w:r>
        <w:rPr>
          <w:rFonts w:eastAsia="Times New Roman"/>
          <w:b/>
          <w:bCs/>
          <w:sz w:val="30"/>
          <w:szCs w:val="30"/>
          <w:lang w:val="es-ES"/>
        </w:rPr>
        <w:t xml:space="preserve">Oficinas. </w:t>
      </w:r>
      <w:r>
        <w:rPr>
          <w:rFonts w:eastAsia="Times New Roman"/>
          <w:sz w:val="30"/>
          <w:szCs w:val="30"/>
          <w:lang w:val="es-ES"/>
        </w:rPr>
        <w:t xml:space="preserve">Las </w:t>
      </w:r>
      <w:r>
        <w:rPr>
          <w:rFonts w:eastAsia="Times New Roman"/>
          <w:sz w:val="30"/>
          <w:szCs w:val="30"/>
          <w:lang w:val="es-ES"/>
        </w:rPr>
        <w:t xml:space="preserve">entidades del sistema financiero nacional podrán establecer oficinas para la atención al público observando el criterio de territorialidad, conforme las regulaciones de la Junta. Estas oficinas, antes del inicio de operaciones, deberán obtener del </w:t>
      </w:r>
      <w:r>
        <w:rPr>
          <w:rFonts w:eastAsia="Times New Roman"/>
          <w:sz w:val="30"/>
          <w:szCs w:val="30"/>
          <w:lang w:val="es-ES"/>
        </w:rPr>
        <w:lastRenderedPageBreak/>
        <w:t>organism</w:t>
      </w:r>
      <w:r>
        <w:rPr>
          <w:rFonts w:eastAsia="Times New Roman"/>
          <w:sz w:val="30"/>
          <w:szCs w:val="30"/>
          <w:lang w:val="es-ES"/>
        </w:rPr>
        <w:t>o de control el respectivo permiso de funcionamiento, de acuerdo con el trámite que este establezca.</w:t>
      </w:r>
      <w:r>
        <w:rPr>
          <w:rFonts w:eastAsia="Times New Roman"/>
          <w:sz w:val="30"/>
          <w:szCs w:val="30"/>
          <w:lang w:val="es-ES"/>
        </w:rPr>
        <w:br/>
      </w:r>
      <w:r>
        <w:rPr>
          <w:rFonts w:eastAsia="Times New Roman"/>
          <w:sz w:val="30"/>
          <w:szCs w:val="30"/>
          <w:lang w:val="es-ES"/>
        </w:rPr>
        <w:br/>
        <w:t>Las entidades exhibirán en lugar público y visible, tanto en su matriz como en cada una de sus oficinas, el permiso de funcionamiento otorgado por las sup</w:t>
      </w:r>
      <w:r>
        <w:rPr>
          <w:rFonts w:eastAsia="Times New Roman"/>
          <w:sz w:val="30"/>
          <w:szCs w:val="30"/>
          <w:lang w:val="es-ES"/>
        </w:rPr>
        <w:t>erintendencias.</w:t>
      </w:r>
    </w:p>
    <w:p w:rsidR="00000000" w:rsidRDefault="0018461E">
      <w:pPr>
        <w:divId w:val="2006397752"/>
        <w:rPr>
          <w:rFonts w:eastAsia="Times New Roman"/>
          <w:sz w:val="30"/>
          <w:szCs w:val="30"/>
          <w:lang w:val="es-ES"/>
        </w:rPr>
      </w:pPr>
      <w:r>
        <w:rPr>
          <w:rFonts w:eastAsia="Times New Roman"/>
          <w:sz w:val="30"/>
          <w:szCs w:val="30"/>
          <w:lang w:val="es-ES"/>
        </w:rPr>
        <w:t xml:space="preserve">Art. 201.- </w:t>
      </w:r>
      <w:r>
        <w:rPr>
          <w:rFonts w:eastAsia="Times New Roman"/>
          <w:b/>
          <w:bCs/>
          <w:sz w:val="30"/>
          <w:szCs w:val="30"/>
          <w:lang w:val="es-ES"/>
        </w:rPr>
        <w:t xml:space="preserve">Atención al público. </w:t>
      </w:r>
      <w:r>
        <w:rPr>
          <w:rFonts w:eastAsia="Times New Roman"/>
          <w:sz w:val="30"/>
          <w:szCs w:val="30"/>
          <w:lang w:val="es-ES"/>
        </w:rPr>
        <w:t xml:space="preserve">Las entidades del sistema financiero nacional atenderán al público a partir de la fecha del permiso de funcionamiento, dentro de los horarios establecidos por los organismos de control. No se podrá suspender </w:t>
      </w:r>
      <w:r>
        <w:rPr>
          <w:rFonts w:eastAsia="Times New Roman"/>
          <w:sz w:val="30"/>
          <w:szCs w:val="30"/>
          <w:lang w:val="es-ES"/>
        </w:rPr>
        <w:t>o poner término a la atención al público sin previa notificación a la respectiva superintendencia y al público en general con al menos cinco días de anticipación.</w:t>
      </w:r>
      <w:r>
        <w:rPr>
          <w:rFonts w:eastAsia="Times New Roman"/>
          <w:sz w:val="30"/>
          <w:szCs w:val="30"/>
          <w:lang w:val="es-ES"/>
        </w:rPr>
        <w:br/>
      </w:r>
      <w:r>
        <w:rPr>
          <w:rFonts w:eastAsia="Times New Roman"/>
          <w:sz w:val="30"/>
          <w:szCs w:val="30"/>
          <w:lang w:val="es-ES"/>
        </w:rPr>
        <w:br/>
        <w:t>Los organismos de control de las entidades del sistema financiero nacional podrán disponer o</w:t>
      </w:r>
      <w:r>
        <w:rPr>
          <w:rFonts w:eastAsia="Times New Roman"/>
          <w:sz w:val="30"/>
          <w:szCs w:val="30"/>
          <w:lang w:val="es-ES"/>
        </w:rPr>
        <w:t xml:space="preserve"> autorizar la suspensión temporal de las labores en una o varias de las oficinas de las entidades bajo su control, a pedido justificado de estas.</w:t>
      </w:r>
    </w:p>
    <w:p w:rsidR="00000000" w:rsidRDefault="0018461E">
      <w:pPr>
        <w:divId w:val="138036215"/>
        <w:rPr>
          <w:rFonts w:eastAsia="Times New Roman"/>
          <w:sz w:val="30"/>
          <w:szCs w:val="30"/>
          <w:lang w:val="es-ES"/>
        </w:rPr>
      </w:pPr>
      <w:r>
        <w:rPr>
          <w:rFonts w:eastAsia="Times New Roman"/>
          <w:sz w:val="30"/>
          <w:szCs w:val="30"/>
          <w:lang w:val="es-ES"/>
        </w:rPr>
        <w:t xml:space="preserve">Art. 202.- </w:t>
      </w:r>
      <w:r>
        <w:rPr>
          <w:rFonts w:eastAsia="Times New Roman"/>
          <w:b/>
          <w:bCs/>
          <w:sz w:val="30"/>
          <w:szCs w:val="30"/>
          <w:lang w:val="es-ES"/>
        </w:rPr>
        <w:t xml:space="preserve">Atención en caso de huelga. </w:t>
      </w:r>
      <w:r>
        <w:rPr>
          <w:rFonts w:eastAsia="Times New Roman"/>
          <w:sz w:val="30"/>
          <w:szCs w:val="30"/>
          <w:lang w:val="es-ES"/>
        </w:rPr>
        <w:t>En el caso de declaratoria de huelga de una entidad financiera, antes d</w:t>
      </w:r>
      <w:r>
        <w:rPr>
          <w:rFonts w:eastAsia="Times New Roman"/>
          <w:sz w:val="30"/>
          <w:szCs w:val="30"/>
          <w:lang w:val="es-ES"/>
        </w:rPr>
        <w:t xml:space="preserve">e la suspensión de labores, la autoridad que esté conociendo el conflicto laboral cuidará que durante la huelga permanezcan abiertas todas las oficinas y continúen laborando en sus funciones los trabajadores en un número indispensable, a fin de no afectar </w:t>
      </w:r>
      <w:r>
        <w:rPr>
          <w:rFonts w:eastAsia="Times New Roman"/>
          <w:sz w:val="30"/>
          <w:szCs w:val="30"/>
          <w:lang w:val="es-ES"/>
        </w:rPr>
        <w:t>los derechos de los usuarios financieros.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LOS ACTIVOS, LÍMITES DE CRÉDITO Y PROVISIONES</w:t>
      </w:r>
    </w:p>
    <w:p w:rsidR="00000000" w:rsidRDefault="0018461E">
      <w:pPr>
        <w:divId w:val="2077849658"/>
        <w:rPr>
          <w:rFonts w:eastAsia="Times New Roman"/>
          <w:sz w:val="30"/>
          <w:szCs w:val="30"/>
          <w:lang w:val="es-ES"/>
        </w:rPr>
      </w:pPr>
      <w:r>
        <w:rPr>
          <w:rFonts w:eastAsia="Times New Roman"/>
          <w:sz w:val="30"/>
          <w:szCs w:val="30"/>
          <w:lang w:val="es-ES"/>
        </w:rPr>
        <w:t xml:space="preserve">Art. 203.- </w:t>
      </w:r>
      <w:r>
        <w:rPr>
          <w:rFonts w:eastAsia="Times New Roman"/>
          <w:b/>
          <w:bCs/>
          <w:sz w:val="30"/>
          <w:szCs w:val="30"/>
          <w:lang w:val="es-ES"/>
        </w:rPr>
        <w:t xml:space="preserve">Gestión financiera de los activos. </w:t>
      </w:r>
      <w:r>
        <w:rPr>
          <w:rFonts w:eastAsia="Times New Roman"/>
          <w:sz w:val="30"/>
          <w:szCs w:val="30"/>
          <w:lang w:val="es-ES"/>
        </w:rPr>
        <w:t>Las entidades del sistema financiero nacional están obligadas a cumplir las normas de composición en la est</w:t>
      </w:r>
      <w:r>
        <w:rPr>
          <w:rFonts w:eastAsia="Times New Roman"/>
          <w:sz w:val="30"/>
          <w:szCs w:val="30"/>
          <w:lang w:val="es-ES"/>
        </w:rPr>
        <w:t>ructura de activos financieros de sus balances y los requisitos para la adquisición de instrumentos financieros de inversión, de acuerdo con lo que establezca la Junta.</w:t>
      </w:r>
    </w:p>
    <w:p w:rsidR="00000000" w:rsidRDefault="0018461E">
      <w:pPr>
        <w:divId w:val="35546466"/>
        <w:rPr>
          <w:rFonts w:eastAsia="Times New Roman"/>
          <w:sz w:val="30"/>
          <w:szCs w:val="30"/>
          <w:lang w:val="es-ES"/>
        </w:rPr>
      </w:pPr>
      <w:r>
        <w:rPr>
          <w:rFonts w:eastAsia="Times New Roman"/>
          <w:sz w:val="30"/>
          <w:szCs w:val="30"/>
          <w:lang w:val="es-ES"/>
        </w:rPr>
        <w:t xml:space="preserve">Art. 204.- </w:t>
      </w:r>
      <w:r>
        <w:rPr>
          <w:rFonts w:eastAsia="Times New Roman"/>
          <w:b/>
          <w:bCs/>
          <w:sz w:val="30"/>
          <w:szCs w:val="30"/>
          <w:lang w:val="es-ES"/>
        </w:rPr>
        <w:t xml:space="preserve">Calidad de activos, contingentes y constitución de provisiones. </w:t>
      </w:r>
      <w:r>
        <w:rPr>
          <w:rFonts w:eastAsia="Times New Roman"/>
          <w:sz w:val="30"/>
          <w:szCs w:val="30"/>
          <w:lang w:val="es-ES"/>
        </w:rPr>
        <w:t>Las entidade</w:t>
      </w:r>
      <w:r>
        <w:rPr>
          <w:rFonts w:eastAsia="Times New Roman"/>
          <w:sz w:val="30"/>
          <w:szCs w:val="30"/>
          <w:lang w:val="es-ES"/>
        </w:rPr>
        <w:t xml:space="preserve">s del sistema financiero nacional, a efecto de reflejar la verdadera calidad de los activos y contingentes, los calificarán permanentemente y constituirán las provisiones que establece este Código y las regulaciones que emita la Junta de Política </w:t>
      </w:r>
      <w:r>
        <w:rPr>
          <w:rFonts w:eastAsia="Times New Roman"/>
          <w:sz w:val="30"/>
          <w:szCs w:val="30"/>
          <w:lang w:val="es-ES"/>
        </w:rPr>
        <w:lastRenderedPageBreak/>
        <w:t>y Regulac</w:t>
      </w:r>
      <w:r>
        <w:rPr>
          <w:rFonts w:eastAsia="Times New Roman"/>
          <w:sz w:val="30"/>
          <w:szCs w:val="30"/>
          <w:lang w:val="es-ES"/>
        </w:rPr>
        <w:t>ión Monetaria y Financiera para cubrir los riesgos de incobrabilidad, la pérdida del valor de los activos y para apuntalar el adecuado desempeño macroeconómico.</w:t>
      </w:r>
    </w:p>
    <w:p w:rsidR="00000000" w:rsidRDefault="0018461E">
      <w:pPr>
        <w:divId w:val="2017071163"/>
        <w:rPr>
          <w:rFonts w:eastAsia="Times New Roman"/>
          <w:sz w:val="30"/>
          <w:szCs w:val="30"/>
          <w:lang w:val="es-ES"/>
        </w:rPr>
      </w:pPr>
      <w:r>
        <w:rPr>
          <w:rFonts w:eastAsia="Times New Roman"/>
          <w:sz w:val="30"/>
          <w:szCs w:val="30"/>
          <w:lang w:val="es-ES"/>
        </w:rPr>
        <w:t xml:space="preserve">Art. 205.- </w:t>
      </w:r>
      <w:r>
        <w:rPr>
          <w:rFonts w:eastAsia="Times New Roman"/>
          <w:b/>
          <w:bCs/>
          <w:sz w:val="30"/>
          <w:szCs w:val="30"/>
          <w:lang w:val="es-ES"/>
        </w:rPr>
        <w:t xml:space="preserve">Provisión. </w:t>
      </w:r>
      <w:r>
        <w:rPr>
          <w:rFonts w:eastAsia="Times New Roman"/>
          <w:sz w:val="30"/>
          <w:szCs w:val="30"/>
          <w:lang w:val="es-ES"/>
        </w:rPr>
        <w:t>Las entidades del sistema financiero nacional deben constituir una cuenta</w:t>
      </w:r>
      <w:r>
        <w:rPr>
          <w:rFonts w:eastAsia="Times New Roman"/>
          <w:sz w:val="30"/>
          <w:szCs w:val="30"/>
          <w:lang w:val="es-ES"/>
        </w:rPr>
        <w:t xml:space="preserve"> de valuación de activos y contingentes, incluyendo los derivados financieros, para cubrir eventuales pérdidas por cuentas incobrables o por desvalorización y para apuntalar el adecuado desempeño macroeconómico.</w:t>
      </w:r>
      <w:r>
        <w:rPr>
          <w:rFonts w:eastAsia="Times New Roman"/>
          <w:sz w:val="30"/>
          <w:szCs w:val="30"/>
          <w:lang w:val="es-ES"/>
        </w:rPr>
        <w:br/>
      </w:r>
      <w:r>
        <w:rPr>
          <w:rFonts w:eastAsia="Times New Roman"/>
          <w:sz w:val="30"/>
          <w:szCs w:val="30"/>
          <w:lang w:val="es-ES"/>
        </w:rPr>
        <w:br/>
        <w:t>Las pérdidas esperadas de los activos de ri</w:t>
      </w:r>
      <w:r>
        <w:rPr>
          <w:rFonts w:eastAsia="Times New Roman"/>
          <w:sz w:val="30"/>
          <w:szCs w:val="30"/>
          <w:lang w:val="es-ES"/>
        </w:rPr>
        <w:t>esgo se cubrirán con provisiones, en tanto que las pérdidas inesperadas se cubrirán con capital.</w:t>
      </w:r>
    </w:p>
    <w:p w:rsidR="00000000" w:rsidRDefault="0018461E">
      <w:pPr>
        <w:divId w:val="820082232"/>
        <w:rPr>
          <w:rFonts w:eastAsia="Times New Roman"/>
          <w:sz w:val="30"/>
          <w:szCs w:val="30"/>
          <w:lang w:val="es-ES"/>
        </w:rPr>
      </w:pPr>
      <w:r>
        <w:rPr>
          <w:rFonts w:eastAsia="Times New Roman"/>
          <w:sz w:val="30"/>
          <w:szCs w:val="30"/>
          <w:lang w:val="es-ES"/>
        </w:rPr>
        <w:t xml:space="preserve">Art. 206.- </w:t>
      </w:r>
      <w:r>
        <w:rPr>
          <w:rFonts w:eastAsia="Times New Roman"/>
          <w:b/>
          <w:bCs/>
          <w:sz w:val="30"/>
          <w:szCs w:val="30"/>
          <w:lang w:val="es-ES"/>
        </w:rPr>
        <w:t xml:space="preserve">Obligación de provisionar. </w:t>
      </w:r>
      <w:r>
        <w:rPr>
          <w:rFonts w:eastAsia="Times New Roman"/>
          <w:sz w:val="30"/>
          <w:szCs w:val="30"/>
          <w:lang w:val="es-ES"/>
        </w:rPr>
        <w:t>Las entidades financieras públicas y privadas deberán constituir las siguientes provisiones:</w:t>
      </w:r>
      <w:r>
        <w:rPr>
          <w:rFonts w:eastAsia="Times New Roman"/>
          <w:sz w:val="30"/>
          <w:szCs w:val="30"/>
          <w:lang w:val="es-ES"/>
        </w:rPr>
        <w:br/>
      </w:r>
      <w:r>
        <w:rPr>
          <w:rFonts w:eastAsia="Times New Roman"/>
          <w:sz w:val="30"/>
          <w:szCs w:val="30"/>
          <w:lang w:val="es-ES"/>
        </w:rPr>
        <w:br/>
        <w:t xml:space="preserve">1. Provisiones específicas </w:t>
      </w:r>
      <w:r>
        <w:rPr>
          <w:rFonts w:eastAsia="Times New Roman"/>
          <w:sz w:val="30"/>
          <w:szCs w:val="30"/>
          <w:lang w:val="es-ES"/>
        </w:rPr>
        <w:t>por desvalorización de activos y contingentes;</w:t>
      </w:r>
      <w:r>
        <w:rPr>
          <w:rFonts w:eastAsia="Times New Roman"/>
          <w:sz w:val="30"/>
          <w:szCs w:val="30"/>
          <w:lang w:val="es-ES"/>
        </w:rPr>
        <w:br/>
      </w:r>
      <w:r>
        <w:rPr>
          <w:rFonts w:eastAsia="Times New Roman"/>
          <w:sz w:val="30"/>
          <w:szCs w:val="30"/>
          <w:lang w:val="es-ES"/>
        </w:rPr>
        <w:br/>
        <w:t>2. Provisiones genéricas;</w:t>
      </w:r>
      <w:r>
        <w:rPr>
          <w:rFonts w:eastAsia="Times New Roman"/>
          <w:sz w:val="30"/>
          <w:szCs w:val="30"/>
          <w:lang w:val="es-ES"/>
        </w:rPr>
        <w:br/>
      </w:r>
      <w:r>
        <w:rPr>
          <w:rFonts w:eastAsia="Times New Roman"/>
          <w:sz w:val="30"/>
          <w:szCs w:val="30"/>
          <w:lang w:val="es-ES"/>
        </w:rPr>
        <w:br/>
        <w:t>3. Provisiones por ciclo económico; y,</w:t>
      </w:r>
      <w:r>
        <w:rPr>
          <w:rFonts w:eastAsia="Times New Roman"/>
          <w:sz w:val="30"/>
          <w:szCs w:val="30"/>
          <w:lang w:val="es-ES"/>
        </w:rPr>
        <w:br/>
      </w:r>
      <w:r>
        <w:rPr>
          <w:rFonts w:eastAsia="Times New Roman"/>
          <w:sz w:val="30"/>
          <w:szCs w:val="30"/>
          <w:lang w:val="es-ES"/>
        </w:rPr>
        <w:br/>
        <w:t>4. Cualquier otra provisión que determine la Junta de Política y Regulación Monetaria y Financiera.</w:t>
      </w:r>
      <w:r>
        <w:rPr>
          <w:rFonts w:eastAsia="Times New Roman"/>
          <w:sz w:val="30"/>
          <w:szCs w:val="30"/>
          <w:lang w:val="es-ES"/>
        </w:rPr>
        <w:br/>
      </w:r>
      <w:r>
        <w:rPr>
          <w:rFonts w:eastAsia="Times New Roman"/>
          <w:sz w:val="30"/>
          <w:szCs w:val="30"/>
          <w:lang w:val="es-ES"/>
        </w:rPr>
        <w:br/>
        <w:t>Las entidades financieras, para la deter</w:t>
      </w:r>
      <w:r>
        <w:rPr>
          <w:rFonts w:eastAsia="Times New Roman"/>
          <w:sz w:val="30"/>
          <w:szCs w:val="30"/>
          <w:lang w:val="es-ES"/>
        </w:rPr>
        <w:t>minación de las provisiones antes indicadas, se sujetarán a las normas que establezca la Junta.</w:t>
      </w:r>
      <w:r>
        <w:rPr>
          <w:rFonts w:eastAsia="Times New Roman"/>
          <w:sz w:val="30"/>
          <w:szCs w:val="30"/>
          <w:lang w:val="es-ES"/>
        </w:rPr>
        <w:br/>
      </w:r>
      <w:r>
        <w:rPr>
          <w:rFonts w:eastAsia="Times New Roman"/>
          <w:sz w:val="30"/>
          <w:szCs w:val="30"/>
          <w:lang w:val="es-ES"/>
        </w:rPr>
        <w:br/>
        <w:t>La Junta de Política y Regulación Monetaria y Financiera establecerá, por segmentos, las provisiones para las entidades del sector financiero popular y solidar</w:t>
      </w:r>
      <w:r>
        <w:rPr>
          <w:rFonts w:eastAsia="Times New Roman"/>
          <w:sz w:val="30"/>
          <w:szCs w:val="30"/>
          <w:lang w:val="es-ES"/>
        </w:rPr>
        <w:t>io, siendo obligatorias para el segmento 1 las contempladas en los numerales de este artículo.</w:t>
      </w:r>
    </w:p>
    <w:p w:rsidR="00000000" w:rsidRDefault="0018461E">
      <w:pPr>
        <w:divId w:val="1798448336"/>
        <w:rPr>
          <w:rFonts w:eastAsia="Times New Roman"/>
          <w:sz w:val="30"/>
          <w:szCs w:val="30"/>
          <w:lang w:val="es-ES"/>
        </w:rPr>
      </w:pPr>
      <w:r>
        <w:rPr>
          <w:rFonts w:eastAsia="Times New Roman"/>
          <w:sz w:val="30"/>
          <w:szCs w:val="30"/>
          <w:lang w:val="es-ES"/>
        </w:rPr>
        <w:t xml:space="preserve">Art. 207.- </w:t>
      </w:r>
      <w:r>
        <w:rPr>
          <w:rFonts w:eastAsia="Times New Roman"/>
          <w:b/>
          <w:bCs/>
          <w:sz w:val="30"/>
          <w:szCs w:val="30"/>
          <w:lang w:val="es-ES"/>
        </w:rPr>
        <w:t xml:space="preserve">Castigo de obligaciones. </w:t>
      </w:r>
      <w:r>
        <w:rPr>
          <w:rFonts w:eastAsia="Times New Roman"/>
          <w:sz w:val="30"/>
          <w:szCs w:val="30"/>
          <w:lang w:val="es-ES"/>
        </w:rPr>
        <w:t xml:space="preserve">Las entidades del sistema financiero nacional castigarán contablemente todo préstamo, descuento o cualquier otra obligación irrecuperable; este castigo no la libera de continuar con el cobro de las sumas comprometidas, ni tampoco releva al responsable del </w:t>
      </w:r>
      <w:r>
        <w:rPr>
          <w:rFonts w:eastAsia="Times New Roman"/>
          <w:sz w:val="30"/>
          <w:szCs w:val="30"/>
          <w:lang w:val="es-ES"/>
        </w:rPr>
        <w:t xml:space="preserve">crédito de su condición de deudor moroso. El tiempo en mora que debe transcurrir para que una entidad financiera castigue estas obligaciones será determinado por la Junta de Política y Regulación Monetaria y Financiera, con base en la </w:t>
      </w:r>
      <w:r>
        <w:rPr>
          <w:rFonts w:eastAsia="Times New Roman"/>
          <w:sz w:val="30"/>
          <w:szCs w:val="30"/>
          <w:lang w:val="es-ES"/>
        </w:rPr>
        <w:lastRenderedPageBreak/>
        <w:t>evaluación del incump</w:t>
      </w:r>
      <w:r>
        <w:rPr>
          <w:rFonts w:eastAsia="Times New Roman"/>
          <w:sz w:val="30"/>
          <w:szCs w:val="30"/>
          <w:lang w:val="es-ES"/>
        </w:rPr>
        <w:t>limiento de pago de las operaciones con riesgo de crédito de contraparte, el cual no podrá superar los tres años.</w:t>
      </w:r>
      <w:r>
        <w:rPr>
          <w:rFonts w:eastAsia="Times New Roman"/>
          <w:sz w:val="30"/>
          <w:szCs w:val="30"/>
          <w:lang w:val="es-ES"/>
        </w:rPr>
        <w:br/>
      </w:r>
      <w:r>
        <w:rPr>
          <w:rFonts w:eastAsia="Times New Roman"/>
          <w:sz w:val="30"/>
          <w:szCs w:val="30"/>
          <w:lang w:val="es-ES"/>
        </w:rPr>
        <w:br/>
        <w:t>Previo al castigo de las obligaciones, estas deberán estar provisionadas al 100% de su valor registrado en libros.</w:t>
      </w:r>
    </w:p>
    <w:p w:rsidR="00000000" w:rsidRDefault="0018461E">
      <w:pPr>
        <w:divId w:val="1143890220"/>
        <w:rPr>
          <w:rFonts w:eastAsia="Times New Roman"/>
          <w:sz w:val="30"/>
          <w:szCs w:val="30"/>
          <w:lang w:val="es-ES"/>
        </w:rPr>
      </w:pPr>
      <w:r>
        <w:rPr>
          <w:rFonts w:eastAsia="Times New Roman"/>
          <w:sz w:val="30"/>
          <w:szCs w:val="30"/>
          <w:lang w:val="es-ES"/>
        </w:rPr>
        <w:t xml:space="preserve">Art. 208.- </w:t>
      </w:r>
      <w:r>
        <w:rPr>
          <w:rFonts w:eastAsia="Times New Roman"/>
          <w:b/>
          <w:bCs/>
          <w:sz w:val="30"/>
          <w:szCs w:val="30"/>
          <w:lang w:val="es-ES"/>
        </w:rPr>
        <w:t>Relaciones en o</w:t>
      </w:r>
      <w:r>
        <w:rPr>
          <w:rFonts w:eastAsia="Times New Roman"/>
          <w:b/>
          <w:bCs/>
          <w:sz w:val="30"/>
          <w:szCs w:val="30"/>
          <w:lang w:val="es-ES"/>
        </w:rPr>
        <w:t xml:space="preserve">peraciones activas, pasivas y contingentes. </w:t>
      </w:r>
      <w:r>
        <w:rPr>
          <w:rFonts w:eastAsia="Times New Roman"/>
          <w:sz w:val="30"/>
          <w:szCs w:val="30"/>
          <w:lang w:val="es-ES"/>
        </w:rPr>
        <w:t>La Junta de Política y Regulación Monetaria y Financiera dictará las normas referentes a las relaciones que deberán guardar las entidades financieras en sus operaciones activas, pasivas y contingentes, consideran</w:t>
      </w:r>
      <w:r>
        <w:rPr>
          <w:rFonts w:eastAsia="Times New Roman"/>
          <w:sz w:val="30"/>
          <w:szCs w:val="30"/>
          <w:lang w:val="es-ES"/>
        </w:rPr>
        <w:t>do los riesgos derivados de las diferencias de plazos, tasas, monedas y otros.</w:t>
      </w:r>
      <w:r>
        <w:rPr>
          <w:rFonts w:eastAsia="Times New Roman"/>
          <w:sz w:val="30"/>
          <w:szCs w:val="30"/>
          <w:lang w:val="es-ES"/>
        </w:rPr>
        <w:br/>
      </w:r>
      <w:r>
        <w:rPr>
          <w:rFonts w:eastAsia="Times New Roman"/>
          <w:sz w:val="30"/>
          <w:szCs w:val="30"/>
          <w:lang w:val="es-ES"/>
        </w:rPr>
        <w:br/>
        <w:t>La Junta además, dictará las normas referentes al desarrollo de políticas, tecnologías y procedimientos para la administración de riesgos.</w:t>
      </w:r>
    </w:p>
    <w:p w:rsidR="00000000" w:rsidRDefault="0018461E">
      <w:pPr>
        <w:divId w:val="189615334"/>
        <w:rPr>
          <w:rFonts w:eastAsia="Times New Roman"/>
          <w:sz w:val="30"/>
          <w:szCs w:val="30"/>
          <w:lang w:val="es-ES"/>
        </w:rPr>
      </w:pPr>
      <w:r>
        <w:rPr>
          <w:rFonts w:eastAsia="Times New Roman"/>
          <w:sz w:val="30"/>
          <w:szCs w:val="30"/>
          <w:lang w:val="es-ES"/>
        </w:rPr>
        <w:t xml:space="preserve">Art. 209.- </w:t>
      </w:r>
      <w:r>
        <w:rPr>
          <w:rFonts w:eastAsia="Times New Roman"/>
          <w:b/>
          <w:bCs/>
          <w:sz w:val="30"/>
          <w:szCs w:val="30"/>
          <w:lang w:val="es-ES"/>
        </w:rPr>
        <w:t>Orientación de las operaci</w:t>
      </w:r>
      <w:r>
        <w:rPr>
          <w:rFonts w:eastAsia="Times New Roman"/>
          <w:b/>
          <w:bCs/>
          <w:sz w:val="30"/>
          <w:szCs w:val="30"/>
          <w:lang w:val="es-ES"/>
        </w:rPr>
        <w:t xml:space="preserve">ones de crédito. </w:t>
      </w:r>
      <w:r>
        <w:rPr>
          <w:rFonts w:eastAsia="Times New Roman"/>
          <w:sz w:val="30"/>
          <w:szCs w:val="30"/>
          <w:lang w:val="es-ES"/>
        </w:rPr>
        <w:t>La Junta de Política y Regulación Monetaria y Financiera podrá regular mediante normas la orientación y direccionamiento de las operaciones de crédito de las entidades del sistema financiero nacional y de las entidades no financieras que c</w:t>
      </w:r>
      <w:r>
        <w:rPr>
          <w:rFonts w:eastAsia="Times New Roman"/>
          <w:sz w:val="30"/>
          <w:szCs w:val="30"/>
          <w:lang w:val="es-ES"/>
        </w:rPr>
        <w:t>oncedan créditos por sobre los límites establecidos por la Junta. Al efecto, considerará, entre otros, los segmentos, tasas de interés, garantías y límites de crédito. En ningún caso la Junta podrá intervenir en la definición de la persona natural o jurídi</w:t>
      </w:r>
      <w:r>
        <w:rPr>
          <w:rFonts w:eastAsia="Times New Roman"/>
          <w:sz w:val="30"/>
          <w:szCs w:val="30"/>
          <w:lang w:val="es-ES"/>
        </w:rPr>
        <w:t>ca receptora de las operaciones de crédito.</w:t>
      </w:r>
      <w:r>
        <w:rPr>
          <w:rFonts w:eastAsia="Times New Roman"/>
          <w:sz w:val="30"/>
          <w:szCs w:val="30"/>
          <w:lang w:val="es-ES"/>
        </w:rPr>
        <w:br/>
      </w:r>
      <w:r>
        <w:rPr>
          <w:rFonts w:eastAsia="Times New Roman"/>
          <w:sz w:val="30"/>
          <w:szCs w:val="30"/>
          <w:lang w:val="es-ES"/>
        </w:rPr>
        <w:br/>
        <w:t>Para este propósito, la Junta considerará el calce de plazos entre los activos y pasivos de las entidades reguladas.</w:t>
      </w:r>
      <w:r>
        <w:rPr>
          <w:rFonts w:eastAsia="Times New Roman"/>
          <w:sz w:val="30"/>
          <w:szCs w:val="30"/>
          <w:lang w:val="es-ES"/>
        </w:rPr>
        <w:br/>
      </w:r>
      <w:r>
        <w:rPr>
          <w:rFonts w:eastAsia="Times New Roman"/>
          <w:sz w:val="30"/>
          <w:szCs w:val="30"/>
          <w:lang w:val="es-ES"/>
        </w:rPr>
        <w:br/>
        <w:t>La Junta podrá establecer incentivos para la implementación de esta disposición.</w:t>
      </w:r>
    </w:p>
    <w:p w:rsidR="00000000" w:rsidRDefault="0018461E">
      <w:pPr>
        <w:divId w:val="670261047"/>
        <w:rPr>
          <w:rFonts w:eastAsia="Times New Roman"/>
          <w:sz w:val="30"/>
          <w:szCs w:val="30"/>
          <w:lang w:val="es-ES"/>
        </w:rPr>
      </w:pPr>
      <w:r>
        <w:rPr>
          <w:rFonts w:eastAsia="Times New Roman"/>
          <w:sz w:val="30"/>
          <w:szCs w:val="30"/>
          <w:lang w:val="es-ES"/>
        </w:rPr>
        <w:t xml:space="preserve">Art. 210.- </w:t>
      </w:r>
      <w:r>
        <w:rPr>
          <w:rFonts w:eastAsia="Times New Roman"/>
          <w:b/>
          <w:bCs/>
          <w:sz w:val="30"/>
          <w:szCs w:val="30"/>
          <w:lang w:val="es-ES"/>
        </w:rPr>
        <w:t>L</w:t>
      </w:r>
      <w:r>
        <w:rPr>
          <w:rFonts w:eastAsia="Times New Roman"/>
          <w:b/>
          <w:bCs/>
          <w:sz w:val="30"/>
          <w:szCs w:val="30"/>
          <w:lang w:val="es-ES"/>
        </w:rPr>
        <w:t>ímites para las operaciones activas y contingentes.</w:t>
      </w:r>
      <w:r>
        <w:rPr>
          <w:rFonts w:eastAsia="Times New Roman"/>
          <w:sz w:val="30"/>
          <w:szCs w:val="30"/>
          <w:lang w:val="es-ES"/>
        </w:rPr>
        <w:br/>
      </w:r>
      <w:r>
        <w:rPr>
          <w:rFonts w:eastAsia="Times New Roman"/>
          <w:sz w:val="30"/>
          <w:szCs w:val="30"/>
          <w:lang w:val="es-ES"/>
        </w:rPr>
        <w:br/>
        <w:t xml:space="preserve">Las entidades financieras públicas, privadas y las del segmento 1 del sector financiero popular y solidario no podrán realizar operaciones activas y contingentes con una misma persona natural o jurídica </w:t>
      </w:r>
      <w:r>
        <w:rPr>
          <w:rFonts w:eastAsia="Times New Roman"/>
          <w:sz w:val="30"/>
          <w:szCs w:val="30"/>
          <w:lang w:val="es-ES"/>
        </w:rPr>
        <w:t>por una suma que exceda, en conjunto, el 10% del patrimonio técnico de la entidad. Este límite se elevará al 20% si lo que excede del 10% corresponde a obligaciones caucionadas con garantía de bancos nacionales o extranjeros de reconocida solvencia o por g</w:t>
      </w:r>
      <w:r>
        <w:rPr>
          <w:rFonts w:eastAsia="Times New Roman"/>
          <w:sz w:val="30"/>
          <w:szCs w:val="30"/>
          <w:lang w:val="es-ES"/>
        </w:rPr>
        <w:t xml:space="preserve">arantías adecuadas, en los términos que dicte la Junta de Política y Regulación </w:t>
      </w:r>
      <w:r>
        <w:rPr>
          <w:rFonts w:eastAsia="Times New Roman"/>
          <w:sz w:val="30"/>
          <w:szCs w:val="30"/>
          <w:lang w:val="es-ES"/>
        </w:rPr>
        <w:lastRenderedPageBreak/>
        <w:t>Monetaria y Financiera. Los límites de créditos establecidos se determinarán a la fecha de aprobación original de las operaciones o de cada reforma efectuada. En ningún caso la</w:t>
      </w:r>
      <w:r>
        <w:rPr>
          <w:rFonts w:eastAsia="Times New Roman"/>
          <w:sz w:val="30"/>
          <w:szCs w:val="30"/>
          <w:lang w:val="es-ES"/>
        </w:rPr>
        <w:t xml:space="preserve"> garantía adecuada podrá tener un valor inferior al valor total del exceso.</w:t>
      </w:r>
      <w:r>
        <w:rPr>
          <w:rFonts w:eastAsia="Times New Roman"/>
          <w:sz w:val="30"/>
          <w:szCs w:val="30"/>
          <w:lang w:val="es-ES"/>
        </w:rPr>
        <w:br/>
      </w:r>
      <w:r>
        <w:rPr>
          <w:rFonts w:eastAsia="Times New Roman"/>
          <w:sz w:val="30"/>
          <w:szCs w:val="30"/>
          <w:lang w:val="es-ES"/>
        </w:rPr>
        <w:br/>
        <w:t>El conjunto de las operaciones del inciso anterior, tampoco podrá exceder en ningún caso del doscientos por ciento (200%) del patrimonio del sujeto de crédito, salvo que existiese</w:t>
      </w:r>
      <w:r>
        <w:rPr>
          <w:rFonts w:eastAsia="Times New Roman"/>
          <w:sz w:val="30"/>
          <w:szCs w:val="30"/>
          <w:lang w:val="es-ES"/>
        </w:rPr>
        <w:t>n garantías adecuadas que cubran, en lo que excediese por lo menos el ciento veinte por ciento (120%), de conformidad con las regulaciones que emita la Junta.</w:t>
      </w:r>
      <w:r>
        <w:rPr>
          <w:rFonts w:eastAsia="Times New Roman"/>
          <w:sz w:val="30"/>
          <w:szCs w:val="30"/>
          <w:lang w:val="es-ES"/>
        </w:rPr>
        <w:br/>
      </w:r>
      <w:r>
        <w:rPr>
          <w:rFonts w:eastAsia="Times New Roman"/>
          <w:sz w:val="30"/>
          <w:szCs w:val="30"/>
          <w:lang w:val="es-ES"/>
        </w:rPr>
        <w:br/>
        <w:t>Los límites determinados en el inciso precedente no se aplicarán respecto de las operaciones act</w:t>
      </w:r>
      <w:r>
        <w:rPr>
          <w:rFonts w:eastAsia="Times New Roman"/>
          <w:sz w:val="30"/>
          <w:szCs w:val="30"/>
          <w:lang w:val="es-ES"/>
        </w:rPr>
        <w:t>ivas y contingentes con títulos emitidos por el Estado ecuatoriano y el Banco Central del Ecuador.</w:t>
      </w:r>
      <w:r>
        <w:rPr>
          <w:rFonts w:eastAsia="Times New Roman"/>
          <w:sz w:val="30"/>
          <w:szCs w:val="30"/>
          <w:lang w:val="es-ES"/>
        </w:rPr>
        <w:br/>
      </w:r>
      <w:r>
        <w:rPr>
          <w:rFonts w:eastAsia="Times New Roman"/>
          <w:sz w:val="30"/>
          <w:szCs w:val="30"/>
          <w:lang w:val="es-ES"/>
        </w:rPr>
        <w:br/>
        <w:t xml:space="preserve">La Junta de Política y Regulación Monetaria y Financiera establecerá porcentajes menores a los determinados en este artículo para las entidades financieras </w:t>
      </w:r>
      <w:r>
        <w:rPr>
          <w:rFonts w:eastAsia="Times New Roman"/>
          <w:sz w:val="30"/>
          <w:szCs w:val="30"/>
          <w:lang w:val="es-ES"/>
        </w:rPr>
        <w:t>que tengan un perfil de riesgo en exceso al nivel más seguro del sistema.</w:t>
      </w:r>
      <w:r>
        <w:rPr>
          <w:rFonts w:eastAsia="Times New Roman"/>
          <w:sz w:val="30"/>
          <w:szCs w:val="30"/>
          <w:lang w:val="es-ES"/>
        </w:rPr>
        <w:br/>
      </w:r>
      <w:r>
        <w:rPr>
          <w:rFonts w:eastAsia="Times New Roman"/>
          <w:sz w:val="30"/>
          <w:szCs w:val="30"/>
          <w:lang w:val="es-ES"/>
        </w:rPr>
        <w:br/>
        <w:t>La Junta de Política y Regulación Monetaria y Financiera establecerá los límites aplicables para el resto de segmentos del sector financiero popular y solidario.</w:t>
      </w:r>
    </w:p>
    <w:p w:rsidR="00000000" w:rsidRDefault="0018461E">
      <w:pPr>
        <w:divId w:val="1447046829"/>
        <w:rPr>
          <w:rFonts w:eastAsia="Times New Roman"/>
          <w:sz w:val="30"/>
          <w:szCs w:val="30"/>
          <w:lang w:val="es-ES"/>
        </w:rPr>
      </w:pPr>
      <w:r>
        <w:rPr>
          <w:rFonts w:eastAsia="Times New Roman"/>
          <w:sz w:val="30"/>
          <w:szCs w:val="30"/>
          <w:lang w:val="es-ES"/>
        </w:rPr>
        <w:t xml:space="preserve">Art. 211.- </w:t>
      </w:r>
      <w:r>
        <w:rPr>
          <w:rFonts w:eastAsia="Times New Roman"/>
          <w:b/>
          <w:bCs/>
          <w:sz w:val="30"/>
          <w:szCs w:val="30"/>
          <w:lang w:val="es-ES"/>
        </w:rPr>
        <w:t xml:space="preserve">Excepciones a los límites para operaciones activas y contingentes. </w:t>
      </w:r>
      <w:r>
        <w:rPr>
          <w:rFonts w:eastAsia="Times New Roman"/>
          <w:sz w:val="30"/>
          <w:szCs w:val="30"/>
          <w:lang w:val="es-ES"/>
        </w:rPr>
        <w:t>Se exceptúan de los límites determinados en el artículo precedente de este Código las siguientes operaciones:</w:t>
      </w:r>
      <w:r>
        <w:rPr>
          <w:rFonts w:eastAsia="Times New Roman"/>
          <w:sz w:val="30"/>
          <w:szCs w:val="30"/>
          <w:lang w:val="es-ES"/>
        </w:rPr>
        <w:br/>
      </w:r>
      <w:r>
        <w:rPr>
          <w:rFonts w:eastAsia="Times New Roman"/>
          <w:sz w:val="30"/>
          <w:szCs w:val="30"/>
          <w:lang w:val="es-ES"/>
        </w:rPr>
        <w:br/>
        <w:t>1. Los créditos destinados al financiamiento de las exportaciones luego de rea</w:t>
      </w:r>
      <w:r>
        <w:rPr>
          <w:rFonts w:eastAsia="Times New Roman"/>
          <w:sz w:val="30"/>
          <w:szCs w:val="30"/>
          <w:lang w:val="es-ES"/>
        </w:rPr>
        <w:t>lizado el embarque, que tuviesen la garantía de créditos irrevocables, abiertos por bancos calificados por el organismo de control como de reconocida solvencia del exterior;</w:t>
      </w:r>
      <w:r>
        <w:rPr>
          <w:rFonts w:eastAsia="Times New Roman"/>
          <w:sz w:val="30"/>
          <w:szCs w:val="30"/>
          <w:lang w:val="es-ES"/>
        </w:rPr>
        <w:br/>
      </w:r>
      <w:r>
        <w:rPr>
          <w:rFonts w:eastAsia="Times New Roman"/>
          <w:sz w:val="30"/>
          <w:szCs w:val="30"/>
          <w:lang w:val="es-ES"/>
        </w:rPr>
        <w:br/>
        <w:t>2. Las cartas de crédito confirmadas de importación y las garantías que se emitan</w:t>
      </w:r>
      <w:r>
        <w:rPr>
          <w:rFonts w:eastAsia="Times New Roman"/>
          <w:sz w:val="30"/>
          <w:szCs w:val="30"/>
          <w:lang w:val="es-ES"/>
        </w:rPr>
        <w:t xml:space="preserve"> con respaldos de contra garantías suficientes, de conformidad con la regulación que emita la Junta de Política y Regulación Monetaria y Financiera;</w:t>
      </w:r>
      <w:r>
        <w:rPr>
          <w:rFonts w:eastAsia="Times New Roman"/>
          <w:sz w:val="30"/>
          <w:szCs w:val="30"/>
          <w:lang w:val="es-ES"/>
        </w:rPr>
        <w:br/>
      </w:r>
      <w:r>
        <w:rPr>
          <w:rFonts w:eastAsia="Times New Roman"/>
          <w:sz w:val="30"/>
          <w:szCs w:val="30"/>
          <w:lang w:val="es-ES"/>
        </w:rPr>
        <w:br/>
        <w:t>3. Las garantías otorgadas por cuenta y riesgo de entidades financieras privadas del exterior, calificadas</w:t>
      </w:r>
      <w:r>
        <w:rPr>
          <w:rFonts w:eastAsia="Times New Roman"/>
          <w:sz w:val="30"/>
          <w:szCs w:val="30"/>
          <w:lang w:val="es-ES"/>
        </w:rPr>
        <w:t xml:space="preserve"> por el organismo de control como de </w:t>
      </w:r>
      <w:r>
        <w:rPr>
          <w:rFonts w:eastAsia="Times New Roman"/>
          <w:sz w:val="30"/>
          <w:szCs w:val="30"/>
          <w:lang w:val="es-ES"/>
        </w:rPr>
        <w:lastRenderedPageBreak/>
        <w:t>reconocida solvencia, siempre que cuenten con el respaldo documentario suficiente, en seguridad y a satisfacción de la entidad, de conformidad con la regulación que emita la Junta de Política y Regulación Monetaria y Fi</w:t>
      </w:r>
      <w:r>
        <w:rPr>
          <w:rFonts w:eastAsia="Times New Roman"/>
          <w:sz w:val="30"/>
          <w:szCs w:val="30"/>
          <w:lang w:val="es-ES"/>
        </w:rPr>
        <w:t>nanciera ; y,</w:t>
      </w:r>
      <w:r>
        <w:rPr>
          <w:rFonts w:eastAsia="Times New Roman"/>
          <w:sz w:val="30"/>
          <w:szCs w:val="30"/>
          <w:lang w:val="es-ES"/>
        </w:rPr>
        <w:br/>
      </w:r>
      <w:r>
        <w:rPr>
          <w:rFonts w:eastAsia="Times New Roman"/>
          <w:sz w:val="30"/>
          <w:szCs w:val="30"/>
          <w:lang w:val="es-ES"/>
        </w:rPr>
        <w:br/>
        <w:t>4. Las operaciones activas y contingentes entre entidades financieras, con las restricciones que determine la Junta de Política y Regulación Monetaria y Financiera.</w:t>
      </w:r>
    </w:p>
    <w:p w:rsidR="00000000" w:rsidRDefault="0018461E">
      <w:pPr>
        <w:divId w:val="1218396047"/>
        <w:rPr>
          <w:rFonts w:eastAsia="Times New Roman"/>
          <w:sz w:val="30"/>
          <w:szCs w:val="30"/>
          <w:lang w:val="es-ES"/>
        </w:rPr>
      </w:pPr>
      <w:r>
        <w:rPr>
          <w:rFonts w:eastAsia="Times New Roman"/>
          <w:sz w:val="30"/>
          <w:szCs w:val="30"/>
          <w:lang w:val="es-ES"/>
        </w:rPr>
        <w:t xml:space="preserve">Art. 212.- </w:t>
      </w:r>
      <w:r>
        <w:rPr>
          <w:rFonts w:eastAsia="Times New Roman"/>
          <w:b/>
          <w:bCs/>
          <w:sz w:val="30"/>
          <w:szCs w:val="30"/>
          <w:lang w:val="es-ES"/>
        </w:rPr>
        <w:t xml:space="preserve">Límites para grupo financiero. </w:t>
      </w:r>
      <w:r>
        <w:rPr>
          <w:rFonts w:eastAsia="Times New Roman"/>
          <w:sz w:val="30"/>
          <w:szCs w:val="30"/>
          <w:lang w:val="es-ES"/>
        </w:rPr>
        <w:t>Cuando se trate de un grupo financ</w:t>
      </w:r>
      <w:r>
        <w:rPr>
          <w:rFonts w:eastAsia="Times New Roman"/>
          <w:sz w:val="30"/>
          <w:szCs w:val="30"/>
          <w:lang w:val="es-ES"/>
        </w:rPr>
        <w:t>iero, los porcentajes previstos en el artículo 210, se computarán sobre el patrimonio técnico consolidado del grupo financiero.</w:t>
      </w:r>
    </w:p>
    <w:p w:rsidR="00000000" w:rsidRDefault="0018461E">
      <w:pPr>
        <w:divId w:val="1601110383"/>
        <w:rPr>
          <w:rFonts w:eastAsia="Times New Roman"/>
          <w:sz w:val="30"/>
          <w:szCs w:val="30"/>
          <w:lang w:val="es-ES"/>
        </w:rPr>
      </w:pPr>
      <w:r>
        <w:rPr>
          <w:rFonts w:eastAsia="Times New Roman"/>
          <w:sz w:val="30"/>
          <w:szCs w:val="30"/>
          <w:lang w:val="es-ES"/>
        </w:rPr>
        <w:t xml:space="preserve">Art. 213.- </w:t>
      </w:r>
      <w:r>
        <w:rPr>
          <w:rFonts w:eastAsia="Times New Roman"/>
          <w:b/>
          <w:bCs/>
          <w:sz w:val="30"/>
          <w:szCs w:val="30"/>
          <w:lang w:val="es-ES"/>
        </w:rPr>
        <w:t xml:space="preserve">Presunción de un solo sujeto de crédito. </w:t>
      </w:r>
      <w:r>
        <w:rPr>
          <w:rFonts w:eastAsia="Times New Roman"/>
          <w:sz w:val="30"/>
          <w:szCs w:val="30"/>
          <w:lang w:val="es-ES"/>
        </w:rPr>
        <w:t>Para efectos de los límites determinados en el artículo 210, se presumirá qu</w:t>
      </w:r>
      <w:r>
        <w:rPr>
          <w:rFonts w:eastAsia="Times New Roman"/>
          <w:sz w:val="30"/>
          <w:szCs w:val="30"/>
          <w:lang w:val="es-ES"/>
        </w:rPr>
        <w:t>e constituyen un solo sujeto las personas naturales o jurídicas individuales cuando:</w:t>
      </w:r>
      <w:r>
        <w:rPr>
          <w:rFonts w:eastAsia="Times New Roman"/>
          <w:sz w:val="30"/>
          <w:szCs w:val="30"/>
          <w:lang w:val="es-ES"/>
        </w:rPr>
        <w:br/>
      </w:r>
      <w:r>
        <w:rPr>
          <w:rFonts w:eastAsia="Times New Roman"/>
          <w:sz w:val="30"/>
          <w:szCs w:val="30"/>
          <w:lang w:val="es-ES"/>
        </w:rPr>
        <w:br/>
        <w:t>1. Sean accionistas directa o indirectamente en el 20% o más del capital de una misma persona jurídica;</w:t>
      </w:r>
      <w:r>
        <w:rPr>
          <w:rFonts w:eastAsia="Times New Roman"/>
          <w:sz w:val="30"/>
          <w:szCs w:val="30"/>
          <w:lang w:val="es-ES"/>
        </w:rPr>
        <w:br/>
      </w:r>
      <w:r>
        <w:rPr>
          <w:rFonts w:eastAsia="Times New Roman"/>
          <w:sz w:val="30"/>
          <w:szCs w:val="30"/>
          <w:lang w:val="es-ES"/>
        </w:rPr>
        <w:br/>
        <w:t>2. Existan relaciones de negocios, de capitales o de administraci</w:t>
      </w:r>
      <w:r>
        <w:rPr>
          <w:rFonts w:eastAsia="Times New Roman"/>
          <w:sz w:val="30"/>
          <w:szCs w:val="30"/>
          <w:lang w:val="es-ES"/>
        </w:rPr>
        <w:t>ón que permitan a una o más de ellas ejercer una influencia significativa y permanente en las decisiones de las demás;</w:t>
      </w:r>
      <w:r>
        <w:rPr>
          <w:rFonts w:eastAsia="Times New Roman"/>
          <w:sz w:val="30"/>
          <w:szCs w:val="30"/>
          <w:lang w:val="es-ES"/>
        </w:rPr>
        <w:br/>
      </w:r>
      <w:r>
        <w:rPr>
          <w:rFonts w:eastAsia="Times New Roman"/>
          <w:sz w:val="30"/>
          <w:szCs w:val="30"/>
          <w:lang w:val="es-ES"/>
        </w:rPr>
        <w:br/>
        <w:t>3. Existan datos o información fundada de que diversas personas mantienen relaciones de tal naturaleza que conforman de hecho una unidad</w:t>
      </w:r>
      <w:r>
        <w:rPr>
          <w:rFonts w:eastAsia="Times New Roman"/>
          <w:sz w:val="30"/>
          <w:szCs w:val="30"/>
          <w:lang w:val="es-ES"/>
        </w:rPr>
        <w:t xml:space="preserve"> de interés económico; y,</w:t>
      </w:r>
      <w:r>
        <w:rPr>
          <w:rFonts w:eastAsia="Times New Roman"/>
          <w:sz w:val="30"/>
          <w:szCs w:val="30"/>
          <w:lang w:val="es-ES"/>
        </w:rPr>
        <w:br/>
      </w:r>
      <w:r>
        <w:rPr>
          <w:rFonts w:eastAsia="Times New Roman"/>
          <w:sz w:val="30"/>
          <w:szCs w:val="30"/>
          <w:lang w:val="es-ES"/>
        </w:rPr>
        <w:br/>
        <w:t>4. Las demás que defina el organismo de control mediante norma.</w:t>
      </w:r>
    </w:p>
    <w:p w:rsidR="00000000" w:rsidRDefault="0018461E">
      <w:pPr>
        <w:divId w:val="257642263"/>
        <w:rPr>
          <w:rFonts w:eastAsia="Times New Roman"/>
          <w:sz w:val="30"/>
          <w:szCs w:val="30"/>
          <w:lang w:val="es-ES"/>
        </w:rPr>
      </w:pPr>
      <w:r>
        <w:rPr>
          <w:rFonts w:eastAsia="Times New Roman"/>
          <w:sz w:val="30"/>
          <w:szCs w:val="30"/>
          <w:lang w:val="es-ES"/>
        </w:rPr>
        <w:t xml:space="preserve">Art. 214.- </w:t>
      </w:r>
      <w:r>
        <w:rPr>
          <w:rFonts w:eastAsia="Times New Roman"/>
          <w:b/>
          <w:bCs/>
          <w:sz w:val="30"/>
          <w:szCs w:val="30"/>
          <w:lang w:val="es-ES"/>
        </w:rPr>
        <w:t xml:space="preserve">Garantías de operaciones de crédito. </w:t>
      </w:r>
      <w:r>
        <w:rPr>
          <w:rFonts w:eastAsia="Times New Roman"/>
          <w:sz w:val="30"/>
          <w:szCs w:val="30"/>
          <w:lang w:val="es-ES"/>
        </w:rPr>
        <w:t>Todas las operaciones de crédito deberán estar garantizadas. La Junta de Política y Regulación Monetaria y Financiera</w:t>
      </w:r>
      <w:r>
        <w:rPr>
          <w:rFonts w:eastAsia="Times New Roman"/>
          <w:sz w:val="30"/>
          <w:szCs w:val="30"/>
          <w:lang w:val="es-ES"/>
        </w:rPr>
        <w:t>, en forma motivada, establecerá los casos en los cuales las operaciones de crédito deban contar con garantía mínima, en cuanto a su calidad y mínima cobertura.</w:t>
      </w:r>
    </w:p>
    <w:p w:rsidR="00000000" w:rsidRDefault="0018461E">
      <w:pPr>
        <w:divId w:val="1432361818"/>
        <w:rPr>
          <w:rFonts w:eastAsia="Times New Roman"/>
          <w:sz w:val="30"/>
          <w:szCs w:val="30"/>
          <w:lang w:val="es-ES"/>
        </w:rPr>
      </w:pPr>
      <w:r>
        <w:rPr>
          <w:rFonts w:eastAsia="Times New Roman"/>
          <w:sz w:val="30"/>
          <w:szCs w:val="30"/>
          <w:lang w:val="es-ES"/>
        </w:rPr>
        <w:t xml:space="preserve">Art. 215.- </w:t>
      </w:r>
      <w:r>
        <w:rPr>
          <w:rFonts w:eastAsia="Times New Roman"/>
          <w:b/>
          <w:bCs/>
          <w:sz w:val="30"/>
          <w:szCs w:val="30"/>
          <w:lang w:val="es-ES"/>
        </w:rPr>
        <w:t xml:space="preserve">Prohibición de operaciones con vinculados. </w:t>
      </w:r>
      <w:r>
        <w:rPr>
          <w:rFonts w:eastAsia="Times New Roman"/>
          <w:sz w:val="30"/>
          <w:szCs w:val="30"/>
          <w:lang w:val="es-ES"/>
        </w:rPr>
        <w:t>Se prohíbe a las entidades financieras pú</w:t>
      </w:r>
      <w:r>
        <w:rPr>
          <w:rFonts w:eastAsia="Times New Roman"/>
          <w:sz w:val="30"/>
          <w:szCs w:val="30"/>
          <w:lang w:val="es-ES"/>
        </w:rPr>
        <w:t>blicas y privadas y a sus subsidiarias o afiliadas efectuar operaciones activas, pasivas, contingentes y de servicios con personas naturales o jurídicas vinculadas directa o indirectamente con su administración. Se exceptúan de esta prohibición las operaci</w:t>
      </w:r>
      <w:r>
        <w:rPr>
          <w:rFonts w:eastAsia="Times New Roman"/>
          <w:sz w:val="30"/>
          <w:szCs w:val="30"/>
          <w:lang w:val="es-ES"/>
        </w:rPr>
        <w:t xml:space="preserve">ones determinadas en el artículo 194 numeral 1 </w:t>
      </w:r>
      <w:r>
        <w:rPr>
          <w:rFonts w:eastAsia="Times New Roman"/>
          <w:sz w:val="30"/>
          <w:szCs w:val="30"/>
          <w:lang w:val="es-ES"/>
        </w:rPr>
        <w:lastRenderedPageBreak/>
        <w:t>literal a numeral 7; literal b numerales 1 y 2; y, literal d, numerales 1 y 4. Las entidades antes mencionadas podrán emitir tarjetas de débito y pago en favor de estas personas vinculadas.</w:t>
      </w:r>
      <w:r>
        <w:rPr>
          <w:rFonts w:eastAsia="Times New Roman"/>
          <w:sz w:val="30"/>
          <w:szCs w:val="30"/>
          <w:lang w:val="es-ES"/>
        </w:rPr>
        <w:br/>
      </w:r>
      <w:r>
        <w:rPr>
          <w:rFonts w:eastAsia="Times New Roman"/>
          <w:sz w:val="30"/>
          <w:szCs w:val="30"/>
          <w:lang w:val="es-ES"/>
        </w:rPr>
        <w:br/>
        <w:t>Las entidades fina</w:t>
      </w:r>
      <w:r>
        <w:rPr>
          <w:rFonts w:eastAsia="Times New Roman"/>
          <w:sz w:val="30"/>
          <w:szCs w:val="30"/>
          <w:lang w:val="es-ES"/>
        </w:rPr>
        <w:t>ncieras privadas también están prohibidas de efectuar operaciones con personas naturales y jurídicas vinculadas directa o indirectamente con la propiedad de dichas entidades, con excepción de las operaciones excluidas en el inciso precedente. Igual prohibi</w:t>
      </w:r>
      <w:r>
        <w:rPr>
          <w:rFonts w:eastAsia="Times New Roman"/>
          <w:sz w:val="30"/>
          <w:szCs w:val="30"/>
          <w:lang w:val="es-ES"/>
        </w:rPr>
        <w:t>ción aplicará para las entidades financieras populares y solidarias, considerando lo dispuesto en el artículo 450.</w:t>
      </w:r>
      <w:r>
        <w:rPr>
          <w:rFonts w:eastAsia="Times New Roman"/>
          <w:sz w:val="30"/>
          <w:szCs w:val="30"/>
          <w:lang w:val="es-ES"/>
        </w:rPr>
        <w:br/>
      </w:r>
      <w:r>
        <w:rPr>
          <w:rFonts w:eastAsia="Times New Roman"/>
          <w:sz w:val="30"/>
          <w:szCs w:val="30"/>
          <w:lang w:val="es-ES"/>
        </w:rPr>
        <w:br/>
        <w:t>Sobre el capital de una entidad financiera no existe vinculación por propiedad en las entidades financieras públicas y populares y solidaria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 xml:space="preserve">Las entidades financieras públicas y privadas podrán realizar operaciones de crédito en favor de sus empleados que no pertenezcan a la administración de la entidad, únicamente en condiciones de mercado y dentro de los límites que determine la Junta de </w:t>
      </w:r>
      <w:r>
        <w:rPr>
          <w:rFonts w:eastAsia="Times New Roman"/>
          <w:sz w:val="30"/>
          <w:szCs w:val="30"/>
          <w:lang w:val="es-ES"/>
        </w:rPr>
        <w:t>Política y Regulación Monetaria y Financiera, que no podrán superar el equivalente a veinticinco fracciones básicas exentas del impuesto a la renta, por cada persona. Para las entidades financieras de la economía popular y solidaria se observarán los cupos</w:t>
      </w:r>
      <w:r>
        <w:rPr>
          <w:rFonts w:eastAsia="Times New Roman"/>
          <w:sz w:val="30"/>
          <w:szCs w:val="30"/>
          <w:lang w:val="es-ES"/>
        </w:rPr>
        <w:t xml:space="preserve"> de crédito establecidos en este Código.</w:t>
      </w:r>
      <w:r>
        <w:rPr>
          <w:rFonts w:eastAsia="Times New Roman"/>
          <w:sz w:val="30"/>
          <w:szCs w:val="30"/>
          <w:lang w:val="es-ES"/>
        </w:rPr>
        <w:br/>
      </w:r>
      <w:r>
        <w:rPr>
          <w:rFonts w:eastAsia="Times New Roman"/>
          <w:sz w:val="30"/>
          <w:szCs w:val="30"/>
          <w:lang w:val="es-ES"/>
        </w:rPr>
        <w:br/>
        <w:t>Los administradores de las entidades financieras públicas y privadas y sus parientes dentro del cuarto grado de consanguinidad y segundo de afinidad, podrán acceder a operaciones de crédito educativo en la misma en</w:t>
      </w:r>
      <w:r>
        <w:rPr>
          <w:rFonts w:eastAsia="Times New Roman"/>
          <w:sz w:val="30"/>
          <w:szCs w:val="30"/>
          <w:lang w:val="es-ES"/>
        </w:rPr>
        <w:t>tidad en la que laboran, en condiciones de mercado, de conformidad con los límites que determine la Junta de Política y Regulación Monetaria y Financiera.</w:t>
      </w:r>
    </w:p>
    <w:p w:rsidR="00000000" w:rsidRDefault="0018461E">
      <w:pPr>
        <w:divId w:val="1764954838"/>
        <w:rPr>
          <w:rFonts w:eastAsia="Times New Roman"/>
          <w:sz w:val="30"/>
          <w:szCs w:val="30"/>
          <w:lang w:val="es-ES"/>
        </w:rPr>
      </w:pPr>
      <w:r>
        <w:rPr>
          <w:rFonts w:eastAsia="Times New Roman"/>
          <w:sz w:val="30"/>
          <w:szCs w:val="30"/>
          <w:lang w:val="es-ES"/>
        </w:rPr>
        <w:t xml:space="preserve">Art. 216.- </w:t>
      </w:r>
      <w:r>
        <w:rPr>
          <w:rFonts w:eastAsia="Times New Roman"/>
          <w:b/>
          <w:bCs/>
          <w:sz w:val="30"/>
          <w:szCs w:val="30"/>
          <w:lang w:val="es-ES"/>
        </w:rPr>
        <w:t xml:space="preserve">Personas vinculadas. </w:t>
      </w:r>
      <w:r>
        <w:rPr>
          <w:rFonts w:eastAsia="Times New Roman"/>
          <w:sz w:val="30"/>
          <w:szCs w:val="30"/>
          <w:lang w:val="es-ES"/>
        </w:rPr>
        <w:t>Se considerarán personas vinculadas a la propiedad o administración d</w:t>
      </w:r>
      <w:r>
        <w:rPr>
          <w:rFonts w:eastAsia="Times New Roman"/>
          <w:sz w:val="30"/>
          <w:szCs w:val="30"/>
          <w:lang w:val="es-ES"/>
        </w:rPr>
        <w:t>e la entidad financiera pública o privada, las siguientes:</w:t>
      </w:r>
      <w:r>
        <w:rPr>
          <w:rFonts w:eastAsia="Times New Roman"/>
          <w:sz w:val="30"/>
          <w:szCs w:val="30"/>
          <w:lang w:val="es-ES"/>
        </w:rPr>
        <w:br/>
      </w:r>
      <w:r>
        <w:rPr>
          <w:rFonts w:eastAsia="Times New Roman"/>
          <w:sz w:val="30"/>
          <w:szCs w:val="30"/>
          <w:lang w:val="es-ES"/>
        </w:rPr>
        <w:br/>
        <w:t>1. Las personas naturales o jurídicas que posean, directa o indirectamente, el menor valor de entre los siguientes literales:</w:t>
      </w:r>
      <w:r>
        <w:rPr>
          <w:rFonts w:eastAsia="Times New Roman"/>
          <w:sz w:val="30"/>
          <w:szCs w:val="30"/>
          <w:lang w:val="es-ES"/>
        </w:rPr>
        <w:br/>
      </w:r>
      <w:r>
        <w:rPr>
          <w:rFonts w:eastAsia="Times New Roman"/>
          <w:sz w:val="30"/>
          <w:szCs w:val="30"/>
          <w:lang w:val="es-ES"/>
        </w:rPr>
        <w:br/>
        <w:t>a. El 1% o más del capital suscrito y pagado de la entidad financiera</w:t>
      </w:r>
      <w:r>
        <w:rPr>
          <w:rFonts w:eastAsia="Times New Roman"/>
          <w:sz w:val="30"/>
          <w:szCs w:val="30"/>
          <w:lang w:val="es-ES"/>
        </w:rPr>
        <w:t>; o,</w:t>
      </w:r>
      <w:r>
        <w:rPr>
          <w:rFonts w:eastAsia="Times New Roman"/>
          <w:sz w:val="30"/>
          <w:szCs w:val="30"/>
          <w:lang w:val="es-ES"/>
        </w:rPr>
        <w:br/>
      </w:r>
      <w:r>
        <w:rPr>
          <w:rFonts w:eastAsia="Times New Roman"/>
          <w:sz w:val="30"/>
          <w:szCs w:val="30"/>
          <w:lang w:val="es-ES"/>
        </w:rPr>
        <w:lastRenderedPageBreak/>
        <w:br/>
        <w:t>b. Capital suscrito y pagado de la entidad financiera por un monto mayor o igual a cien fracciones básicas exentas del impuesto a la renta.</w:t>
      </w:r>
      <w:r>
        <w:rPr>
          <w:rFonts w:eastAsia="Times New Roman"/>
          <w:sz w:val="30"/>
          <w:szCs w:val="30"/>
          <w:lang w:val="es-ES"/>
        </w:rPr>
        <w:br/>
      </w:r>
      <w:r>
        <w:rPr>
          <w:rFonts w:eastAsia="Times New Roman"/>
          <w:sz w:val="30"/>
          <w:szCs w:val="30"/>
          <w:lang w:val="es-ES"/>
        </w:rPr>
        <w:br/>
        <w:t xml:space="preserve">2. Las personas con propiedad patrimonial con influencia de una entidad subsidiaria o afiliada perteneciente </w:t>
      </w:r>
      <w:r>
        <w:rPr>
          <w:rFonts w:eastAsia="Times New Roman"/>
          <w:sz w:val="30"/>
          <w:szCs w:val="30"/>
          <w:lang w:val="es-ES"/>
        </w:rPr>
        <w:t>a un grupo financiero;</w:t>
      </w:r>
      <w:r>
        <w:rPr>
          <w:rFonts w:eastAsia="Times New Roman"/>
          <w:sz w:val="30"/>
          <w:szCs w:val="30"/>
          <w:lang w:val="es-ES"/>
        </w:rPr>
        <w:br/>
      </w:r>
      <w:r>
        <w:rPr>
          <w:rFonts w:eastAsia="Times New Roman"/>
          <w:sz w:val="30"/>
          <w:szCs w:val="30"/>
          <w:lang w:val="es-ES"/>
        </w:rPr>
        <w:br/>
        <w:t>3. Las personas jurídicas en las cuales los administradores o funcionarios que aprueban operaciones de crédito de una entidad financiera posean directa o indirectamente más del 3% del capital de dichas sociedades;</w:t>
      </w:r>
      <w:r>
        <w:rPr>
          <w:rFonts w:eastAsia="Times New Roman"/>
          <w:sz w:val="30"/>
          <w:szCs w:val="30"/>
          <w:lang w:val="es-ES"/>
        </w:rPr>
        <w:br/>
      </w:r>
      <w:r>
        <w:rPr>
          <w:rFonts w:eastAsia="Times New Roman"/>
          <w:sz w:val="30"/>
          <w:szCs w:val="30"/>
          <w:lang w:val="es-ES"/>
        </w:rPr>
        <w:br/>
        <w:t xml:space="preserve">4. Los cónyuges, </w:t>
      </w:r>
      <w:r>
        <w:rPr>
          <w:rFonts w:eastAsia="Times New Roman"/>
          <w:sz w:val="30"/>
          <w:szCs w:val="30"/>
          <w:lang w:val="es-ES"/>
        </w:rPr>
        <w:t>los convivientes o los parientes dentro del segundo grado de consanguinidad y los parientes hasta el primer grado de afinidad de los accionistas que sean personas con propiedad patrimonial con influencia y de los administradores de una entidad financiera;</w:t>
      </w:r>
      <w:r>
        <w:rPr>
          <w:rFonts w:eastAsia="Times New Roman"/>
          <w:sz w:val="30"/>
          <w:szCs w:val="30"/>
          <w:lang w:val="es-ES"/>
        </w:rPr>
        <w:br/>
      </w:r>
      <w:r>
        <w:rPr>
          <w:rFonts w:eastAsia="Times New Roman"/>
          <w:sz w:val="30"/>
          <w:szCs w:val="30"/>
          <w:lang w:val="es-ES"/>
        </w:rPr>
        <w:br/>
        <w:t>5. Los parientes en tercer y cuarto grado de consanguinidad y los parientes del segundo grado de afinidad de los accionistas con más del 12% del paquete accionarial y de los administradores de una entidad financiera;</w:t>
      </w:r>
      <w:r>
        <w:rPr>
          <w:rFonts w:eastAsia="Times New Roman"/>
          <w:sz w:val="30"/>
          <w:szCs w:val="30"/>
          <w:lang w:val="es-ES"/>
        </w:rPr>
        <w:br/>
      </w:r>
      <w:r>
        <w:rPr>
          <w:rFonts w:eastAsia="Times New Roman"/>
          <w:sz w:val="30"/>
          <w:szCs w:val="30"/>
          <w:lang w:val="es-ES"/>
        </w:rPr>
        <w:br/>
        <w:t>6. Los cónyuges, los convivientes o l</w:t>
      </w:r>
      <w:r>
        <w:rPr>
          <w:rFonts w:eastAsia="Times New Roman"/>
          <w:sz w:val="30"/>
          <w:szCs w:val="30"/>
          <w:lang w:val="es-ES"/>
        </w:rPr>
        <w:t>os parientes dentro del segundo grado de consanguinidad o primero de afinidad de los funcionarios de una entidad financiera que aprueban operaciones de crédito; y,</w:t>
      </w:r>
      <w:r>
        <w:rPr>
          <w:rFonts w:eastAsia="Times New Roman"/>
          <w:sz w:val="30"/>
          <w:szCs w:val="30"/>
          <w:lang w:val="es-ES"/>
        </w:rPr>
        <w:br/>
      </w:r>
      <w:r>
        <w:rPr>
          <w:rFonts w:eastAsia="Times New Roman"/>
          <w:sz w:val="30"/>
          <w:szCs w:val="30"/>
          <w:lang w:val="es-ES"/>
        </w:rPr>
        <w:br/>
        <w:t>7. Las personas jurídicas en las que los cónyuges, los convivientes, los parientes dentro d</w:t>
      </w:r>
      <w:r>
        <w:rPr>
          <w:rFonts w:eastAsia="Times New Roman"/>
          <w:sz w:val="30"/>
          <w:szCs w:val="30"/>
          <w:lang w:val="es-ES"/>
        </w:rPr>
        <w:t>el segundo grado de consanguinidad o primero de afinidad de los administradores o de los funcionarios que aprueban operaciones de crédito de una entidad financiera, posean acciones por un 3% o más del capital de dichas sociedades.</w:t>
      </w:r>
      <w:r>
        <w:rPr>
          <w:rFonts w:eastAsia="Times New Roman"/>
          <w:sz w:val="30"/>
          <w:szCs w:val="30"/>
          <w:lang w:val="es-ES"/>
        </w:rPr>
        <w:br/>
      </w:r>
      <w:r>
        <w:rPr>
          <w:rFonts w:eastAsia="Times New Roman"/>
          <w:sz w:val="30"/>
          <w:szCs w:val="30"/>
          <w:lang w:val="es-ES"/>
        </w:rPr>
        <w:br/>
        <w:t>Para las entidades del s</w:t>
      </w:r>
      <w:r>
        <w:rPr>
          <w:rFonts w:eastAsia="Times New Roman"/>
          <w:sz w:val="30"/>
          <w:szCs w:val="30"/>
          <w:lang w:val="es-ES"/>
        </w:rPr>
        <w:t>ector financiero popular y solidario, solo existirá vinculación en los numerales 3 y 7 del presente artículo, y en las operaciones que superen los cupos de crédito establecidos en este Código y en la normativa que expida la Junta de Política y Regulación M</w:t>
      </w:r>
      <w:r>
        <w:rPr>
          <w:rFonts w:eastAsia="Times New Roman"/>
          <w:sz w:val="30"/>
          <w:szCs w:val="30"/>
          <w:lang w:val="es-ES"/>
        </w:rPr>
        <w:t>onetaria y Financiera.</w:t>
      </w:r>
    </w:p>
    <w:p w:rsidR="00000000" w:rsidRDefault="0018461E">
      <w:pPr>
        <w:divId w:val="827013230"/>
        <w:rPr>
          <w:rFonts w:eastAsia="Times New Roman"/>
          <w:sz w:val="30"/>
          <w:szCs w:val="30"/>
          <w:lang w:val="es-ES"/>
        </w:rPr>
      </w:pPr>
      <w:r>
        <w:rPr>
          <w:rFonts w:eastAsia="Times New Roman"/>
          <w:sz w:val="30"/>
          <w:szCs w:val="30"/>
          <w:lang w:val="es-ES"/>
        </w:rPr>
        <w:lastRenderedPageBreak/>
        <w:t xml:space="preserve">Art. 217.- </w:t>
      </w:r>
      <w:r>
        <w:rPr>
          <w:rFonts w:eastAsia="Times New Roman"/>
          <w:b/>
          <w:bCs/>
          <w:sz w:val="30"/>
          <w:szCs w:val="30"/>
          <w:lang w:val="es-ES"/>
        </w:rPr>
        <w:t xml:space="preserve">Personas vinculadas por presunción. </w:t>
      </w:r>
      <w:r>
        <w:rPr>
          <w:rFonts w:eastAsia="Times New Roman"/>
          <w:sz w:val="30"/>
          <w:szCs w:val="30"/>
          <w:lang w:val="es-ES"/>
        </w:rPr>
        <w:t>Son personas vinculadas por presunción, en las entidades del sistema financiero nacional, las siguientes:</w:t>
      </w:r>
      <w:r>
        <w:rPr>
          <w:rFonts w:eastAsia="Times New Roman"/>
          <w:sz w:val="30"/>
          <w:szCs w:val="30"/>
          <w:lang w:val="es-ES"/>
        </w:rPr>
        <w:br/>
      </w:r>
      <w:r>
        <w:rPr>
          <w:rFonts w:eastAsia="Times New Roman"/>
          <w:sz w:val="30"/>
          <w:szCs w:val="30"/>
          <w:lang w:val="es-ES"/>
        </w:rPr>
        <w:br/>
        <w:t>1. Las que hayan recibido créditos en condiciones preferenciales por plazos, ta</w:t>
      </w:r>
      <w:r>
        <w:rPr>
          <w:rFonts w:eastAsia="Times New Roman"/>
          <w:sz w:val="30"/>
          <w:szCs w:val="30"/>
          <w:lang w:val="es-ES"/>
        </w:rPr>
        <w:t>sas de interés, falta de caución o desproporcionadas respecto del patrimonio del deudor o de su capacidad de pago;</w:t>
      </w:r>
      <w:r>
        <w:rPr>
          <w:rFonts w:eastAsia="Times New Roman"/>
          <w:sz w:val="30"/>
          <w:szCs w:val="30"/>
          <w:lang w:val="es-ES"/>
        </w:rPr>
        <w:br/>
      </w:r>
      <w:r>
        <w:rPr>
          <w:rFonts w:eastAsia="Times New Roman"/>
          <w:sz w:val="30"/>
          <w:szCs w:val="30"/>
          <w:lang w:val="es-ES"/>
        </w:rPr>
        <w:br/>
        <w:t>2. Las que hayan recibido créditos no garantizados adecuadamente, sin antecedentes o domiciliados en el extranjero y sin información disponi</w:t>
      </w:r>
      <w:r>
        <w:rPr>
          <w:rFonts w:eastAsia="Times New Roman"/>
          <w:sz w:val="30"/>
          <w:szCs w:val="30"/>
          <w:lang w:val="es-ES"/>
        </w:rPr>
        <w:t>ble sobre ellos;</w:t>
      </w:r>
      <w:r>
        <w:rPr>
          <w:rFonts w:eastAsia="Times New Roman"/>
          <w:sz w:val="30"/>
          <w:szCs w:val="30"/>
          <w:lang w:val="es-ES"/>
        </w:rPr>
        <w:br/>
      </w:r>
      <w:r>
        <w:rPr>
          <w:rFonts w:eastAsia="Times New Roman"/>
          <w:sz w:val="30"/>
          <w:szCs w:val="30"/>
          <w:lang w:val="es-ES"/>
        </w:rPr>
        <w:br/>
        <w:t>3. Las que hayan recibido créditos por reciprocidad con otra entidad financiera;</w:t>
      </w:r>
      <w:r>
        <w:rPr>
          <w:rFonts w:eastAsia="Times New Roman"/>
          <w:sz w:val="30"/>
          <w:szCs w:val="30"/>
          <w:lang w:val="es-ES"/>
        </w:rPr>
        <w:br/>
      </w:r>
      <w:r>
        <w:rPr>
          <w:rFonts w:eastAsia="Times New Roman"/>
          <w:sz w:val="30"/>
          <w:szCs w:val="30"/>
          <w:lang w:val="es-ES"/>
        </w:rPr>
        <w:br/>
        <w:t>4. Las que tengan tratamientos preferenciales en operaciones pasivas; y,</w:t>
      </w:r>
      <w:r>
        <w:rPr>
          <w:rFonts w:eastAsia="Times New Roman"/>
          <w:sz w:val="30"/>
          <w:szCs w:val="30"/>
          <w:lang w:val="es-ES"/>
        </w:rPr>
        <w:br/>
      </w:r>
      <w:r>
        <w:rPr>
          <w:rFonts w:eastAsia="Times New Roman"/>
          <w:sz w:val="30"/>
          <w:szCs w:val="30"/>
          <w:lang w:val="es-ES"/>
        </w:rPr>
        <w:br/>
        <w:t>5. Las que se declaren presuntivas, con arreglo a las normas de carácter general d</w:t>
      </w:r>
      <w:r>
        <w:rPr>
          <w:rFonts w:eastAsia="Times New Roman"/>
          <w:sz w:val="30"/>
          <w:szCs w:val="30"/>
          <w:lang w:val="es-ES"/>
        </w:rPr>
        <w:t>ictadas por los organismos de control.</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DEL RÉGIMEN FINANCIERO Y CONTABLE</w:t>
      </w:r>
    </w:p>
    <w:p w:rsidR="00000000" w:rsidRDefault="0018461E">
      <w:pPr>
        <w:divId w:val="1832481843"/>
        <w:rPr>
          <w:rFonts w:eastAsia="Times New Roman"/>
          <w:sz w:val="30"/>
          <w:szCs w:val="30"/>
          <w:lang w:val="es-ES"/>
        </w:rPr>
      </w:pPr>
      <w:r>
        <w:rPr>
          <w:rFonts w:eastAsia="Times New Roman"/>
          <w:sz w:val="30"/>
          <w:szCs w:val="30"/>
          <w:lang w:val="es-ES"/>
        </w:rPr>
        <w:t xml:space="preserve">Art. 218.- </w:t>
      </w:r>
      <w:r>
        <w:rPr>
          <w:rFonts w:eastAsia="Times New Roman"/>
          <w:b/>
          <w:bCs/>
          <w:sz w:val="30"/>
          <w:szCs w:val="30"/>
          <w:lang w:val="es-ES"/>
        </w:rPr>
        <w:t xml:space="preserve">Normas contables. </w:t>
      </w:r>
      <w:r>
        <w:rPr>
          <w:rFonts w:eastAsia="Times New Roman"/>
          <w:sz w:val="30"/>
          <w:szCs w:val="30"/>
          <w:lang w:val="es-ES"/>
        </w:rPr>
        <w:t>Las entidades del sistema financiero nacional deberán someterse a las políticas y regulaciones que sobre contabilidad y estados financieros ex</w:t>
      </w:r>
      <w:r>
        <w:rPr>
          <w:rFonts w:eastAsia="Times New Roman"/>
          <w:sz w:val="30"/>
          <w:szCs w:val="30"/>
          <w:lang w:val="es-ES"/>
        </w:rPr>
        <w:t>pida la Junta de Política y Regulación Monetaria y Financiera, así como a las normas de control que sobre estas materias dicten, de forma supletoria y no contradictoria, los organismos de control respectivos.</w:t>
      </w:r>
    </w:p>
    <w:p w:rsidR="00000000" w:rsidRDefault="0018461E">
      <w:pPr>
        <w:divId w:val="1969361515"/>
        <w:rPr>
          <w:rFonts w:eastAsia="Times New Roman"/>
          <w:sz w:val="30"/>
          <w:szCs w:val="30"/>
          <w:lang w:val="es-ES"/>
        </w:rPr>
      </w:pPr>
      <w:r>
        <w:rPr>
          <w:rFonts w:eastAsia="Times New Roman"/>
          <w:sz w:val="30"/>
          <w:szCs w:val="30"/>
          <w:lang w:val="es-ES"/>
        </w:rPr>
        <w:t xml:space="preserve">Art. 219.- </w:t>
      </w:r>
      <w:r>
        <w:rPr>
          <w:rFonts w:eastAsia="Times New Roman"/>
          <w:b/>
          <w:bCs/>
          <w:sz w:val="30"/>
          <w:szCs w:val="30"/>
          <w:lang w:val="es-ES"/>
        </w:rPr>
        <w:t xml:space="preserve">Estados financieros. </w:t>
      </w:r>
      <w:r>
        <w:rPr>
          <w:rFonts w:eastAsia="Times New Roman"/>
          <w:sz w:val="30"/>
          <w:szCs w:val="30"/>
          <w:lang w:val="es-ES"/>
        </w:rPr>
        <w:t>Los estados fin</w:t>
      </w:r>
      <w:r>
        <w:rPr>
          <w:rFonts w:eastAsia="Times New Roman"/>
          <w:sz w:val="30"/>
          <w:szCs w:val="30"/>
          <w:lang w:val="es-ES"/>
        </w:rPr>
        <w:t>ancieros de las entidades del sistema financiero nacional, con corte al 31 de diciembre de cada año, deberán ser suscritos por el representante legal y el contador general de la entidad y contarán con la opinión de los auditores interno y externo calificad</w:t>
      </w:r>
      <w:r>
        <w:rPr>
          <w:rFonts w:eastAsia="Times New Roman"/>
          <w:sz w:val="30"/>
          <w:szCs w:val="30"/>
          <w:lang w:val="es-ES"/>
        </w:rPr>
        <w:t>os por las superintendencias, según el caso.</w:t>
      </w:r>
      <w:r>
        <w:rPr>
          <w:rFonts w:eastAsia="Times New Roman"/>
          <w:sz w:val="30"/>
          <w:szCs w:val="30"/>
          <w:lang w:val="es-ES"/>
        </w:rPr>
        <w:br/>
      </w:r>
      <w:r>
        <w:rPr>
          <w:rFonts w:eastAsia="Times New Roman"/>
          <w:sz w:val="30"/>
          <w:szCs w:val="30"/>
          <w:lang w:val="es-ES"/>
        </w:rPr>
        <w:br/>
        <w:t xml:space="preserve">La Junta General de Accionistas o el organismo que haga sus veces, hasta el 31 de marzo de cada año aprobará los estados financieros auditados de las entidades financieras, con corte al 31 de diciembre </w:t>
      </w:r>
      <w:r>
        <w:rPr>
          <w:rFonts w:eastAsia="Times New Roman"/>
          <w:sz w:val="30"/>
          <w:szCs w:val="30"/>
          <w:lang w:val="es-ES"/>
        </w:rPr>
        <w:lastRenderedPageBreak/>
        <w:t xml:space="preserve">del año </w:t>
      </w:r>
      <w:r>
        <w:rPr>
          <w:rFonts w:eastAsia="Times New Roman"/>
          <w:sz w:val="30"/>
          <w:szCs w:val="30"/>
          <w:lang w:val="es-ES"/>
        </w:rPr>
        <w:t>anterior, los que serán presentados al correspondiente organismo de control.</w:t>
      </w:r>
    </w:p>
    <w:p w:rsidR="00000000" w:rsidRDefault="0018461E">
      <w:pPr>
        <w:divId w:val="669214571"/>
        <w:rPr>
          <w:rFonts w:eastAsia="Times New Roman"/>
          <w:sz w:val="30"/>
          <w:szCs w:val="30"/>
          <w:lang w:val="es-ES"/>
        </w:rPr>
      </w:pPr>
      <w:r>
        <w:rPr>
          <w:rFonts w:eastAsia="Times New Roman"/>
          <w:sz w:val="30"/>
          <w:szCs w:val="30"/>
          <w:lang w:val="es-ES"/>
        </w:rPr>
        <w:t xml:space="preserve">Art. 220.- </w:t>
      </w:r>
      <w:r>
        <w:rPr>
          <w:rFonts w:eastAsia="Times New Roman"/>
          <w:b/>
          <w:bCs/>
          <w:sz w:val="30"/>
          <w:szCs w:val="30"/>
          <w:lang w:val="es-ES"/>
        </w:rPr>
        <w:t xml:space="preserve">Presentación de estados financieros al organismo de control. </w:t>
      </w:r>
      <w:r>
        <w:rPr>
          <w:rFonts w:eastAsia="Times New Roman"/>
          <w:sz w:val="30"/>
          <w:szCs w:val="30"/>
          <w:lang w:val="es-ES"/>
        </w:rPr>
        <w:t>Las entidades del sistema financiero nacional presentarán a los respectivos organismos de control los estad</w:t>
      </w:r>
      <w:r>
        <w:rPr>
          <w:rFonts w:eastAsia="Times New Roman"/>
          <w:sz w:val="30"/>
          <w:szCs w:val="30"/>
          <w:lang w:val="es-ES"/>
        </w:rPr>
        <w:t>os financieros, incluidos sus balances consolidados y combinados, suscritos por el representante legal y el contador general de la entidad, y la información adicional que sea requerida, en los formatos y con la periodicidad que determinen las superintenden</w:t>
      </w:r>
      <w:r>
        <w:rPr>
          <w:rFonts w:eastAsia="Times New Roman"/>
          <w:sz w:val="30"/>
          <w:szCs w:val="30"/>
          <w:lang w:val="es-ES"/>
        </w:rPr>
        <w:t>cias.</w:t>
      </w:r>
      <w:r>
        <w:rPr>
          <w:rFonts w:eastAsia="Times New Roman"/>
          <w:sz w:val="30"/>
          <w:szCs w:val="30"/>
          <w:lang w:val="es-ES"/>
        </w:rPr>
        <w:br/>
      </w:r>
      <w:r>
        <w:rPr>
          <w:rFonts w:eastAsia="Times New Roman"/>
          <w:sz w:val="30"/>
          <w:szCs w:val="30"/>
          <w:lang w:val="es-ES"/>
        </w:rPr>
        <w:br/>
        <w:t xml:space="preserve">Las entidades del sistema financiero nacional estarán obligadas a dar acceso a los organismos de control y al Servicio de Rentas Internas a la contabilidad, libros, correspondencia, archivos o documentos justificativos de sus operaciones, de manera </w:t>
      </w:r>
      <w:r>
        <w:rPr>
          <w:rFonts w:eastAsia="Times New Roman"/>
          <w:sz w:val="30"/>
          <w:szCs w:val="30"/>
          <w:lang w:val="es-ES"/>
        </w:rPr>
        <w:t>electrónica en tiempo real y física, sin limitación alguna.</w:t>
      </w:r>
    </w:p>
    <w:p w:rsidR="00000000" w:rsidRDefault="0018461E">
      <w:pPr>
        <w:divId w:val="556235493"/>
        <w:rPr>
          <w:rFonts w:eastAsia="Times New Roman"/>
          <w:sz w:val="30"/>
          <w:szCs w:val="30"/>
          <w:lang w:val="es-ES"/>
        </w:rPr>
      </w:pPr>
      <w:r>
        <w:rPr>
          <w:rFonts w:eastAsia="Times New Roman"/>
          <w:sz w:val="30"/>
          <w:szCs w:val="30"/>
          <w:lang w:val="es-ES"/>
        </w:rPr>
        <w:t xml:space="preserve">Art. 221.- </w:t>
      </w:r>
      <w:r>
        <w:rPr>
          <w:rFonts w:eastAsia="Times New Roman"/>
          <w:b/>
          <w:bCs/>
          <w:sz w:val="30"/>
          <w:szCs w:val="30"/>
          <w:lang w:val="es-ES"/>
        </w:rPr>
        <w:t xml:space="preserve">Publicación de los estados financieros. </w:t>
      </w:r>
      <w:r>
        <w:rPr>
          <w:rFonts w:eastAsia="Times New Roman"/>
          <w:sz w:val="30"/>
          <w:szCs w:val="30"/>
          <w:lang w:val="es-ES"/>
        </w:rPr>
        <w:t>Las entidades del sistema financiero nacional publicarán los estados de situación, pérdidas y ganancias, posición de patrimonio técnico e indicad</w:t>
      </w:r>
      <w:r>
        <w:rPr>
          <w:rFonts w:eastAsia="Times New Roman"/>
          <w:sz w:val="30"/>
          <w:szCs w:val="30"/>
          <w:lang w:val="es-ES"/>
        </w:rPr>
        <w:t>ores de liquidez, solvencia, eficiencia y rentabilidad, los que deberán contener adicionalmente la opinión del auditor externo calificado por la respectiva superintendencia y todas las notas explicativas que complementen la información comprendida en su di</w:t>
      </w:r>
      <w:r>
        <w:rPr>
          <w:rFonts w:eastAsia="Times New Roman"/>
          <w:sz w:val="30"/>
          <w:szCs w:val="30"/>
          <w:lang w:val="es-ES"/>
        </w:rPr>
        <w:t>ctamen, al menos una vez año al cierre de cada ejercicio al 31 de diciembre, o cuando los organismos de control así lo dispongan, de conformidad con las normas establecidas para el efecto.</w:t>
      </w:r>
      <w:r>
        <w:rPr>
          <w:rFonts w:eastAsia="Times New Roman"/>
          <w:sz w:val="30"/>
          <w:szCs w:val="30"/>
          <w:lang w:val="es-ES"/>
        </w:rPr>
        <w:br/>
      </w:r>
      <w:r>
        <w:rPr>
          <w:rFonts w:eastAsia="Times New Roman"/>
          <w:sz w:val="30"/>
          <w:szCs w:val="30"/>
          <w:lang w:val="es-ES"/>
        </w:rPr>
        <w:br/>
        <w:t>Para el caso de los grupos financieros y grupos populares y solida</w:t>
      </w:r>
      <w:r>
        <w:rPr>
          <w:rFonts w:eastAsia="Times New Roman"/>
          <w:sz w:val="30"/>
          <w:szCs w:val="30"/>
          <w:lang w:val="es-ES"/>
        </w:rPr>
        <w:t>rios, cada una de las entidades integrantes presentará a la superintendencia y publicará, conjuntamente con los informes de los auditores internos y del auditor externo calificados por la respectiva superintendencia, sus estados financieros individuales, a</w:t>
      </w:r>
      <w:r>
        <w:rPr>
          <w:rFonts w:eastAsia="Times New Roman"/>
          <w:sz w:val="30"/>
          <w:szCs w:val="30"/>
          <w:lang w:val="es-ES"/>
        </w:rPr>
        <w:t>sí como los estados financieros consolidados y auditados del grupo.</w:t>
      </w:r>
      <w:r>
        <w:rPr>
          <w:rFonts w:eastAsia="Times New Roman"/>
          <w:sz w:val="30"/>
          <w:szCs w:val="30"/>
          <w:lang w:val="es-ES"/>
        </w:rPr>
        <w:br/>
      </w:r>
      <w:r>
        <w:rPr>
          <w:rFonts w:eastAsia="Times New Roman"/>
          <w:sz w:val="30"/>
          <w:szCs w:val="30"/>
          <w:lang w:val="es-ES"/>
        </w:rPr>
        <w:br/>
        <w:t>La publicación se realizará en un diario de la circunscripción territorial en la que tenga cobertura la entidad y en la página web de cada entidad financiera.</w:t>
      </w:r>
    </w:p>
    <w:p w:rsidR="00000000" w:rsidRDefault="0018461E">
      <w:pPr>
        <w:divId w:val="1148744550"/>
        <w:rPr>
          <w:rFonts w:eastAsia="Times New Roman"/>
          <w:sz w:val="30"/>
          <w:szCs w:val="30"/>
          <w:lang w:val="es-ES"/>
        </w:rPr>
      </w:pPr>
      <w:r>
        <w:rPr>
          <w:rFonts w:eastAsia="Times New Roman"/>
          <w:sz w:val="30"/>
          <w:szCs w:val="30"/>
          <w:lang w:val="es-ES"/>
        </w:rPr>
        <w:t xml:space="preserve">Art. 222.- </w:t>
      </w:r>
      <w:r>
        <w:rPr>
          <w:rFonts w:eastAsia="Times New Roman"/>
          <w:b/>
          <w:bCs/>
          <w:sz w:val="30"/>
          <w:szCs w:val="30"/>
          <w:lang w:val="es-ES"/>
        </w:rPr>
        <w:t>Publicación de la</w:t>
      </w:r>
      <w:r>
        <w:rPr>
          <w:rFonts w:eastAsia="Times New Roman"/>
          <w:b/>
          <w:bCs/>
          <w:sz w:val="30"/>
          <w:szCs w:val="30"/>
          <w:lang w:val="es-ES"/>
        </w:rPr>
        <w:t xml:space="preserve">s superintendencias. </w:t>
      </w:r>
      <w:r>
        <w:rPr>
          <w:rFonts w:eastAsia="Times New Roman"/>
          <w:sz w:val="30"/>
          <w:szCs w:val="30"/>
          <w:lang w:val="es-ES"/>
        </w:rPr>
        <w:t>Los organismos de control divulgarán y publicarán información financiera y estadística del sistema financiero nacional por sector financiero y de cada entidad en particular.</w:t>
      </w:r>
    </w:p>
    <w:p w:rsidR="00000000" w:rsidRDefault="0018461E">
      <w:pPr>
        <w:divId w:val="1072656414"/>
        <w:rPr>
          <w:rFonts w:eastAsia="Times New Roman"/>
          <w:sz w:val="30"/>
          <w:szCs w:val="30"/>
          <w:lang w:val="es-ES"/>
        </w:rPr>
      </w:pPr>
      <w:r>
        <w:rPr>
          <w:rFonts w:eastAsia="Times New Roman"/>
          <w:sz w:val="30"/>
          <w:szCs w:val="30"/>
          <w:lang w:val="es-ES"/>
        </w:rPr>
        <w:lastRenderedPageBreak/>
        <w:t xml:space="preserve">Art. 223.- </w:t>
      </w:r>
      <w:r>
        <w:rPr>
          <w:rFonts w:eastAsia="Times New Roman"/>
          <w:b/>
          <w:bCs/>
          <w:sz w:val="30"/>
          <w:szCs w:val="30"/>
          <w:lang w:val="es-ES"/>
        </w:rPr>
        <w:t xml:space="preserve">Información de estados financieros. </w:t>
      </w:r>
      <w:r>
        <w:rPr>
          <w:rFonts w:eastAsia="Times New Roman"/>
          <w:sz w:val="30"/>
          <w:szCs w:val="30"/>
          <w:lang w:val="es-ES"/>
        </w:rPr>
        <w:t>Si los estados</w:t>
      </w:r>
      <w:r>
        <w:rPr>
          <w:rFonts w:eastAsia="Times New Roman"/>
          <w:sz w:val="30"/>
          <w:szCs w:val="30"/>
          <w:lang w:val="es-ES"/>
        </w:rPr>
        <w:t xml:space="preserve"> financieros contienen información presuntamente falsa, las superintendencias deberán denunciar este particular a la Fiscalía General del Estado.</w:t>
      </w:r>
    </w:p>
    <w:p w:rsidR="00000000" w:rsidRDefault="0018461E">
      <w:pPr>
        <w:divId w:val="1392384804"/>
        <w:rPr>
          <w:rFonts w:eastAsia="Times New Roman"/>
          <w:sz w:val="30"/>
          <w:szCs w:val="30"/>
          <w:lang w:val="es-ES"/>
        </w:rPr>
      </w:pPr>
      <w:r>
        <w:rPr>
          <w:rFonts w:eastAsia="Times New Roman"/>
          <w:sz w:val="30"/>
          <w:szCs w:val="30"/>
          <w:lang w:val="es-ES"/>
        </w:rPr>
        <w:t xml:space="preserve">Art. 224.- </w:t>
      </w:r>
      <w:r>
        <w:rPr>
          <w:rFonts w:eastAsia="Times New Roman"/>
          <w:b/>
          <w:bCs/>
          <w:sz w:val="30"/>
          <w:szCs w:val="30"/>
          <w:lang w:val="es-ES"/>
        </w:rPr>
        <w:t xml:space="preserve">Información sobre la situación de las entidades financieras. </w:t>
      </w:r>
      <w:r>
        <w:rPr>
          <w:rFonts w:eastAsia="Times New Roman"/>
          <w:sz w:val="30"/>
          <w:szCs w:val="30"/>
          <w:lang w:val="es-ES"/>
        </w:rPr>
        <w:t>Los organismos de control informarán p</w:t>
      </w:r>
      <w:r>
        <w:rPr>
          <w:rFonts w:eastAsia="Times New Roman"/>
          <w:sz w:val="30"/>
          <w:szCs w:val="30"/>
          <w:lang w:val="es-ES"/>
        </w:rPr>
        <w:t>eriódicamente al público en general respecto de la situación financiera de las entidades sometidas a su control. Se informará, por lo menos, sobre la estructura financiera, calidad de los activos, incluyendo los resultados generales de la última calificaci</w:t>
      </w:r>
      <w:r>
        <w:rPr>
          <w:rFonts w:eastAsia="Times New Roman"/>
          <w:sz w:val="30"/>
          <w:szCs w:val="30"/>
          <w:lang w:val="es-ES"/>
        </w:rPr>
        <w:t>ón de sus activos de riesgo, posición de patrimonio técnico e indicadores de solvencia, liquidez, eficiencia y rentabilidad.</w:t>
      </w:r>
    </w:p>
    <w:p w:rsidR="00000000" w:rsidRDefault="0018461E">
      <w:pPr>
        <w:divId w:val="1236087594"/>
        <w:rPr>
          <w:rFonts w:eastAsia="Times New Roman"/>
          <w:sz w:val="30"/>
          <w:szCs w:val="30"/>
          <w:lang w:val="es-ES"/>
        </w:rPr>
      </w:pPr>
      <w:r>
        <w:rPr>
          <w:rFonts w:eastAsia="Times New Roman"/>
          <w:sz w:val="30"/>
          <w:szCs w:val="30"/>
          <w:lang w:val="es-ES"/>
        </w:rPr>
        <w:t xml:space="preserve">Art. 225.- </w:t>
      </w:r>
      <w:r>
        <w:rPr>
          <w:rFonts w:eastAsia="Times New Roman"/>
          <w:b/>
          <w:bCs/>
          <w:sz w:val="30"/>
          <w:szCs w:val="30"/>
          <w:lang w:val="es-ES"/>
        </w:rPr>
        <w:t xml:space="preserve">Archivo de la información. </w:t>
      </w:r>
      <w:r>
        <w:rPr>
          <w:rFonts w:eastAsia="Times New Roman"/>
          <w:sz w:val="30"/>
          <w:szCs w:val="30"/>
          <w:lang w:val="es-ES"/>
        </w:rPr>
        <w:t>Las entidades del sistema financiero nacional mantendrán sus archivos contables físicos, incl</w:t>
      </w:r>
      <w:r>
        <w:rPr>
          <w:rFonts w:eastAsia="Times New Roman"/>
          <w:sz w:val="30"/>
          <w:szCs w:val="30"/>
          <w:lang w:val="es-ES"/>
        </w:rPr>
        <w:t>uyendo los respaldos respectivos, por el plazo de diez años contados a partir de la conclusión de la operación correspondiente y por quince años en el formato digital autorizado por las superintendencias.</w:t>
      </w:r>
      <w:r>
        <w:rPr>
          <w:rFonts w:eastAsia="Times New Roman"/>
          <w:sz w:val="30"/>
          <w:szCs w:val="30"/>
          <w:lang w:val="es-ES"/>
        </w:rPr>
        <w:br/>
      </w:r>
      <w:r>
        <w:rPr>
          <w:rFonts w:eastAsia="Times New Roman"/>
          <w:sz w:val="30"/>
          <w:szCs w:val="30"/>
          <w:lang w:val="es-ES"/>
        </w:rPr>
        <w:br/>
        <w:t>La información proporcionada por las entidades fin</w:t>
      </w:r>
      <w:r>
        <w:rPr>
          <w:rFonts w:eastAsia="Times New Roman"/>
          <w:sz w:val="30"/>
          <w:szCs w:val="30"/>
          <w:lang w:val="es-ES"/>
        </w:rPr>
        <w:t>ancieras y las copias y reproducciones certificadas expedidas por un funcionario autorizado de la entidad financiera tendrán similar valor probatorio que los documentos originales.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DEL CONTROL Y AUDITORÍAS</w:t>
      </w:r>
    </w:p>
    <w:p w:rsidR="00000000" w:rsidRDefault="0018461E">
      <w:pPr>
        <w:divId w:val="1515799704"/>
        <w:rPr>
          <w:rFonts w:eastAsia="Times New Roman"/>
          <w:sz w:val="30"/>
          <w:szCs w:val="30"/>
          <w:lang w:val="es-ES"/>
        </w:rPr>
      </w:pPr>
      <w:r>
        <w:rPr>
          <w:rFonts w:eastAsia="Times New Roman"/>
          <w:sz w:val="30"/>
          <w:szCs w:val="30"/>
          <w:lang w:val="es-ES"/>
        </w:rPr>
        <w:t xml:space="preserve">Art. 226.- </w:t>
      </w:r>
      <w:r>
        <w:rPr>
          <w:rFonts w:eastAsia="Times New Roman"/>
          <w:b/>
          <w:bCs/>
          <w:sz w:val="30"/>
          <w:szCs w:val="30"/>
          <w:lang w:val="es-ES"/>
        </w:rPr>
        <w:t xml:space="preserve">Control de las actividades </w:t>
      </w:r>
      <w:r>
        <w:rPr>
          <w:rFonts w:eastAsia="Times New Roman"/>
          <w:b/>
          <w:bCs/>
          <w:sz w:val="30"/>
          <w:szCs w:val="30"/>
          <w:lang w:val="es-ES"/>
        </w:rPr>
        <w:t xml:space="preserve">financieras. </w:t>
      </w:r>
      <w:r>
        <w:rPr>
          <w:rFonts w:eastAsia="Times New Roman"/>
          <w:sz w:val="30"/>
          <w:szCs w:val="30"/>
          <w:lang w:val="es-ES"/>
        </w:rPr>
        <w:t>Las superintendencias, de acuerdo con sus competencias, controlarán las actividades financieras del sistema financiero nacional.</w:t>
      </w:r>
    </w:p>
    <w:p w:rsidR="00000000" w:rsidRDefault="0018461E">
      <w:pPr>
        <w:divId w:val="357506076"/>
        <w:rPr>
          <w:rFonts w:eastAsia="Times New Roman"/>
          <w:sz w:val="30"/>
          <w:szCs w:val="30"/>
          <w:lang w:val="es-ES"/>
        </w:rPr>
      </w:pPr>
      <w:r>
        <w:rPr>
          <w:rFonts w:eastAsia="Times New Roman"/>
          <w:sz w:val="30"/>
          <w:szCs w:val="30"/>
          <w:lang w:val="es-ES"/>
        </w:rPr>
        <w:t xml:space="preserve">Art. 227.- </w:t>
      </w:r>
      <w:r>
        <w:rPr>
          <w:rFonts w:eastAsia="Times New Roman"/>
          <w:b/>
          <w:bCs/>
          <w:sz w:val="30"/>
          <w:szCs w:val="30"/>
          <w:lang w:val="es-ES"/>
        </w:rPr>
        <w:t xml:space="preserve">Sistemas de control interno. </w:t>
      </w:r>
      <w:r>
        <w:rPr>
          <w:rFonts w:eastAsia="Times New Roman"/>
          <w:sz w:val="30"/>
          <w:szCs w:val="30"/>
          <w:lang w:val="es-ES"/>
        </w:rPr>
        <w:t>Todas las entidades del sistema financiero nacional deberán contar con sis</w:t>
      </w:r>
      <w:r>
        <w:rPr>
          <w:rFonts w:eastAsia="Times New Roman"/>
          <w:sz w:val="30"/>
          <w:szCs w:val="30"/>
          <w:lang w:val="es-ES"/>
        </w:rPr>
        <w:t>temas de control interno para asegurar la efectividad y eficiencia de sus actividades, la confiabilidad de la información y el cumplimiento de las leyes y regulaciones aplicables.</w:t>
      </w:r>
    </w:p>
    <w:p w:rsidR="00000000" w:rsidRDefault="0018461E">
      <w:pPr>
        <w:divId w:val="1655135742"/>
        <w:rPr>
          <w:rFonts w:eastAsia="Times New Roman"/>
          <w:sz w:val="30"/>
          <w:szCs w:val="30"/>
          <w:lang w:val="es-ES"/>
        </w:rPr>
      </w:pPr>
      <w:r>
        <w:rPr>
          <w:rFonts w:eastAsia="Times New Roman"/>
          <w:sz w:val="30"/>
          <w:szCs w:val="30"/>
          <w:lang w:val="es-ES"/>
        </w:rPr>
        <w:t xml:space="preserve">Art. 228.- </w:t>
      </w:r>
      <w:r>
        <w:rPr>
          <w:rFonts w:eastAsia="Times New Roman"/>
          <w:b/>
          <w:bCs/>
          <w:sz w:val="30"/>
          <w:szCs w:val="30"/>
          <w:lang w:val="es-ES"/>
        </w:rPr>
        <w:t xml:space="preserve">Auditorías. </w:t>
      </w:r>
      <w:r>
        <w:rPr>
          <w:rFonts w:eastAsia="Times New Roman"/>
          <w:sz w:val="30"/>
          <w:szCs w:val="30"/>
          <w:lang w:val="es-ES"/>
        </w:rPr>
        <w:t>Las entidades del sistema financiero nacional tendrán</w:t>
      </w:r>
      <w:r>
        <w:rPr>
          <w:rFonts w:eastAsia="Times New Roman"/>
          <w:sz w:val="30"/>
          <w:szCs w:val="30"/>
          <w:lang w:val="es-ES"/>
        </w:rPr>
        <w:t xml:space="preserve"> un auditor interno y un auditor externo, registrados y calificados en cuanto a su idoneidad y experiencia por las superintendencias correspondientes.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auditores internos y externos serán responsables administrativa, civil y penalmente por los informes</w:t>
      </w:r>
      <w:r>
        <w:rPr>
          <w:rFonts w:eastAsia="Times New Roman"/>
          <w:sz w:val="30"/>
          <w:szCs w:val="30"/>
          <w:lang w:val="es-ES"/>
        </w:rPr>
        <w:t xml:space="preserve"> y dictámenes que emitan.</w:t>
      </w:r>
    </w:p>
    <w:p w:rsidR="00000000" w:rsidRDefault="0018461E">
      <w:pPr>
        <w:divId w:val="2110351431"/>
        <w:rPr>
          <w:rFonts w:eastAsia="Times New Roman"/>
          <w:sz w:val="30"/>
          <w:szCs w:val="30"/>
          <w:lang w:val="es-ES"/>
        </w:rPr>
      </w:pPr>
      <w:r>
        <w:rPr>
          <w:rFonts w:eastAsia="Times New Roman"/>
          <w:sz w:val="30"/>
          <w:szCs w:val="30"/>
          <w:lang w:val="es-ES"/>
        </w:rPr>
        <w:t xml:space="preserve">Art. 229.- </w:t>
      </w:r>
      <w:r>
        <w:rPr>
          <w:rFonts w:eastAsia="Times New Roman"/>
          <w:b/>
          <w:bCs/>
          <w:sz w:val="30"/>
          <w:szCs w:val="30"/>
          <w:lang w:val="es-ES"/>
        </w:rPr>
        <w:t xml:space="preserve">Auditor interno. </w:t>
      </w:r>
      <w:r>
        <w:rPr>
          <w:rFonts w:eastAsia="Times New Roman"/>
          <w:sz w:val="30"/>
          <w:szCs w:val="30"/>
          <w:lang w:val="es-ES"/>
        </w:rPr>
        <w:t>El auditor interno es una persona natural designada por la Junta General de Accionistas o el organismo que haga sus veces, y podrá ser removido en cualquier tiempo por el organismo que lo designó, por l</w:t>
      </w:r>
      <w:r>
        <w:rPr>
          <w:rFonts w:eastAsia="Times New Roman"/>
          <w:sz w:val="30"/>
          <w:szCs w:val="30"/>
          <w:lang w:val="es-ES"/>
        </w:rPr>
        <w:t>as causas determinadas por las superintendencias. En caso de ausencia definitiva, la Junta General de Accionistas o el organismo que haga sus veces procederá a designar su reemplazo.</w:t>
      </w:r>
    </w:p>
    <w:p w:rsidR="00000000" w:rsidRDefault="0018461E">
      <w:pPr>
        <w:divId w:val="284391871"/>
        <w:rPr>
          <w:rFonts w:eastAsia="Times New Roman"/>
          <w:sz w:val="30"/>
          <w:szCs w:val="30"/>
          <w:lang w:val="es-ES"/>
        </w:rPr>
      </w:pPr>
      <w:r>
        <w:rPr>
          <w:rFonts w:eastAsia="Times New Roman"/>
          <w:sz w:val="30"/>
          <w:szCs w:val="30"/>
          <w:lang w:val="es-ES"/>
        </w:rPr>
        <w:t xml:space="preserve">Art. 230.- </w:t>
      </w:r>
      <w:r>
        <w:rPr>
          <w:rFonts w:eastAsia="Times New Roman"/>
          <w:b/>
          <w:bCs/>
          <w:sz w:val="30"/>
          <w:szCs w:val="30"/>
          <w:lang w:val="es-ES"/>
        </w:rPr>
        <w:t xml:space="preserve">Responsabilidad del auditor interno. </w:t>
      </w:r>
      <w:r>
        <w:rPr>
          <w:rFonts w:eastAsia="Times New Roman"/>
          <w:sz w:val="30"/>
          <w:szCs w:val="30"/>
          <w:lang w:val="es-ES"/>
        </w:rPr>
        <w:t>El auditor interno verifi</w:t>
      </w:r>
      <w:r>
        <w:rPr>
          <w:rFonts w:eastAsia="Times New Roman"/>
          <w:sz w:val="30"/>
          <w:szCs w:val="30"/>
          <w:lang w:val="es-ES"/>
        </w:rPr>
        <w:t>cará que las actividades y procedimientos de la entidad estén de acuerdo con las disposiciones de este Código, las regulaciones que expida la Junta de Política y Regulación Monetaria y Financiera, los estatutos y los principios de contabilidad dictados por</w:t>
      </w:r>
      <w:r>
        <w:rPr>
          <w:rFonts w:eastAsia="Times New Roman"/>
          <w:sz w:val="30"/>
          <w:szCs w:val="30"/>
          <w:lang w:val="es-ES"/>
        </w:rPr>
        <w:t xml:space="preserve"> las superintendencias y los de general aceptación. Además, el auditor interno vigilará la operación de los sistemas de control interno y el cumplimiento de las resoluciones de los organismos de control, de la Junta General de Accionistas, del directorio o</w:t>
      </w:r>
      <w:r>
        <w:rPr>
          <w:rFonts w:eastAsia="Times New Roman"/>
          <w:sz w:val="30"/>
          <w:szCs w:val="30"/>
          <w:lang w:val="es-ES"/>
        </w:rPr>
        <w:t xml:space="preserve"> de los organismos que hagan sus veces y emitirá opinión sobre el adecuado funcionamiento del gobierno corporativo o cooperativo, entre otros.</w:t>
      </w:r>
      <w:r>
        <w:rPr>
          <w:rFonts w:eastAsia="Times New Roman"/>
          <w:sz w:val="30"/>
          <w:szCs w:val="30"/>
          <w:lang w:val="es-ES"/>
        </w:rPr>
        <w:br/>
      </w:r>
      <w:r>
        <w:rPr>
          <w:rFonts w:eastAsia="Times New Roman"/>
          <w:sz w:val="30"/>
          <w:szCs w:val="30"/>
          <w:lang w:val="es-ES"/>
        </w:rPr>
        <w:br/>
        <w:t>El auditor interno presentará al directorio o al organismo que haga sus veces y a los organismos de control, cua</w:t>
      </w:r>
      <w:r>
        <w:rPr>
          <w:rFonts w:eastAsia="Times New Roman"/>
          <w:sz w:val="30"/>
          <w:szCs w:val="30"/>
          <w:lang w:val="es-ES"/>
        </w:rPr>
        <w:t>lquier información que se le solicite y aquellas que los auditores consideren necesaria.</w:t>
      </w:r>
    </w:p>
    <w:p w:rsidR="00000000" w:rsidRDefault="0018461E">
      <w:pPr>
        <w:divId w:val="1165517518"/>
        <w:rPr>
          <w:rFonts w:eastAsia="Times New Roman"/>
          <w:sz w:val="30"/>
          <w:szCs w:val="30"/>
          <w:lang w:val="es-ES"/>
        </w:rPr>
      </w:pPr>
      <w:r>
        <w:rPr>
          <w:rFonts w:eastAsia="Times New Roman"/>
          <w:sz w:val="30"/>
          <w:szCs w:val="30"/>
          <w:lang w:val="es-ES"/>
        </w:rPr>
        <w:t xml:space="preserve">Art. 231.- </w:t>
      </w:r>
      <w:r>
        <w:rPr>
          <w:rFonts w:eastAsia="Times New Roman"/>
          <w:b/>
          <w:bCs/>
          <w:sz w:val="30"/>
          <w:szCs w:val="30"/>
          <w:lang w:val="es-ES"/>
        </w:rPr>
        <w:t xml:space="preserve">Auditor externo. </w:t>
      </w:r>
      <w:r>
        <w:rPr>
          <w:rFonts w:eastAsia="Times New Roman"/>
          <w:sz w:val="30"/>
          <w:szCs w:val="30"/>
          <w:lang w:val="es-ES"/>
        </w:rPr>
        <w:t>El auditor externo de una entidad financiera podrá ser una persona natural o jurídica, será seleccionado por la Junta General de Accionista</w:t>
      </w:r>
      <w:r>
        <w:rPr>
          <w:rFonts w:eastAsia="Times New Roman"/>
          <w:sz w:val="30"/>
          <w:szCs w:val="30"/>
          <w:lang w:val="es-ES"/>
        </w:rPr>
        <w:t>s o el organismo que haga sus veces y podrá ser contratado por las entidades financieras por periodos anuales consecutivos de hasta tres años, observando los criterios de alternabilidad y precios referenciales que los organismos de control establezcan para</w:t>
      </w:r>
      <w:r>
        <w:rPr>
          <w:rFonts w:eastAsia="Times New Roman"/>
          <w:sz w:val="30"/>
          <w:szCs w:val="30"/>
          <w:lang w:val="es-ES"/>
        </w:rPr>
        <w:t xml:space="preserve"> el efecto. Las superintendencias podrán, a su solo criterio y de forma motivada, disponer la terminación del contrato con el auditor externo; en este caso, la entidad financiera procederá de inmediato a sustituirlo. La entidad financiera no podrá terminar</w:t>
      </w:r>
      <w:r>
        <w:rPr>
          <w:rFonts w:eastAsia="Times New Roman"/>
          <w:sz w:val="30"/>
          <w:szCs w:val="30"/>
          <w:lang w:val="es-ES"/>
        </w:rPr>
        <w:t xml:space="preserve"> el contrato con el auditor externo sin contar con la autorización del organismo de control.</w:t>
      </w:r>
    </w:p>
    <w:p w:rsidR="00000000" w:rsidRDefault="0018461E">
      <w:pPr>
        <w:divId w:val="229314247"/>
        <w:rPr>
          <w:rFonts w:eastAsia="Times New Roman"/>
          <w:sz w:val="30"/>
          <w:szCs w:val="30"/>
          <w:lang w:val="es-ES"/>
        </w:rPr>
      </w:pPr>
      <w:r>
        <w:rPr>
          <w:rFonts w:eastAsia="Times New Roman"/>
          <w:sz w:val="30"/>
          <w:szCs w:val="30"/>
          <w:lang w:val="es-ES"/>
        </w:rPr>
        <w:t xml:space="preserve">Art. 232.- </w:t>
      </w:r>
      <w:r>
        <w:rPr>
          <w:rFonts w:eastAsia="Times New Roman"/>
          <w:b/>
          <w:bCs/>
          <w:sz w:val="30"/>
          <w:szCs w:val="30"/>
          <w:lang w:val="es-ES"/>
        </w:rPr>
        <w:t xml:space="preserve">Responsabilidad del auditor externo. </w:t>
      </w:r>
      <w:r>
        <w:rPr>
          <w:rFonts w:eastAsia="Times New Roman"/>
          <w:sz w:val="30"/>
          <w:szCs w:val="30"/>
          <w:lang w:val="es-ES"/>
        </w:rPr>
        <w:t>El auditor externo tendrá la responsabilidad de realizar auditorías externas en cada una de las entidades financier</w:t>
      </w:r>
      <w:r>
        <w:rPr>
          <w:rFonts w:eastAsia="Times New Roman"/>
          <w:sz w:val="30"/>
          <w:szCs w:val="30"/>
          <w:lang w:val="es-ES"/>
        </w:rPr>
        <w:t>as. La auditoría externa comprende, entre otras, las siguientes acciones:</w:t>
      </w:r>
      <w:r>
        <w:rPr>
          <w:rFonts w:eastAsia="Times New Roman"/>
          <w:sz w:val="30"/>
          <w:szCs w:val="30"/>
          <w:lang w:val="es-ES"/>
        </w:rPr>
        <w:br/>
      </w:r>
      <w:r>
        <w:rPr>
          <w:rFonts w:eastAsia="Times New Roman"/>
          <w:sz w:val="30"/>
          <w:szCs w:val="30"/>
          <w:lang w:val="es-ES"/>
        </w:rPr>
        <w:lastRenderedPageBreak/>
        <w:br/>
        <w:t>1. Emitir opinión independiente sobre la veracidad o exactitud de los estados financieros, los sistemas de contabilidad y sus comprobantes y soportes y opinar si los estados financi</w:t>
      </w:r>
      <w:r>
        <w:rPr>
          <w:rFonts w:eastAsia="Times New Roman"/>
          <w:sz w:val="30"/>
          <w:szCs w:val="30"/>
          <w:lang w:val="es-ES"/>
        </w:rPr>
        <w:t>eros examinados presentan razonablemente la situación patrimonial de la entidad al 31 de diciembre y los resultados de sus operaciones durante el ejercicio terminado en esa fecha, de conformidad con las normas contables establecidas y los principios de con</w:t>
      </w:r>
      <w:r>
        <w:rPr>
          <w:rFonts w:eastAsia="Times New Roman"/>
          <w:sz w:val="30"/>
          <w:szCs w:val="30"/>
          <w:lang w:val="es-ES"/>
        </w:rPr>
        <w:t>tabilidad generalmente aceptados, en lo que estos no se contrapongan a los anteriores, así como sobre su aplicación uniforme;</w:t>
      </w:r>
      <w:r>
        <w:rPr>
          <w:rFonts w:eastAsia="Times New Roman"/>
          <w:sz w:val="30"/>
          <w:szCs w:val="30"/>
          <w:lang w:val="es-ES"/>
        </w:rPr>
        <w:br/>
      </w:r>
      <w:r>
        <w:rPr>
          <w:rFonts w:eastAsia="Times New Roman"/>
          <w:sz w:val="30"/>
          <w:szCs w:val="30"/>
          <w:lang w:val="es-ES"/>
        </w:rPr>
        <w:br/>
        <w:t>2. Dictaminar sobre la suficiencia y efectividad de los sistemas de control interno, la estructura y procedimientos administrativ</w:t>
      </w:r>
      <w:r>
        <w:rPr>
          <w:rFonts w:eastAsia="Times New Roman"/>
          <w:sz w:val="30"/>
          <w:szCs w:val="30"/>
          <w:lang w:val="es-ES"/>
        </w:rPr>
        <w:t>os, y evaluarlos;</w:t>
      </w:r>
      <w:r>
        <w:rPr>
          <w:rFonts w:eastAsia="Times New Roman"/>
          <w:sz w:val="30"/>
          <w:szCs w:val="30"/>
          <w:lang w:val="es-ES"/>
        </w:rPr>
        <w:br/>
      </w:r>
      <w:r>
        <w:rPr>
          <w:rFonts w:eastAsia="Times New Roman"/>
          <w:sz w:val="30"/>
          <w:szCs w:val="30"/>
          <w:lang w:val="es-ES"/>
        </w:rPr>
        <w:br/>
        <w:t>3. Opinar si las actividades financieras y sus procedimientos se ajustan a la legislación aplicable, y a las instrucciones que al efecto imparta la Superintendencia;</w:t>
      </w:r>
      <w:r>
        <w:rPr>
          <w:rFonts w:eastAsia="Times New Roman"/>
          <w:sz w:val="30"/>
          <w:szCs w:val="30"/>
          <w:lang w:val="es-ES"/>
        </w:rPr>
        <w:br/>
      </w:r>
      <w:r>
        <w:rPr>
          <w:rFonts w:eastAsia="Times New Roman"/>
          <w:sz w:val="30"/>
          <w:szCs w:val="30"/>
          <w:lang w:val="es-ES"/>
        </w:rPr>
        <w:br/>
        <w:t xml:space="preserve">4. Opinar sobre la información relacionada con las inversiones que la </w:t>
      </w:r>
      <w:r>
        <w:rPr>
          <w:rFonts w:eastAsia="Times New Roman"/>
          <w:sz w:val="30"/>
          <w:szCs w:val="30"/>
          <w:lang w:val="es-ES"/>
        </w:rPr>
        <w:t>entidad financiera mantenga en subsidiarias o afiliadas, tanto en el país como en el exterior. En este caso se deberá comentar sobre la naturaleza y monto de las operaciones entre el inversionista y la receptora de la inversión, sus relaciones existentes y</w:t>
      </w:r>
      <w:r>
        <w:rPr>
          <w:rFonts w:eastAsia="Times New Roman"/>
          <w:sz w:val="30"/>
          <w:szCs w:val="30"/>
          <w:lang w:val="es-ES"/>
        </w:rPr>
        <w:t xml:space="preserve"> los efectos que ejerce la consolidación sobre el patrimonio de la entidad auditada;</w:t>
      </w:r>
      <w:r>
        <w:rPr>
          <w:rFonts w:eastAsia="Times New Roman"/>
          <w:sz w:val="30"/>
          <w:szCs w:val="30"/>
          <w:lang w:val="es-ES"/>
        </w:rPr>
        <w:br/>
      </w:r>
      <w:r>
        <w:rPr>
          <w:rFonts w:eastAsia="Times New Roman"/>
          <w:sz w:val="30"/>
          <w:szCs w:val="30"/>
          <w:lang w:val="es-ES"/>
        </w:rPr>
        <w:br/>
        <w:t>5. Opinar sobre el cumplimiento de los controles para evitar actividades ilícitas, incluidos el lavado de activos y el financiamiento de delitos como el terrorismo y otro</w:t>
      </w:r>
      <w:r>
        <w:rPr>
          <w:rFonts w:eastAsia="Times New Roman"/>
          <w:sz w:val="30"/>
          <w:szCs w:val="30"/>
          <w:lang w:val="es-ES"/>
        </w:rPr>
        <w:t>s delitos;</w:t>
      </w:r>
      <w:r>
        <w:rPr>
          <w:rFonts w:eastAsia="Times New Roman"/>
          <w:sz w:val="30"/>
          <w:szCs w:val="30"/>
          <w:lang w:val="es-ES"/>
        </w:rPr>
        <w:br/>
      </w:r>
      <w:r>
        <w:rPr>
          <w:rFonts w:eastAsia="Times New Roman"/>
          <w:sz w:val="30"/>
          <w:szCs w:val="30"/>
          <w:lang w:val="es-ES"/>
        </w:rPr>
        <w:br/>
        <w:t>6. Opinar sobre el cumplimiento de las medidas correctivas que hubiesen sido recomendadas en el informe anterior sobre los aspectos indicados en los numerales anteriores; y,</w:t>
      </w:r>
      <w:r>
        <w:rPr>
          <w:rFonts w:eastAsia="Times New Roman"/>
          <w:sz w:val="30"/>
          <w:szCs w:val="30"/>
          <w:lang w:val="es-ES"/>
        </w:rPr>
        <w:br/>
      </w:r>
      <w:r>
        <w:rPr>
          <w:rFonts w:eastAsia="Times New Roman"/>
          <w:sz w:val="30"/>
          <w:szCs w:val="30"/>
          <w:lang w:val="es-ES"/>
        </w:rPr>
        <w:br/>
        <w:t>7. Informar sobre los demás requerimientos que el respectivo organism</w:t>
      </w:r>
      <w:r>
        <w:rPr>
          <w:rFonts w:eastAsia="Times New Roman"/>
          <w:sz w:val="30"/>
          <w:szCs w:val="30"/>
          <w:lang w:val="es-ES"/>
        </w:rPr>
        <w:t>o de control disponga, asumiendo plena responsabilidad por los informes que emitan, de conformidad con las normas que expidan las superintendencias.</w:t>
      </w:r>
      <w:r>
        <w:rPr>
          <w:rFonts w:eastAsia="Times New Roman"/>
          <w:sz w:val="30"/>
          <w:szCs w:val="30"/>
          <w:lang w:val="es-ES"/>
        </w:rPr>
        <w:br/>
      </w:r>
      <w:r>
        <w:rPr>
          <w:rFonts w:eastAsia="Times New Roman"/>
          <w:sz w:val="30"/>
          <w:szCs w:val="30"/>
          <w:lang w:val="es-ES"/>
        </w:rPr>
        <w:br/>
        <w:t xml:space="preserve">El auditor externo hará las veces de comisario de la entidad financiera, </w:t>
      </w:r>
      <w:r>
        <w:rPr>
          <w:rFonts w:eastAsia="Times New Roman"/>
          <w:sz w:val="30"/>
          <w:szCs w:val="30"/>
          <w:lang w:val="es-ES"/>
        </w:rPr>
        <w:lastRenderedPageBreak/>
        <w:t>en los términos establecidos en l</w:t>
      </w:r>
      <w:r>
        <w:rPr>
          <w:rFonts w:eastAsia="Times New Roman"/>
          <w:sz w:val="30"/>
          <w:szCs w:val="30"/>
          <w:lang w:val="es-ES"/>
        </w:rPr>
        <w:t>a Ley de Compañías; tendrá las funciones que se determinan en este Código y en las leyes tributarias, así como en las disposiciones que dicte el organismo de control correspondiente.</w:t>
      </w:r>
    </w:p>
    <w:p w:rsidR="00000000" w:rsidRDefault="0018461E">
      <w:pPr>
        <w:divId w:val="2091123688"/>
        <w:rPr>
          <w:rFonts w:eastAsia="Times New Roman"/>
          <w:sz w:val="30"/>
          <w:szCs w:val="30"/>
          <w:lang w:val="es-ES"/>
        </w:rPr>
      </w:pPr>
      <w:r>
        <w:rPr>
          <w:rFonts w:eastAsia="Times New Roman"/>
          <w:sz w:val="30"/>
          <w:szCs w:val="30"/>
          <w:lang w:val="es-ES"/>
        </w:rPr>
        <w:t xml:space="preserve">Art. 233.- </w:t>
      </w:r>
      <w:r>
        <w:rPr>
          <w:rFonts w:eastAsia="Times New Roman"/>
          <w:b/>
          <w:bCs/>
          <w:sz w:val="30"/>
          <w:szCs w:val="30"/>
          <w:lang w:val="es-ES"/>
        </w:rPr>
        <w:t xml:space="preserve">Limitación. </w:t>
      </w:r>
      <w:r>
        <w:rPr>
          <w:rFonts w:eastAsia="Times New Roman"/>
          <w:sz w:val="30"/>
          <w:szCs w:val="30"/>
          <w:lang w:val="es-ES"/>
        </w:rPr>
        <w:t>El auditor externo solo podrá prestar los servicio</w:t>
      </w:r>
      <w:r>
        <w:rPr>
          <w:rFonts w:eastAsia="Times New Roman"/>
          <w:sz w:val="30"/>
          <w:szCs w:val="30"/>
          <w:lang w:val="es-ES"/>
        </w:rPr>
        <w:t>s de auditoría para los que fue contratado y no podrá prestar cualquier otro servicio o colaboración a la entidad auditada a través de personas naturales o jurídicas directa e indirectamente relacionadas. Asimismo, el auditor externo no podrá, dentro del a</w:t>
      </w:r>
      <w:r>
        <w:rPr>
          <w:rFonts w:eastAsia="Times New Roman"/>
          <w:sz w:val="30"/>
          <w:szCs w:val="30"/>
          <w:lang w:val="es-ES"/>
        </w:rPr>
        <w:t>ño siguiente a la terminación de su contrato, prestar ningún otro servicio a la entidad auditada.</w:t>
      </w:r>
      <w:r>
        <w:rPr>
          <w:rFonts w:eastAsia="Times New Roman"/>
          <w:sz w:val="30"/>
          <w:szCs w:val="30"/>
          <w:lang w:val="es-ES"/>
        </w:rPr>
        <w:br/>
      </w:r>
      <w:r>
        <w:rPr>
          <w:rFonts w:eastAsia="Times New Roman"/>
          <w:sz w:val="30"/>
          <w:szCs w:val="30"/>
          <w:lang w:val="es-ES"/>
        </w:rPr>
        <w:br/>
        <w:t xml:space="preserve">No puede ser auditor externo la persona natural o jurídica que hubiese prestado servicios, diferentes a los de auditoría externa, a la entidad financiera en </w:t>
      </w:r>
      <w:r>
        <w:rPr>
          <w:rFonts w:eastAsia="Times New Roman"/>
          <w:sz w:val="30"/>
          <w:szCs w:val="30"/>
          <w:lang w:val="es-ES"/>
        </w:rPr>
        <w:t>el año inmediatamente anterior.</w:t>
      </w:r>
      <w:r>
        <w:rPr>
          <w:rFonts w:eastAsia="Times New Roman"/>
          <w:sz w:val="30"/>
          <w:szCs w:val="30"/>
          <w:lang w:val="es-ES"/>
        </w:rPr>
        <w:br/>
      </w:r>
      <w:r>
        <w:rPr>
          <w:rFonts w:eastAsia="Times New Roman"/>
          <w:sz w:val="30"/>
          <w:szCs w:val="30"/>
          <w:lang w:val="es-ES"/>
        </w:rPr>
        <w:br/>
        <w:t>En el caso de los grupos financieros y de los grupos populares y solidarios, las entidades que los conforman tendrán obligatoriamente el mismo auditor externo o firmas corresponsales o asociadas con este.</w:t>
      </w:r>
    </w:p>
    <w:p w:rsidR="00000000" w:rsidRDefault="0018461E">
      <w:pPr>
        <w:divId w:val="1662849577"/>
        <w:rPr>
          <w:rFonts w:eastAsia="Times New Roman"/>
          <w:sz w:val="30"/>
          <w:szCs w:val="30"/>
          <w:lang w:val="es-ES"/>
        </w:rPr>
      </w:pPr>
      <w:r>
        <w:rPr>
          <w:rFonts w:eastAsia="Times New Roman"/>
          <w:sz w:val="30"/>
          <w:szCs w:val="30"/>
          <w:lang w:val="es-ES"/>
        </w:rPr>
        <w:t xml:space="preserve">Art. 234.- </w:t>
      </w:r>
      <w:r>
        <w:rPr>
          <w:rFonts w:eastAsia="Times New Roman"/>
          <w:b/>
          <w:bCs/>
          <w:sz w:val="30"/>
          <w:szCs w:val="30"/>
          <w:lang w:val="es-ES"/>
        </w:rPr>
        <w:t>Revisió</w:t>
      </w:r>
      <w:r>
        <w:rPr>
          <w:rFonts w:eastAsia="Times New Roman"/>
          <w:b/>
          <w:bCs/>
          <w:sz w:val="30"/>
          <w:szCs w:val="30"/>
          <w:lang w:val="es-ES"/>
        </w:rPr>
        <w:t xml:space="preserve">n de auditorías. </w:t>
      </w:r>
      <w:r>
        <w:rPr>
          <w:rFonts w:eastAsia="Times New Roman"/>
          <w:sz w:val="30"/>
          <w:szCs w:val="30"/>
          <w:lang w:val="es-ES"/>
        </w:rPr>
        <w:t>Los organismos de control tendrán plenas facultades fiscalizadoras del proceso de auditoría aplicado y la calidad y consistencia de los resultados alcanzados por las auditorías internas y externas.</w:t>
      </w:r>
    </w:p>
    <w:p w:rsidR="00000000" w:rsidRDefault="0018461E">
      <w:pPr>
        <w:divId w:val="1066412841"/>
        <w:rPr>
          <w:rFonts w:eastAsia="Times New Roman"/>
          <w:sz w:val="30"/>
          <w:szCs w:val="30"/>
          <w:lang w:val="es-ES"/>
        </w:rPr>
      </w:pPr>
      <w:r>
        <w:rPr>
          <w:rFonts w:eastAsia="Times New Roman"/>
          <w:sz w:val="30"/>
          <w:szCs w:val="30"/>
          <w:lang w:val="es-ES"/>
        </w:rPr>
        <w:t xml:space="preserve">Art. 235.- </w:t>
      </w:r>
      <w:r>
        <w:rPr>
          <w:rFonts w:eastAsia="Times New Roman"/>
          <w:b/>
          <w:bCs/>
          <w:sz w:val="30"/>
          <w:szCs w:val="30"/>
          <w:lang w:val="es-ES"/>
        </w:rPr>
        <w:t xml:space="preserve">Informes de auditoría. </w:t>
      </w:r>
      <w:r>
        <w:rPr>
          <w:rFonts w:eastAsia="Times New Roman"/>
          <w:sz w:val="30"/>
          <w:szCs w:val="30"/>
          <w:lang w:val="es-ES"/>
        </w:rPr>
        <w:t>Los inf</w:t>
      </w:r>
      <w:r>
        <w:rPr>
          <w:rFonts w:eastAsia="Times New Roman"/>
          <w:sz w:val="30"/>
          <w:szCs w:val="30"/>
          <w:lang w:val="es-ES"/>
        </w:rPr>
        <w:t>ormes de auditoría son reservados al público por el plazo de diez años.</w:t>
      </w:r>
      <w:r>
        <w:rPr>
          <w:rFonts w:eastAsia="Times New Roman"/>
          <w:sz w:val="30"/>
          <w:szCs w:val="30"/>
          <w:lang w:val="es-ES"/>
        </w:rPr>
        <w:br/>
      </w:r>
      <w:r>
        <w:rPr>
          <w:rFonts w:eastAsia="Times New Roman"/>
          <w:sz w:val="30"/>
          <w:szCs w:val="30"/>
          <w:lang w:val="es-ES"/>
        </w:rPr>
        <w:br/>
        <w:t>Los informes de auditoría no serán reservados ni gozarán de sigilo y reserva en los procesos de investigación a cargo de la Fiscalía General del Estado o la Contraloría General del Es</w:t>
      </w:r>
      <w:r>
        <w:rPr>
          <w:rFonts w:eastAsia="Times New Roman"/>
          <w:sz w:val="30"/>
          <w:szCs w:val="30"/>
          <w:lang w:val="es-ES"/>
        </w:rPr>
        <w:t>tado. Tampoco serán reservados los informes de auditoría cuando sean solicitados por la Junta de Política y Regulación Monetaria y Financiera, la que observará las normas de sigilo y reserva establecidas en este Código.</w:t>
      </w:r>
    </w:p>
    <w:p w:rsidR="00000000" w:rsidRDefault="0018461E">
      <w:pPr>
        <w:divId w:val="1556045508"/>
        <w:rPr>
          <w:rFonts w:eastAsia="Times New Roman"/>
          <w:sz w:val="30"/>
          <w:szCs w:val="30"/>
          <w:lang w:val="es-ES"/>
        </w:rPr>
      </w:pPr>
      <w:r>
        <w:rPr>
          <w:rFonts w:eastAsia="Times New Roman"/>
          <w:sz w:val="30"/>
          <w:szCs w:val="30"/>
          <w:lang w:val="es-ES"/>
        </w:rPr>
        <w:t xml:space="preserve">Art. 236.- </w:t>
      </w:r>
      <w:r>
        <w:rPr>
          <w:rFonts w:eastAsia="Times New Roman"/>
          <w:b/>
          <w:bCs/>
          <w:sz w:val="30"/>
          <w:szCs w:val="30"/>
          <w:lang w:val="es-ES"/>
        </w:rPr>
        <w:t>Control del sistema finan</w:t>
      </w:r>
      <w:r>
        <w:rPr>
          <w:rFonts w:eastAsia="Times New Roman"/>
          <w:b/>
          <w:bCs/>
          <w:sz w:val="30"/>
          <w:szCs w:val="30"/>
          <w:lang w:val="es-ES"/>
        </w:rPr>
        <w:t xml:space="preserve">ciero nacional. </w:t>
      </w:r>
      <w:r>
        <w:rPr>
          <w:rFonts w:eastAsia="Times New Roman"/>
          <w:sz w:val="30"/>
          <w:szCs w:val="30"/>
          <w:lang w:val="es-ES"/>
        </w:rPr>
        <w:t>El control de las entidades financieras públicas y privadas se lo efectuará de conformidad con las disposiciones específicas para cada sector financiero constantes en este Código.</w:t>
      </w:r>
    </w:p>
    <w:p w:rsidR="00000000" w:rsidRDefault="0018461E">
      <w:pPr>
        <w:divId w:val="743114711"/>
        <w:rPr>
          <w:rFonts w:eastAsia="Times New Roman"/>
          <w:sz w:val="30"/>
          <w:szCs w:val="30"/>
          <w:lang w:val="es-ES"/>
        </w:rPr>
      </w:pPr>
      <w:r>
        <w:rPr>
          <w:rFonts w:eastAsia="Times New Roman"/>
          <w:sz w:val="30"/>
          <w:szCs w:val="30"/>
          <w:lang w:val="es-ES"/>
        </w:rPr>
        <w:t xml:space="preserve">Art. 237.- </w:t>
      </w:r>
      <w:r>
        <w:rPr>
          <w:rFonts w:eastAsia="Times New Roman"/>
          <w:b/>
          <w:bCs/>
          <w:sz w:val="30"/>
          <w:szCs w:val="30"/>
          <w:lang w:val="es-ES"/>
        </w:rPr>
        <w:t xml:space="preserve">Calificadoras de riesgo. </w:t>
      </w:r>
      <w:r>
        <w:rPr>
          <w:rFonts w:eastAsia="Times New Roman"/>
          <w:sz w:val="30"/>
          <w:szCs w:val="30"/>
          <w:lang w:val="es-ES"/>
        </w:rPr>
        <w:t xml:space="preserve">La solvencia y la capacidad de las entidades del sistema financiero nacional para administrar los riesgos con terceros y cumplir sus obligaciones con el público será calificada sobre la base de parámetros mínimos que incluyan una escala </w:t>
      </w:r>
      <w:r>
        <w:rPr>
          <w:rFonts w:eastAsia="Times New Roman"/>
          <w:sz w:val="30"/>
          <w:szCs w:val="30"/>
          <w:lang w:val="es-ES"/>
        </w:rPr>
        <w:lastRenderedPageBreak/>
        <w:t>uniforme de calific</w:t>
      </w:r>
      <w:r>
        <w:rPr>
          <w:rFonts w:eastAsia="Times New Roman"/>
          <w:sz w:val="30"/>
          <w:szCs w:val="30"/>
          <w:lang w:val="es-ES"/>
        </w:rPr>
        <w:t>ación de riesgo por sectores financieros, de acuerdo con las normas que al respecto emita la Junta de Política y Regulación Monetaria y Financiera.</w:t>
      </w:r>
      <w:r>
        <w:rPr>
          <w:rFonts w:eastAsia="Times New Roman"/>
          <w:sz w:val="30"/>
          <w:szCs w:val="30"/>
          <w:lang w:val="es-ES"/>
        </w:rPr>
        <w:br/>
      </w:r>
      <w:r>
        <w:rPr>
          <w:rFonts w:eastAsia="Times New Roman"/>
          <w:sz w:val="30"/>
          <w:szCs w:val="30"/>
          <w:lang w:val="es-ES"/>
        </w:rPr>
        <w:br/>
        <w:t>La calificación de riesgo podrá ser realizada por compañías calificadoras de riesgos nacionales o extranjer</w:t>
      </w:r>
      <w:r>
        <w:rPr>
          <w:rFonts w:eastAsia="Times New Roman"/>
          <w:sz w:val="30"/>
          <w:szCs w:val="30"/>
          <w:lang w:val="es-ES"/>
        </w:rPr>
        <w:t>as, o asociadas entre ellas, con experiencia y de reconocido prestigio, calificadas como idóneas por los organismos de control. La contratación de estas firmas será efectuada mediante procedimientos de selección, garantizando la alternabilidad.</w:t>
      </w:r>
      <w:r>
        <w:rPr>
          <w:rFonts w:eastAsia="Times New Roman"/>
          <w:sz w:val="30"/>
          <w:szCs w:val="30"/>
          <w:lang w:val="es-ES"/>
        </w:rPr>
        <w:br/>
      </w:r>
      <w:r>
        <w:rPr>
          <w:rFonts w:eastAsia="Times New Roman"/>
          <w:sz w:val="30"/>
          <w:szCs w:val="30"/>
          <w:lang w:val="es-ES"/>
        </w:rPr>
        <w:br/>
        <w:t>La calific</w:t>
      </w:r>
      <w:r>
        <w:rPr>
          <w:rFonts w:eastAsia="Times New Roman"/>
          <w:sz w:val="30"/>
          <w:szCs w:val="30"/>
          <w:lang w:val="es-ES"/>
        </w:rPr>
        <w:t>ación será efectuada al 31 de diciembre de cada año, y será revisada al menos trimestralmente para las entidades de los sectores financieros público, privado y popular y solidario segmento 1, y será publicada por los organismos de control en un periódico d</w:t>
      </w:r>
      <w:r>
        <w:rPr>
          <w:rFonts w:eastAsia="Times New Roman"/>
          <w:sz w:val="30"/>
          <w:szCs w:val="30"/>
          <w:lang w:val="es-ES"/>
        </w:rPr>
        <w:t xml:space="preserve">e circulación nacional. La periodicidad y pertinencia para el resto de entidades del sector financiero popular y solidario será determinada por la Junta de Política y Regulación Monetaria y Financiera. Las entidades del sistema financiero nacional estarán </w:t>
      </w:r>
      <w:r>
        <w:rPr>
          <w:rFonts w:eastAsia="Times New Roman"/>
          <w:sz w:val="30"/>
          <w:szCs w:val="30"/>
          <w:lang w:val="es-ES"/>
        </w:rPr>
        <w:t>obligadas a exponer en lugar visible, en todas las dependencias de atención al público y en su página web, la última calificación de riesgo otorgada.</w:t>
      </w:r>
      <w:r>
        <w:rPr>
          <w:rFonts w:eastAsia="Times New Roman"/>
          <w:sz w:val="30"/>
          <w:szCs w:val="30"/>
          <w:lang w:val="es-ES"/>
        </w:rPr>
        <w:br/>
      </w:r>
      <w:r>
        <w:rPr>
          <w:rFonts w:eastAsia="Times New Roman"/>
          <w:sz w:val="30"/>
          <w:szCs w:val="30"/>
          <w:lang w:val="es-ES"/>
        </w:rPr>
        <w:br/>
        <w:t xml:space="preserve">Solo pueden ser publicadas las calificaciones de riesgo efectuadas por las compañías autorizadas por los </w:t>
      </w:r>
      <w:r>
        <w:rPr>
          <w:rFonts w:eastAsia="Times New Roman"/>
          <w:sz w:val="30"/>
          <w:szCs w:val="30"/>
          <w:lang w:val="es-ES"/>
        </w:rPr>
        <w:t>organismos de control.</w:t>
      </w:r>
      <w:r>
        <w:rPr>
          <w:rFonts w:eastAsia="Times New Roman"/>
          <w:sz w:val="30"/>
          <w:szCs w:val="30"/>
          <w:lang w:val="es-ES"/>
        </w:rPr>
        <w:br/>
      </w:r>
      <w:r>
        <w:rPr>
          <w:rFonts w:eastAsia="Times New Roman"/>
          <w:sz w:val="30"/>
          <w:szCs w:val="30"/>
          <w:lang w:val="es-ES"/>
        </w:rPr>
        <w:br/>
        <w:t>Los miembros del comité de calificación de riesgo y el personal técnico que participa en los procesos de calificación, responderán solidariamente con la calificadora de riesgo por los daños que se deriven de su actuación, sin perjui</w:t>
      </w:r>
      <w:r>
        <w:rPr>
          <w:rFonts w:eastAsia="Times New Roman"/>
          <w:sz w:val="30"/>
          <w:szCs w:val="30"/>
          <w:lang w:val="es-ES"/>
        </w:rPr>
        <w:t>cio de la responsabilidad penal a que hubiere lugar.</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9 </w:t>
      </w:r>
      <w:r>
        <w:rPr>
          <w:rFonts w:eastAsia="Times New Roman"/>
          <w:b/>
          <w:bCs/>
          <w:sz w:val="36"/>
          <w:szCs w:val="36"/>
          <w:lang w:val="es-ES"/>
        </w:rPr>
        <w:br/>
        <w:t>DE LAS OBLIGACIONES</w:t>
      </w:r>
    </w:p>
    <w:p w:rsidR="00000000" w:rsidRDefault="0018461E">
      <w:pPr>
        <w:divId w:val="1596591398"/>
        <w:rPr>
          <w:rFonts w:eastAsia="Times New Roman"/>
          <w:sz w:val="30"/>
          <w:szCs w:val="30"/>
          <w:lang w:val="es-ES"/>
        </w:rPr>
      </w:pPr>
      <w:r>
        <w:rPr>
          <w:rFonts w:eastAsia="Times New Roman"/>
          <w:sz w:val="30"/>
          <w:szCs w:val="30"/>
          <w:lang w:val="es-ES"/>
        </w:rPr>
        <w:t>Art. 238.-</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5" name="Imagen 5"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 xml:space="preserve">Responsabilidad por la solvencia. </w:t>
      </w:r>
      <w:r>
        <w:rPr>
          <w:rFonts w:eastAsia="Times New Roman"/>
          <w:sz w:val="30"/>
          <w:szCs w:val="30"/>
          <w:lang w:val="es-ES"/>
        </w:rPr>
        <w:t>(Reformado por el num. 5 de la Disposción Reformatoria Segunda de la Ley s/n, R</w:t>
      </w:r>
      <w:r>
        <w:rPr>
          <w:rFonts w:eastAsia="Times New Roman"/>
          <w:sz w:val="30"/>
          <w:szCs w:val="30"/>
          <w:lang w:val="es-ES"/>
        </w:rPr>
        <w:t>.O. 986-S, 18-IV-2017).- Los accionistas y socios de las entidades de los sectores financiero privado y popular y solidario responderán por la solvencia de la entidad hasta por el monto de sus acciones o participaciones.</w:t>
      </w:r>
      <w:r>
        <w:rPr>
          <w:rFonts w:eastAsia="Times New Roman"/>
          <w:sz w:val="30"/>
          <w:szCs w:val="30"/>
          <w:lang w:val="es-ES"/>
        </w:rPr>
        <w:br/>
      </w:r>
      <w:r>
        <w:rPr>
          <w:rFonts w:eastAsia="Times New Roman"/>
          <w:sz w:val="30"/>
          <w:szCs w:val="30"/>
          <w:lang w:val="es-ES"/>
        </w:rPr>
        <w:lastRenderedPageBreak/>
        <w:br/>
        <w:t xml:space="preserve">En caso de liquidación forzosa de </w:t>
      </w:r>
      <w:r>
        <w:rPr>
          <w:rFonts w:eastAsia="Times New Roman"/>
          <w:sz w:val="30"/>
          <w:szCs w:val="30"/>
          <w:lang w:val="es-ES"/>
        </w:rPr>
        <w:t>una entidad financiera privada, los accionistas que, directa o indirectamente, sean personas con propiedad patrimonial con infl uencia, responderán inclusive con su patrimonio personal en caso de que hayan incurrido en culpa grave o dolo y culpa leve. Trat</w:t>
      </w:r>
      <w:r>
        <w:rPr>
          <w:rFonts w:eastAsia="Times New Roman"/>
          <w:sz w:val="30"/>
          <w:szCs w:val="30"/>
          <w:lang w:val="es-ES"/>
        </w:rPr>
        <w:t>ándose de accionistas con o sin propiedad patrimonial con influencia, que ejerzan la administración de la entidad financiera privada, responderán solidariamente y por la totalidad del défi cit patrimonial, aun por culpa levísima. Igual responsabilidad tend</w:t>
      </w:r>
      <w:r>
        <w:rPr>
          <w:rFonts w:eastAsia="Times New Roman"/>
          <w:sz w:val="30"/>
          <w:szCs w:val="30"/>
          <w:lang w:val="es-ES"/>
        </w:rPr>
        <w:t>rán los fideicomisos creados para administrar acciones, sus constituyentes y los administradores de las entidades del sistema financiero nacional.</w:t>
      </w:r>
      <w:r>
        <w:rPr>
          <w:rFonts w:eastAsia="Times New Roman"/>
          <w:sz w:val="30"/>
          <w:szCs w:val="30"/>
          <w:lang w:val="es-ES"/>
        </w:rPr>
        <w:br/>
      </w:r>
      <w:r>
        <w:rPr>
          <w:rFonts w:eastAsia="Times New Roman"/>
          <w:sz w:val="30"/>
          <w:szCs w:val="30"/>
          <w:lang w:val="es-ES"/>
        </w:rPr>
        <w:br/>
        <w:t>También responderán con su patrimonio los vinculados y los funcionarios incursos en los actos determinados e</w:t>
      </w:r>
      <w:r>
        <w:rPr>
          <w:rFonts w:eastAsia="Times New Roman"/>
          <w:sz w:val="30"/>
          <w:szCs w:val="30"/>
          <w:lang w:val="es-ES"/>
        </w:rPr>
        <w:t>n el artículo 305.</w:t>
      </w:r>
    </w:p>
    <w:p w:rsidR="00000000" w:rsidRDefault="0018461E">
      <w:pPr>
        <w:divId w:val="2048487330"/>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 xml:space="preserve">Indicadores financieros, liquidez, capital y patrimonio. </w:t>
      </w:r>
      <w:r>
        <w:rPr>
          <w:rFonts w:eastAsia="Times New Roman"/>
          <w:sz w:val="30"/>
          <w:szCs w:val="30"/>
          <w:lang w:val="es-ES"/>
        </w:rPr>
        <w:t>Las entidades del sistema financiero nacional deberán cumplir, en todo tiempo, con las normas referidas a los indicadores financieros, liquidez, capital y patrimonio det</w:t>
      </w:r>
      <w:r>
        <w:rPr>
          <w:rFonts w:eastAsia="Times New Roman"/>
          <w:sz w:val="30"/>
          <w:szCs w:val="30"/>
          <w:lang w:val="es-ES"/>
        </w:rPr>
        <w:t>erminadas en este Código y la normativa que expida la Junta de Política y Regulación Monetaria y Financiera de conformidad con el tipo de entidad, los sistemas de control interno y la administración de riesgos adecuados al tamaño y complejidad de la entida</w:t>
      </w:r>
      <w:r>
        <w:rPr>
          <w:rFonts w:eastAsia="Times New Roman"/>
          <w:sz w:val="30"/>
          <w:szCs w:val="30"/>
          <w:lang w:val="es-ES"/>
        </w:rPr>
        <w:t>d financiera.</w:t>
      </w:r>
    </w:p>
    <w:p w:rsidR="00000000" w:rsidRDefault="0018461E">
      <w:pPr>
        <w:divId w:val="1255550350"/>
        <w:rPr>
          <w:rFonts w:eastAsia="Times New Roman"/>
          <w:sz w:val="30"/>
          <w:szCs w:val="30"/>
          <w:lang w:val="es-ES"/>
        </w:rPr>
      </w:pPr>
      <w:r>
        <w:rPr>
          <w:rFonts w:eastAsia="Times New Roman"/>
          <w:sz w:val="30"/>
          <w:szCs w:val="30"/>
          <w:lang w:val="es-ES"/>
        </w:rPr>
        <w:t xml:space="preserve">Art. 240.- </w:t>
      </w:r>
      <w:r>
        <w:rPr>
          <w:rFonts w:eastAsia="Times New Roman"/>
          <w:b/>
          <w:bCs/>
          <w:sz w:val="30"/>
          <w:szCs w:val="30"/>
          <w:lang w:val="es-ES"/>
        </w:rPr>
        <w:t xml:space="preserve">Encaje. </w:t>
      </w:r>
      <w:r>
        <w:rPr>
          <w:rFonts w:eastAsia="Times New Roman"/>
          <w:sz w:val="30"/>
          <w:szCs w:val="30"/>
          <w:lang w:val="es-ES"/>
        </w:rPr>
        <w:t>Las entidades de los sectores financieros público y privado, sin perjuicio de las demás reservas dispuestas por este Código, están obligadas a mantener encaje sobre los depósitos y captaciones que tuvieren a su cargo. El en</w:t>
      </w:r>
      <w:r>
        <w:rPr>
          <w:rFonts w:eastAsia="Times New Roman"/>
          <w:sz w:val="30"/>
          <w:szCs w:val="30"/>
          <w:lang w:val="es-ES"/>
        </w:rPr>
        <w:t>caje no será remunerado y se mantendrá en el Banco Central del Ecuador.</w:t>
      </w:r>
      <w:r>
        <w:rPr>
          <w:rFonts w:eastAsia="Times New Roman"/>
          <w:sz w:val="30"/>
          <w:szCs w:val="30"/>
          <w:lang w:val="es-ES"/>
        </w:rPr>
        <w:br/>
      </w:r>
      <w:r>
        <w:rPr>
          <w:rFonts w:eastAsia="Times New Roman"/>
          <w:sz w:val="30"/>
          <w:szCs w:val="30"/>
          <w:lang w:val="es-ES"/>
        </w:rPr>
        <w:br/>
        <w:t>En caso de que las entidades financieras públicas y privadas no cumplan con los niveles de encaje dispuestos, la Superintendencia de Bancos ordenará a la entidad el aporte inmediato d</w:t>
      </w:r>
      <w:r>
        <w:rPr>
          <w:rFonts w:eastAsia="Times New Roman"/>
          <w:sz w:val="30"/>
          <w:szCs w:val="30"/>
          <w:lang w:val="es-ES"/>
        </w:rPr>
        <w:t>e los recursos necesarios para cubrir el desencaje.</w:t>
      </w:r>
      <w:r>
        <w:rPr>
          <w:rFonts w:eastAsia="Times New Roman"/>
          <w:sz w:val="30"/>
          <w:szCs w:val="30"/>
          <w:lang w:val="es-ES"/>
        </w:rPr>
        <w:br/>
      </w:r>
      <w:r>
        <w:rPr>
          <w:rFonts w:eastAsia="Times New Roman"/>
          <w:sz w:val="30"/>
          <w:szCs w:val="30"/>
          <w:lang w:val="es-ES"/>
        </w:rPr>
        <w:br/>
        <w:t>Para las entidades del sector financiero popular y solidario, la Junta de Política y Regulación Monetaria y Financiera establecerá las condiciones de encaje diferenciado por segmentos para este sector.</w:t>
      </w:r>
    </w:p>
    <w:p w:rsidR="00000000" w:rsidRDefault="0018461E">
      <w:pPr>
        <w:divId w:val="1171333658"/>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241.- </w:t>
      </w:r>
      <w:r>
        <w:rPr>
          <w:rFonts w:eastAsia="Times New Roman"/>
          <w:b/>
          <w:bCs/>
          <w:sz w:val="30"/>
          <w:szCs w:val="30"/>
          <w:lang w:val="es-ES"/>
        </w:rPr>
        <w:t xml:space="preserve">Regulación del encaje. </w:t>
      </w:r>
      <w:r>
        <w:rPr>
          <w:rFonts w:eastAsia="Times New Roman"/>
          <w:sz w:val="30"/>
          <w:szCs w:val="30"/>
          <w:lang w:val="es-ES"/>
        </w:rPr>
        <w:t>La Junta de Política y Regulación Monetaria y Financiera regulará de manera diferenciada los porcentajes de encaje, que podrán ser por estructura de captación, tipo de entidad, entre otros.</w:t>
      </w:r>
    </w:p>
    <w:p w:rsidR="00000000" w:rsidRDefault="0018461E">
      <w:pPr>
        <w:divId w:val="1305115930"/>
        <w:rPr>
          <w:rFonts w:eastAsia="Times New Roman"/>
          <w:sz w:val="30"/>
          <w:szCs w:val="30"/>
          <w:lang w:val="es-ES"/>
        </w:rPr>
      </w:pPr>
      <w:r>
        <w:rPr>
          <w:rFonts w:eastAsia="Times New Roman"/>
          <w:sz w:val="30"/>
          <w:szCs w:val="30"/>
          <w:lang w:val="es-ES"/>
        </w:rPr>
        <w:lastRenderedPageBreak/>
        <w:t>Art. 242.-</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6" name="Imagen 6"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Entrega de información.-</w:t>
      </w:r>
      <w:r>
        <w:rPr>
          <w:rFonts w:eastAsia="Times New Roman"/>
          <w:sz w:val="30"/>
          <w:szCs w:val="30"/>
          <w:lang w:val="es-ES"/>
        </w:rPr>
        <w:t xml:space="preserve"> (Reformado por la Disposición Reformatoria Segunda de la Ley s/n, R.O. 615-S, 26-X-2015).-</w:t>
      </w:r>
      <w:r>
        <w:rPr>
          <w:rFonts w:eastAsia="Times New Roman"/>
          <w:b/>
          <w:bCs/>
          <w:sz w:val="30"/>
          <w:szCs w:val="30"/>
          <w:lang w:val="es-ES"/>
        </w:rPr>
        <w:t xml:space="preserve"> </w:t>
      </w:r>
      <w:r>
        <w:rPr>
          <w:rFonts w:eastAsia="Times New Roman"/>
          <w:sz w:val="30"/>
          <w:szCs w:val="30"/>
          <w:lang w:val="es-ES"/>
        </w:rPr>
        <w:t>Las entidades del sistema financiero nacional están obligadas a entregar la información que les sea requerida por los organismos de control y el Servicio de Rentas Internas, de manera directa, sin restricción, trámite o intermediación alguna, en las condic</w:t>
      </w:r>
      <w:r>
        <w:rPr>
          <w:rFonts w:eastAsia="Times New Roman"/>
          <w:sz w:val="30"/>
          <w:szCs w:val="30"/>
          <w:lang w:val="es-ES"/>
        </w:rPr>
        <w:t>iones y forma que estas entidades lo dispongan, exclusivamente para fines de su gestión.</w:t>
      </w:r>
      <w:r>
        <w:rPr>
          <w:rFonts w:eastAsia="Times New Roman"/>
          <w:sz w:val="30"/>
          <w:szCs w:val="30"/>
          <w:lang w:val="es-ES"/>
        </w:rPr>
        <w:br/>
      </w:r>
      <w:r>
        <w:rPr>
          <w:rFonts w:eastAsia="Times New Roman"/>
          <w:sz w:val="30"/>
          <w:szCs w:val="30"/>
          <w:lang w:val="es-ES"/>
        </w:rPr>
        <w:br/>
        <w:t xml:space="preserve">La información legal, financiera, contable y de cualquier otro tipo que sea requerida a las entidades sujetas a este Código por los respectivos organismos de control </w:t>
      </w:r>
      <w:r>
        <w:rPr>
          <w:rFonts w:eastAsia="Times New Roman"/>
          <w:sz w:val="30"/>
          <w:szCs w:val="30"/>
          <w:lang w:val="es-ES"/>
        </w:rPr>
        <w:t>podrá ser desmaterializada y suscrita por medio de firma electrónica debidamente certificada por una de las entidades autorizadas, en los términos previstos en la Ley de Comercio Electrónico, Firmas y Mensajes de Datos. Cada organismo de control establecer</w:t>
      </w:r>
      <w:r>
        <w:rPr>
          <w:rFonts w:eastAsia="Times New Roman"/>
          <w:sz w:val="30"/>
          <w:szCs w:val="30"/>
          <w:lang w:val="es-ES"/>
        </w:rPr>
        <w:t>á, para su implementación, las disposiciones inherentes a cada tipo de información.</w:t>
      </w:r>
      <w:r>
        <w:rPr>
          <w:rFonts w:eastAsia="Times New Roman"/>
          <w:sz w:val="30"/>
          <w:szCs w:val="30"/>
          <w:lang w:val="es-ES"/>
        </w:rPr>
        <w:br/>
      </w:r>
      <w:r>
        <w:rPr>
          <w:rFonts w:eastAsia="Times New Roman"/>
          <w:sz w:val="30"/>
          <w:szCs w:val="30"/>
          <w:lang w:val="es-ES"/>
        </w:rPr>
        <w:br/>
        <w:t xml:space="preserve">Las entidades del sistema financiero nacional, de acuerdo con las disposiciones de este Código, tienen la obligación de proporcionar a través de los organismos de control </w:t>
      </w:r>
      <w:r>
        <w:rPr>
          <w:rFonts w:eastAsia="Times New Roman"/>
          <w:sz w:val="30"/>
          <w:szCs w:val="30"/>
          <w:lang w:val="es-ES"/>
        </w:rPr>
        <w:t>cualquier información requerida por la Junta de Política y Regulación Monetaria y Financiera, en los tiempos que se establezcan para el efecto.</w:t>
      </w:r>
      <w:r>
        <w:rPr>
          <w:rFonts w:eastAsia="Times New Roman"/>
          <w:sz w:val="30"/>
          <w:szCs w:val="30"/>
          <w:lang w:val="es-ES"/>
        </w:rPr>
        <w:br/>
      </w:r>
      <w:r>
        <w:rPr>
          <w:rFonts w:eastAsia="Times New Roman"/>
          <w:sz w:val="30"/>
          <w:szCs w:val="30"/>
          <w:lang w:val="es-ES"/>
        </w:rPr>
        <w:br/>
        <w:t>Los requerimientos de información que formulen el Banco Central del Ecuador, la Corporación del Seguro de Depós</w:t>
      </w:r>
      <w:r>
        <w:rPr>
          <w:rFonts w:eastAsia="Times New Roman"/>
          <w:sz w:val="30"/>
          <w:szCs w:val="30"/>
          <w:lang w:val="es-ES"/>
        </w:rPr>
        <w:t>itos y Fondo de Liquidez, la autoridad competente en materia de drogas y la Unidad de Análisis Financiero UAF, serán procesados de acuerdo con las disposiciones de este Código y la ley.</w:t>
      </w:r>
      <w:r>
        <w:rPr>
          <w:rFonts w:eastAsia="Times New Roman"/>
          <w:sz w:val="30"/>
          <w:szCs w:val="30"/>
          <w:lang w:val="es-ES"/>
        </w:rPr>
        <w:br/>
      </w:r>
      <w:r>
        <w:rPr>
          <w:rFonts w:eastAsia="Times New Roman"/>
          <w:sz w:val="30"/>
          <w:szCs w:val="30"/>
          <w:lang w:val="es-ES"/>
        </w:rPr>
        <w:br/>
        <w:t>Si por disposición legal expresa, otras instituciones del Estado tien</w:t>
      </w:r>
      <w:r>
        <w:rPr>
          <w:rFonts w:eastAsia="Times New Roman"/>
          <w:sz w:val="30"/>
          <w:szCs w:val="30"/>
          <w:lang w:val="es-ES"/>
        </w:rPr>
        <w:t>en la necesidad de requerir información a las entidades financieras, este requerimiento deberá ser canalizado a través de los organismos de control, los que, previa determinación sobre su causa y fines, la recabarán y entregarán.</w:t>
      </w:r>
    </w:p>
    <w:p w:rsidR="00000000" w:rsidRDefault="0018461E">
      <w:pPr>
        <w:divId w:val="1799445732"/>
        <w:rPr>
          <w:rFonts w:eastAsia="Times New Roman"/>
          <w:sz w:val="30"/>
          <w:szCs w:val="30"/>
          <w:lang w:val="es-ES"/>
        </w:rPr>
      </w:pPr>
      <w:r>
        <w:rPr>
          <w:rFonts w:eastAsia="Times New Roman"/>
          <w:sz w:val="30"/>
          <w:szCs w:val="30"/>
          <w:lang w:val="es-ES"/>
        </w:rPr>
        <w:t xml:space="preserve">Art. 243.- </w:t>
      </w:r>
      <w:r>
        <w:rPr>
          <w:rFonts w:eastAsia="Times New Roman"/>
          <w:b/>
          <w:bCs/>
          <w:sz w:val="30"/>
          <w:szCs w:val="30"/>
          <w:lang w:val="es-ES"/>
        </w:rPr>
        <w:t>Lavado de activ</w:t>
      </w:r>
      <w:r>
        <w:rPr>
          <w:rFonts w:eastAsia="Times New Roman"/>
          <w:b/>
          <w:bCs/>
          <w:sz w:val="30"/>
          <w:szCs w:val="30"/>
          <w:lang w:val="es-ES"/>
        </w:rPr>
        <w:t xml:space="preserve">os y financiamiento de delitos como el terrorismo. </w:t>
      </w:r>
      <w:r>
        <w:rPr>
          <w:rFonts w:eastAsia="Times New Roman"/>
          <w:sz w:val="30"/>
          <w:szCs w:val="30"/>
          <w:lang w:val="es-ES"/>
        </w:rPr>
        <w:t xml:space="preserve">Las infracciones sobre lavado de activos y financiamiento de delitos como el terrorismo, se sancionarán de conformidad con las disposiciones del Código Orgánico Integral Penal y la Ley de </w:t>
      </w:r>
      <w:r>
        <w:rPr>
          <w:rFonts w:eastAsia="Times New Roman"/>
          <w:sz w:val="30"/>
          <w:szCs w:val="30"/>
          <w:lang w:val="es-ES"/>
        </w:rPr>
        <w:lastRenderedPageBreak/>
        <w:t>Prevención, Detec</w:t>
      </w:r>
      <w:r>
        <w:rPr>
          <w:rFonts w:eastAsia="Times New Roman"/>
          <w:sz w:val="30"/>
          <w:szCs w:val="30"/>
          <w:lang w:val="es-ES"/>
        </w:rPr>
        <w:t>ción y Erradicación del Delito de Lavado de Activos y Financiamiento de Delitos.</w:t>
      </w:r>
    </w:p>
    <w:p w:rsidR="00000000" w:rsidRDefault="0018461E">
      <w:pPr>
        <w:divId w:val="1072122828"/>
        <w:rPr>
          <w:rFonts w:eastAsia="Times New Roman"/>
          <w:sz w:val="30"/>
          <w:szCs w:val="30"/>
          <w:lang w:val="es-ES"/>
        </w:rPr>
      </w:pPr>
      <w:r>
        <w:rPr>
          <w:rFonts w:eastAsia="Times New Roman"/>
          <w:sz w:val="30"/>
          <w:szCs w:val="30"/>
          <w:lang w:val="es-ES"/>
        </w:rPr>
        <w:t xml:space="preserve">Art. 244.- </w:t>
      </w:r>
      <w:r>
        <w:rPr>
          <w:rFonts w:eastAsia="Times New Roman"/>
          <w:b/>
          <w:bCs/>
          <w:sz w:val="30"/>
          <w:szCs w:val="30"/>
          <w:lang w:val="es-ES"/>
        </w:rPr>
        <w:t xml:space="preserve">Control y prevención de lavado de activos. </w:t>
      </w:r>
      <w:r>
        <w:rPr>
          <w:rFonts w:eastAsia="Times New Roman"/>
          <w:sz w:val="30"/>
          <w:szCs w:val="30"/>
          <w:lang w:val="es-ES"/>
        </w:rPr>
        <w:t>Las entidades del sistema financiero nacional tienen la obligación de establecer sistemas de control interno para la prev</w:t>
      </w:r>
      <w:r>
        <w:rPr>
          <w:rFonts w:eastAsia="Times New Roman"/>
          <w:sz w:val="30"/>
          <w:szCs w:val="30"/>
          <w:lang w:val="es-ES"/>
        </w:rPr>
        <w:t>ención de delitos, incluidos el lavado de activos y el financiamiento de delitos como el terrorismo, en todas las operaciones financieras.</w:t>
      </w:r>
    </w:p>
    <w:p w:rsidR="00000000" w:rsidRDefault="0018461E">
      <w:pPr>
        <w:divId w:val="1581523638"/>
        <w:rPr>
          <w:rFonts w:eastAsia="Times New Roman"/>
          <w:sz w:val="30"/>
          <w:szCs w:val="30"/>
          <w:lang w:val="es-ES"/>
        </w:rPr>
      </w:pPr>
      <w:r>
        <w:rPr>
          <w:rFonts w:eastAsia="Times New Roman"/>
          <w:sz w:val="30"/>
          <w:szCs w:val="30"/>
          <w:lang w:val="es-ES"/>
        </w:rPr>
        <w:t xml:space="preserve">Art. 245.- </w:t>
      </w:r>
      <w:r>
        <w:rPr>
          <w:rFonts w:eastAsia="Times New Roman"/>
          <w:b/>
          <w:bCs/>
          <w:sz w:val="30"/>
          <w:szCs w:val="30"/>
          <w:lang w:val="es-ES"/>
        </w:rPr>
        <w:t xml:space="preserve">Información a los accionistas y socios. </w:t>
      </w:r>
      <w:r>
        <w:rPr>
          <w:rFonts w:eastAsia="Times New Roman"/>
          <w:sz w:val="30"/>
          <w:szCs w:val="30"/>
          <w:lang w:val="es-ES"/>
        </w:rPr>
        <w:t xml:space="preserve">Las entidades del sistema financiero nacional deberán presentar a </w:t>
      </w:r>
      <w:r>
        <w:rPr>
          <w:rFonts w:eastAsia="Times New Roman"/>
          <w:sz w:val="30"/>
          <w:szCs w:val="30"/>
          <w:lang w:val="es-ES"/>
        </w:rPr>
        <w:t>sus accionistas y socios, según corresponda, al menos la siguiente información:</w:t>
      </w:r>
      <w:r>
        <w:rPr>
          <w:rFonts w:eastAsia="Times New Roman"/>
          <w:sz w:val="30"/>
          <w:szCs w:val="30"/>
          <w:lang w:val="es-ES"/>
        </w:rPr>
        <w:br/>
      </w:r>
      <w:r>
        <w:rPr>
          <w:rFonts w:eastAsia="Times New Roman"/>
          <w:sz w:val="30"/>
          <w:szCs w:val="30"/>
          <w:lang w:val="es-ES"/>
        </w:rPr>
        <w:br/>
        <w:t>1. Informe de la administración;</w:t>
      </w:r>
      <w:r>
        <w:rPr>
          <w:rFonts w:eastAsia="Times New Roman"/>
          <w:sz w:val="30"/>
          <w:szCs w:val="30"/>
          <w:lang w:val="es-ES"/>
        </w:rPr>
        <w:br/>
      </w:r>
      <w:r>
        <w:rPr>
          <w:rFonts w:eastAsia="Times New Roman"/>
          <w:sz w:val="30"/>
          <w:szCs w:val="30"/>
          <w:lang w:val="es-ES"/>
        </w:rPr>
        <w:br/>
        <w:t>2. Balances de situación comparativos de los dos últimos años;</w:t>
      </w:r>
      <w:r>
        <w:rPr>
          <w:rFonts w:eastAsia="Times New Roman"/>
          <w:sz w:val="30"/>
          <w:szCs w:val="30"/>
          <w:lang w:val="es-ES"/>
        </w:rPr>
        <w:br/>
      </w:r>
      <w:r>
        <w:rPr>
          <w:rFonts w:eastAsia="Times New Roman"/>
          <w:sz w:val="30"/>
          <w:szCs w:val="30"/>
          <w:lang w:val="es-ES"/>
        </w:rPr>
        <w:br/>
        <w:t>3. Estado de cambios en la situación financiera correspondiente al último año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4. Estado de pérdidas y ganancias de los dos últimos años;</w:t>
      </w:r>
      <w:r>
        <w:rPr>
          <w:rFonts w:eastAsia="Times New Roman"/>
          <w:sz w:val="30"/>
          <w:szCs w:val="30"/>
          <w:lang w:val="es-ES"/>
        </w:rPr>
        <w:br/>
      </w:r>
      <w:r>
        <w:rPr>
          <w:rFonts w:eastAsia="Times New Roman"/>
          <w:sz w:val="30"/>
          <w:szCs w:val="30"/>
          <w:lang w:val="es-ES"/>
        </w:rPr>
        <w:br/>
        <w:t>5. Informe de los auditores interno y externo calificados por la respectiva superintendencia;</w:t>
      </w:r>
      <w:r>
        <w:rPr>
          <w:rFonts w:eastAsia="Times New Roman"/>
          <w:sz w:val="30"/>
          <w:szCs w:val="30"/>
          <w:lang w:val="es-ES"/>
        </w:rPr>
        <w:br/>
      </w:r>
      <w:r>
        <w:rPr>
          <w:rFonts w:eastAsia="Times New Roman"/>
          <w:sz w:val="30"/>
          <w:szCs w:val="30"/>
          <w:lang w:val="es-ES"/>
        </w:rPr>
        <w:br/>
        <w:t>6. Informe de la calificadora de riesgos, cuando corresponda;</w:t>
      </w:r>
      <w:r>
        <w:rPr>
          <w:rFonts w:eastAsia="Times New Roman"/>
          <w:sz w:val="30"/>
          <w:szCs w:val="30"/>
          <w:lang w:val="es-ES"/>
        </w:rPr>
        <w:br/>
      </w:r>
      <w:r>
        <w:rPr>
          <w:rFonts w:eastAsia="Times New Roman"/>
          <w:sz w:val="30"/>
          <w:szCs w:val="30"/>
          <w:lang w:val="es-ES"/>
        </w:rPr>
        <w:br/>
        <w:t>7. Posición del patrimonio técnico;</w:t>
      </w:r>
      <w:r>
        <w:rPr>
          <w:rFonts w:eastAsia="Times New Roman"/>
          <w:sz w:val="30"/>
          <w:szCs w:val="30"/>
          <w:lang w:val="es-ES"/>
        </w:rPr>
        <w:br/>
      </w:r>
      <w:r>
        <w:rPr>
          <w:rFonts w:eastAsia="Times New Roman"/>
          <w:sz w:val="30"/>
          <w:szCs w:val="30"/>
          <w:lang w:val="es-ES"/>
        </w:rPr>
        <w:br/>
        <w:t>8. Indicadores de liquidez, solvencia, eficiencia y rentabilidad;</w:t>
      </w:r>
      <w:r>
        <w:rPr>
          <w:rFonts w:eastAsia="Times New Roman"/>
          <w:sz w:val="30"/>
          <w:szCs w:val="30"/>
          <w:lang w:val="es-ES"/>
        </w:rPr>
        <w:br/>
      </w:r>
      <w:r>
        <w:rPr>
          <w:rFonts w:eastAsia="Times New Roman"/>
          <w:sz w:val="30"/>
          <w:szCs w:val="30"/>
          <w:lang w:val="es-ES"/>
        </w:rPr>
        <w:br/>
        <w:t>9. Calificación de activos de riesgo del último ejercicio económico; y,</w:t>
      </w:r>
      <w:r>
        <w:rPr>
          <w:rFonts w:eastAsia="Times New Roman"/>
          <w:sz w:val="30"/>
          <w:szCs w:val="30"/>
          <w:lang w:val="es-ES"/>
        </w:rPr>
        <w:br/>
      </w:r>
      <w:r>
        <w:rPr>
          <w:rFonts w:eastAsia="Times New Roman"/>
          <w:sz w:val="30"/>
          <w:szCs w:val="30"/>
          <w:lang w:val="es-ES"/>
        </w:rPr>
        <w:br/>
        <w:t>10. Remuneraciones, compensaciones y otros beneficios de sus administradores.</w:t>
      </w:r>
      <w:r>
        <w:rPr>
          <w:rFonts w:eastAsia="Times New Roman"/>
          <w:sz w:val="30"/>
          <w:szCs w:val="30"/>
          <w:lang w:val="es-ES"/>
        </w:rPr>
        <w:br/>
      </w:r>
      <w:r>
        <w:rPr>
          <w:rFonts w:eastAsia="Times New Roman"/>
          <w:sz w:val="30"/>
          <w:szCs w:val="30"/>
          <w:lang w:val="es-ES"/>
        </w:rPr>
        <w:br/>
        <w:t>En el caso de grupos financieros, l</w:t>
      </w:r>
      <w:r>
        <w:rPr>
          <w:rFonts w:eastAsia="Times New Roman"/>
          <w:sz w:val="30"/>
          <w:szCs w:val="30"/>
          <w:lang w:val="es-ES"/>
        </w:rPr>
        <w:t>a información debe presentarse en forma consolidada y en forma individual para cada una de las entidades integrantes del grupo.</w:t>
      </w:r>
      <w:r>
        <w:rPr>
          <w:rFonts w:eastAsia="Times New Roman"/>
          <w:sz w:val="30"/>
          <w:szCs w:val="30"/>
          <w:lang w:val="es-ES"/>
        </w:rPr>
        <w:br/>
      </w:r>
      <w:r>
        <w:rPr>
          <w:rFonts w:eastAsia="Times New Roman"/>
          <w:sz w:val="30"/>
          <w:szCs w:val="30"/>
          <w:lang w:val="es-ES"/>
        </w:rPr>
        <w:br/>
        <w:t xml:space="preserve">La información determinada en este artículo deberá estar a disposición </w:t>
      </w:r>
      <w:r>
        <w:rPr>
          <w:rFonts w:eastAsia="Times New Roman"/>
          <w:sz w:val="30"/>
          <w:szCs w:val="30"/>
          <w:lang w:val="es-ES"/>
        </w:rPr>
        <w:lastRenderedPageBreak/>
        <w:t>del público en general por medio de su página web y en s</w:t>
      </w:r>
      <w:r>
        <w:rPr>
          <w:rFonts w:eastAsia="Times New Roman"/>
          <w:sz w:val="30"/>
          <w:szCs w:val="30"/>
          <w:lang w:val="es-ES"/>
        </w:rPr>
        <w:t>u memoria anual, en la forma que determinen los organismos de control.</w:t>
      </w:r>
    </w:p>
    <w:p w:rsidR="00000000" w:rsidRDefault="0018461E">
      <w:pPr>
        <w:divId w:val="1009135038"/>
        <w:rPr>
          <w:rFonts w:eastAsia="Times New Roman"/>
          <w:sz w:val="30"/>
          <w:szCs w:val="30"/>
          <w:lang w:val="es-ES"/>
        </w:rPr>
      </w:pPr>
      <w:r>
        <w:rPr>
          <w:rFonts w:eastAsia="Times New Roman"/>
          <w:sz w:val="30"/>
          <w:szCs w:val="30"/>
          <w:lang w:val="es-ES"/>
        </w:rPr>
        <w:t xml:space="preserve">Art. 246.- </w:t>
      </w:r>
      <w:r>
        <w:rPr>
          <w:rFonts w:eastAsia="Times New Roman"/>
          <w:b/>
          <w:bCs/>
          <w:sz w:val="30"/>
          <w:szCs w:val="30"/>
          <w:lang w:val="es-ES"/>
        </w:rPr>
        <w:t xml:space="preserve">Información al usuario financiero. </w:t>
      </w:r>
      <w:r>
        <w:rPr>
          <w:rFonts w:eastAsia="Times New Roman"/>
          <w:sz w:val="30"/>
          <w:szCs w:val="30"/>
          <w:lang w:val="es-ES"/>
        </w:rPr>
        <w:t>Las entidades del sistema financiero nacional tienen la obligación de informar a los usuarios financieros, en los formatos que defina el or</w:t>
      </w:r>
      <w:r>
        <w:rPr>
          <w:rFonts w:eastAsia="Times New Roman"/>
          <w:sz w:val="30"/>
          <w:szCs w:val="30"/>
          <w:lang w:val="es-ES"/>
        </w:rPr>
        <w:t>ganismo de control, al menos lo siguiente:</w:t>
      </w:r>
      <w:r>
        <w:rPr>
          <w:rFonts w:eastAsia="Times New Roman"/>
          <w:sz w:val="30"/>
          <w:szCs w:val="30"/>
          <w:lang w:val="es-ES"/>
        </w:rPr>
        <w:br/>
      </w:r>
      <w:r>
        <w:rPr>
          <w:rFonts w:eastAsia="Times New Roman"/>
          <w:sz w:val="30"/>
          <w:szCs w:val="30"/>
          <w:lang w:val="es-ES"/>
        </w:rPr>
        <w:br/>
        <w:t>1. Sus principales indicadores financieros;</w:t>
      </w:r>
      <w:r>
        <w:rPr>
          <w:rFonts w:eastAsia="Times New Roman"/>
          <w:sz w:val="30"/>
          <w:szCs w:val="30"/>
          <w:lang w:val="es-ES"/>
        </w:rPr>
        <w:br/>
      </w:r>
      <w:r>
        <w:rPr>
          <w:rFonts w:eastAsia="Times New Roman"/>
          <w:sz w:val="30"/>
          <w:szCs w:val="30"/>
          <w:lang w:val="es-ES"/>
        </w:rPr>
        <w:br/>
        <w:t>2. Las tasas de interés activas y pasivas efectivas anuales;</w:t>
      </w:r>
      <w:r>
        <w:rPr>
          <w:rFonts w:eastAsia="Times New Roman"/>
          <w:sz w:val="30"/>
          <w:szCs w:val="30"/>
          <w:lang w:val="es-ES"/>
        </w:rPr>
        <w:br/>
      </w:r>
      <w:r>
        <w:rPr>
          <w:rFonts w:eastAsia="Times New Roman"/>
          <w:sz w:val="30"/>
          <w:szCs w:val="30"/>
          <w:lang w:val="es-ES"/>
        </w:rPr>
        <w:br/>
        <w:t>3. Los cargos por servicios financieros;</w:t>
      </w:r>
      <w:r>
        <w:rPr>
          <w:rFonts w:eastAsia="Times New Roman"/>
          <w:sz w:val="30"/>
          <w:szCs w:val="30"/>
          <w:lang w:val="es-ES"/>
        </w:rPr>
        <w:br/>
      </w:r>
      <w:r>
        <w:rPr>
          <w:rFonts w:eastAsia="Times New Roman"/>
          <w:sz w:val="30"/>
          <w:szCs w:val="30"/>
          <w:lang w:val="es-ES"/>
        </w:rPr>
        <w:br/>
        <w:t>4. Las condiciones generales de las actividades financieras que</w:t>
      </w:r>
      <w:r>
        <w:rPr>
          <w:rFonts w:eastAsia="Times New Roman"/>
          <w:sz w:val="30"/>
          <w:szCs w:val="30"/>
          <w:lang w:val="es-ES"/>
        </w:rPr>
        <w:t xml:space="preserve"> prestan;</w:t>
      </w:r>
      <w:r>
        <w:rPr>
          <w:rFonts w:eastAsia="Times New Roman"/>
          <w:sz w:val="30"/>
          <w:szCs w:val="30"/>
          <w:lang w:val="es-ES"/>
        </w:rPr>
        <w:br/>
      </w:r>
      <w:r>
        <w:rPr>
          <w:rFonts w:eastAsia="Times New Roman"/>
          <w:sz w:val="30"/>
          <w:szCs w:val="30"/>
          <w:lang w:val="es-ES"/>
        </w:rPr>
        <w:br/>
        <w:t>5. La calificación de riesgo, cuando corresponda;</w:t>
      </w:r>
      <w:r>
        <w:rPr>
          <w:rFonts w:eastAsia="Times New Roman"/>
          <w:sz w:val="30"/>
          <w:szCs w:val="30"/>
          <w:lang w:val="es-ES"/>
        </w:rPr>
        <w:br/>
      </w:r>
      <w:r>
        <w:rPr>
          <w:rFonts w:eastAsia="Times New Roman"/>
          <w:sz w:val="30"/>
          <w:szCs w:val="30"/>
          <w:lang w:val="es-ES"/>
        </w:rPr>
        <w:br/>
        <w:t>6. El estado de las operaciones que un usuario mantenga con la entidad;</w:t>
      </w:r>
      <w:r>
        <w:rPr>
          <w:rFonts w:eastAsia="Times New Roman"/>
          <w:sz w:val="30"/>
          <w:szCs w:val="30"/>
          <w:lang w:val="es-ES"/>
        </w:rPr>
        <w:br/>
      </w:r>
      <w:r>
        <w:rPr>
          <w:rFonts w:eastAsia="Times New Roman"/>
          <w:sz w:val="30"/>
          <w:szCs w:val="30"/>
          <w:lang w:val="es-ES"/>
        </w:rPr>
        <w:br/>
        <w:t>7. Los beneficios y limitaciones de los servicios que se están ofertando;</w:t>
      </w:r>
      <w:r>
        <w:rPr>
          <w:rFonts w:eastAsia="Times New Roman"/>
          <w:sz w:val="30"/>
          <w:szCs w:val="30"/>
          <w:lang w:val="es-ES"/>
        </w:rPr>
        <w:br/>
      </w:r>
      <w:r>
        <w:rPr>
          <w:rFonts w:eastAsia="Times New Roman"/>
          <w:sz w:val="30"/>
          <w:szCs w:val="30"/>
          <w:lang w:val="es-ES"/>
        </w:rPr>
        <w:br/>
        <w:t>8. El procedimiento para la atención de los re</w:t>
      </w:r>
      <w:r>
        <w:rPr>
          <w:rFonts w:eastAsia="Times New Roman"/>
          <w:sz w:val="30"/>
          <w:szCs w:val="30"/>
          <w:lang w:val="es-ES"/>
        </w:rPr>
        <w:t>clamos ante la institución financiera;</w:t>
      </w:r>
      <w:r>
        <w:rPr>
          <w:rFonts w:eastAsia="Times New Roman"/>
          <w:sz w:val="30"/>
          <w:szCs w:val="30"/>
          <w:lang w:val="es-ES"/>
        </w:rPr>
        <w:br/>
      </w:r>
      <w:r>
        <w:rPr>
          <w:rFonts w:eastAsia="Times New Roman"/>
          <w:sz w:val="30"/>
          <w:szCs w:val="30"/>
          <w:lang w:val="es-ES"/>
        </w:rPr>
        <w:br/>
        <w:t>9. Un ejemplar del documento físico, cuando la Institución financiera requiera la firma del usuario; y,</w:t>
      </w:r>
      <w:r>
        <w:rPr>
          <w:rFonts w:eastAsia="Times New Roman"/>
          <w:sz w:val="30"/>
          <w:szCs w:val="30"/>
          <w:lang w:val="es-ES"/>
        </w:rPr>
        <w:br/>
      </w:r>
      <w:r>
        <w:rPr>
          <w:rFonts w:eastAsia="Times New Roman"/>
          <w:sz w:val="30"/>
          <w:szCs w:val="30"/>
          <w:lang w:val="es-ES"/>
        </w:rPr>
        <w:br/>
        <w:t>10. En caso de acordar que ciertos servicios como estados de cuenta de los usuarios sean enviados de manera ele</w:t>
      </w:r>
      <w:r>
        <w:rPr>
          <w:rFonts w:eastAsia="Times New Roman"/>
          <w:sz w:val="30"/>
          <w:szCs w:val="30"/>
          <w:lang w:val="es-ES"/>
        </w:rPr>
        <w:t>ctrónica, la certificación bancaria física que se requiera no tendrá costo.</w:t>
      </w:r>
    </w:p>
    <w:p w:rsidR="00000000" w:rsidRDefault="0018461E">
      <w:pPr>
        <w:divId w:val="1474908747"/>
        <w:rPr>
          <w:rFonts w:eastAsia="Times New Roman"/>
          <w:sz w:val="30"/>
          <w:szCs w:val="30"/>
          <w:lang w:val="es-ES"/>
        </w:rPr>
      </w:pPr>
      <w:r>
        <w:rPr>
          <w:rFonts w:eastAsia="Times New Roman"/>
          <w:sz w:val="30"/>
          <w:szCs w:val="30"/>
          <w:lang w:val="es-ES"/>
        </w:rPr>
        <w:t xml:space="preserve">Art. 247.- </w:t>
      </w:r>
      <w:r>
        <w:rPr>
          <w:rFonts w:eastAsia="Times New Roman"/>
          <w:b/>
          <w:bCs/>
          <w:sz w:val="30"/>
          <w:szCs w:val="30"/>
          <w:lang w:val="es-ES"/>
        </w:rPr>
        <w:t xml:space="preserve">Cargos por servicios financieros. </w:t>
      </w:r>
      <w:r>
        <w:rPr>
          <w:rFonts w:eastAsia="Times New Roman"/>
          <w:sz w:val="30"/>
          <w:szCs w:val="30"/>
          <w:lang w:val="es-ES"/>
        </w:rPr>
        <w:t>Las entidades del sistema financiero nacional no aplicarán o cobrarán cargos por servicios que no han sido prestados por la entidad, ni</w:t>
      </w:r>
      <w:r>
        <w:rPr>
          <w:rFonts w:eastAsia="Times New Roman"/>
          <w:sz w:val="30"/>
          <w:szCs w:val="30"/>
          <w:lang w:val="es-ES"/>
        </w:rPr>
        <w:t xml:space="preserve"> podrán establecer cargos por servicios financieros que no estén autorizados por la Junta de Política y Regulación Monetaria y Financiera. Cualquier cargo efectuado en contra de esta disposición deberá ser </w:t>
      </w:r>
      <w:r>
        <w:rPr>
          <w:rFonts w:eastAsia="Times New Roman"/>
          <w:sz w:val="30"/>
          <w:szCs w:val="30"/>
          <w:lang w:val="es-ES"/>
        </w:rPr>
        <w:lastRenderedPageBreak/>
        <w:t>restituido al usuario financiero, sin perjuicio de</w:t>
      </w:r>
      <w:r>
        <w:rPr>
          <w:rFonts w:eastAsia="Times New Roman"/>
          <w:sz w:val="30"/>
          <w:szCs w:val="30"/>
          <w:lang w:val="es-ES"/>
        </w:rPr>
        <w:t xml:space="preserve"> las sanciones a las que hubiere lugar.</w:t>
      </w:r>
    </w:p>
    <w:p w:rsidR="00000000" w:rsidRDefault="0018461E">
      <w:pPr>
        <w:divId w:val="944773071"/>
        <w:rPr>
          <w:rFonts w:eastAsia="Times New Roman"/>
          <w:sz w:val="30"/>
          <w:szCs w:val="30"/>
          <w:lang w:val="es-ES"/>
        </w:rPr>
      </w:pPr>
      <w:r>
        <w:rPr>
          <w:rFonts w:eastAsia="Times New Roman"/>
          <w:sz w:val="30"/>
          <w:szCs w:val="30"/>
          <w:lang w:val="es-ES"/>
        </w:rPr>
        <w:t xml:space="preserve">Art. 248.- </w:t>
      </w:r>
      <w:r>
        <w:rPr>
          <w:rFonts w:eastAsia="Times New Roman"/>
          <w:b/>
          <w:bCs/>
          <w:sz w:val="30"/>
          <w:szCs w:val="30"/>
          <w:lang w:val="es-ES"/>
        </w:rPr>
        <w:t xml:space="preserve">Cargos por servicios no financieros. </w:t>
      </w:r>
      <w:r>
        <w:rPr>
          <w:rFonts w:eastAsia="Times New Roman"/>
          <w:sz w:val="30"/>
          <w:szCs w:val="30"/>
          <w:lang w:val="es-ES"/>
        </w:rPr>
        <w:t>Las entidades del sistema financiero nacional no podrán efectuar cargo alguno por la prestación de servicios distintos de los financieros, a nombre de terceros, si no c</w:t>
      </w:r>
      <w:r>
        <w:rPr>
          <w:rFonts w:eastAsia="Times New Roman"/>
          <w:sz w:val="30"/>
          <w:szCs w:val="30"/>
          <w:lang w:val="es-ES"/>
        </w:rPr>
        <w:t>umplen con la regulación que la Junta expida para el efecto o no cuentan con la aceptación previa y expresa del usuario.</w:t>
      </w:r>
      <w:r>
        <w:rPr>
          <w:rFonts w:eastAsia="Times New Roman"/>
          <w:sz w:val="30"/>
          <w:szCs w:val="30"/>
          <w:lang w:val="es-ES"/>
        </w:rPr>
        <w:br/>
      </w:r>
      <w:r>
        <w:rPr>
          <w:rFonts w:eastAsia="Times New Roman"/>
          <w:sz w:val="30"/>
          <w:szCs w:val="30"/>
          <w:lang w:val="es-ES"/>
        </w:rPr>
        <w:br/>
        <w:t>La aceptación deberá ser comprobable por cualquier forma reconocida por la ley. Los cargos cobrados que no cuenten con la aceptación e</w:t>
      </w:r>
      <w:r>
        <w:rPr>
          <w:rFonts w:eastAsia="Times New Roman"/>
          <w:sz w:val="30"/>
          <w:szCs w:val="30"/>
          <w:lang w:val="es-ES"/>
        </w:rPr>
        <w:t>xpresa del usuario deberán ser restituidos, sin perjuicio de las sanciones a las que hubiere lugar.</w:t>
      </w:r>
    </w:p>
    <w:p w:rsidR="00000000" w:rsidRDefault="0018461E">
      <w:pPr>
        <w:divId w:val="1821464596"/>
        <w:rPr>
          <w:rFonts w:eastAsia="Times New Roman"/>
          <w:sz w:val="30"/>
          <w:szCs w:val="30"/>
          <w:lang w:val="es-ES"/>
        </w:rPr>
      </w:pPr>
      <w:r>
        <w:rPr>
          <w:rFonts w:eastAsia="Times New Roman"/>
          <w:sz w:val="30"/>
          <w:szCs w:val="30"/>
          <w:lang w:val="es-ES"/>
        </w:rPr>
        <w:t xml:space="preserve">Art. 249.- </w:t>
      </w:r>
      <w:r>
        <w:rPr>
          <w:rFonts w:eastAsia="Times New Roman"/>
          <w:b/>
          <w:bCs/>
          <w:sz w:val="30"/>
          <w:szCs w:val="30"/>
          <w:lang w:val="es-ES"/>
        </w:rPr>
        <w:t xml:space="preserve">Suspensión de cargos o pagos por pérdida. </w:t>
      </w:r>
      <w:r>
        <w:rPr>
          <w:rFonts w:eastAsia="Times New Roman"/>
          <w:sz w:val="30"/>
          <w:szCs w:val="30"/>
          <w:lang w:val="es-ES"/>
        </w:rPr>
        <w:t>En caso de pérdida, sustracción, robo o hurto de tarjetas de débito, crédito, de cajero automático, che</w:t>
      </w:r>
      <w:r>
        <w:rPr>
          <w:rFonts w:eastAsia="Times New Roman"/>
          <w:sz w:val="30"/>
          <w:szCs w:val="30"/>
          <w:lang w:val="es-ES"/>
        </w:rPr>
        <w:t>ques o cualquier otro instrumento que tenga similar objetivo, las entidades del sistema financiero nacional suspenderán cualquier cargo o pago por cuenta de sus clientes, a partir de la hora en que se notifiquen dichos eventos, ya sea por escrito, por telé</w:t>
      </w:r>
      <w:r>
        <w:rPr>
          <w:rFonts w:eastAsia="Times New Roman"/>
          <w:sz w:val="30"/>
          <w:szCs w:val="30"/>
          <w:lang w:val="es-ES"/>
        </w:rPr>
        <w:t>fono o por cualquier otro medio que constituya medio de prueba, de acuerdo con lo previsto en la ley.</w:t>
      </w:r>
      <w:r>
        <w:rPr>
          <w:rFonts w:eastAsia="Times New Roman"/>
          <w:sz w:val="30"/>
          <w:szCs w:val="30"/>
          <w:lang w:val="es-ES"/>
        </w:rPr>
        <w:br/>
      </w:r>
      <w:r>
        <w:rPr>
          <w:rFonts w:eastAsia="Times New Roman"/>
          <w:sz w:val="30"/>
          <w:szCs w:val="30"/>
          <w:lang w:val="es-ES"/>
        </w:rPr>
        <w:br/>
        <w:t>Los cargos o pagos efectuados por la entidad financiera por cuenta de sus clientes, que no hayan tomado en cuenta la notificación de pérdida, sustracción</w:t>
      </w:r>
      <w:r>
        <w:rPr>
          <w:rFonts w:eastAsia="Times New Roman"/>
          <w:sz w:val="30"/>
          <w:szCs w:val="30"/>
          <w:lang w:val="es-ES"/>
        </w:rPr>
        <w:t>, robo o hurto, serán asumidos por la entidad.</w:t>
      </w:r>
      <w:r>
        <w:rPr>
          <w:rFonts w:eastAsia="Times New Roman"/>
          <w:sz w:val="30"/>
          <w:szCs w:val="30"/>
          <w:lang w:val="es-ES"/>
        </w:rPr>
        <w:br/>
      </w:r>
      <w:r>
        <w:rPr>
          <w:rFonts w:eastAsia="Times New Roman"/>
          <w:sz w:val="30"/>
          <w:szCs w:val="30"/>
          <w:lang w:val="es-ES"/>
        </w:rPr>
        <w:br/>
        <w:t>La entidad asumirá además las responsabilidades que se deriven de fraudes informáticos causados por la debilidad o defectos en sus sistemas.</w:t>
      </w:r>
      <w:r>
        <w:rPr>
          <w:rFonts w:eastAsia="Times New Roman"/>
          <w:sz w:val="30"/>
          <w:szCs w:val="30"/>
          <w:lang w:val="es-ES"/>
        </w:rPr>
        <w:br/>
      </w:r>
      <w:r>
        <w:rPr>
          <w:rFonts w:eastAsia="Times New Roman"/>
          <w:sz w:val="30"/>
          <w:szCs w:val="30"/>
          <w:lang w:val="es-ES"/>
        </w:rPr>
        <w:br/>
        <w:t>Los cargos o pagos efectuados por las entidades financieras por cu</w:t>
      </w:r>
      <w:r>
        <w:rPr>
          <w:rFonts w:eastAsia="Times New Roman"/>
          <w:sz w:val="30"/>
          <w:szCs w:val="30"/>
          <w:lang w:val="es-ES"/>
        </w:rPr>
        <w:t>enta de sus clientes imputables a éstos serán de su propia responsabilidad.</w:t>
      </w:r>
    </w:p>
    <w:p w:rsidR="00000000" w:rsidRDefault="0018461E">
      <w:pPr>
        <w:divId w:val="123280202"/>
        <w:rPr>
          <w:rFonts w:eastAsia="Times New Roman"/>
          <w:sz w:val="30"/>
          <w:szCs w:val="30"/>
          <w:lang w:val="es-ES"/>
        </w:rPr>
      </w:pPr>
      <w:r>
        <w:rPr>
          <w:rFonts w:eastAsia="Times New Roman"/>
          <w:sz w:val="30"/>
          <w:szCs w:val="30"/>
          <w:lang w:val="es-ES"/>
        </w:rPr>
        <w:t xml:space="preserve">Art. 250.- </w:t>
      </w:r>
      <w:r>
        <w:rPr>
          <w:rFonts w:eastAsia="Times New Roman"/>
          <w:b/>
          <w:bCs/>
          <w:sz w:val="30"/>
          <w:szCs w:val="30"/>
          <w:lang w:val="es-ES"/>
        </w:rPr>
        <w:t xml:space="preserve">Seguros obligatorios. </w:t>
      </w:r>
      <w:r>
        <w:rPr>
          <w:rFonts w:eastAsia="Times New Roman"/>
          <w:sz w:val="30"/>
          <w:szCs w:val="30"/>
          <w:lang w:val="es-ES"/>
        </w:rPr>
        <w:t>Previo al desembolso de las operaciones de crédito, las entidades del sistema financiero nacional deberán requerir la contratación de los seguros q</w:t>
      </w:r>
      <w:r>
        <w:rPr>
          <w:rFonts w:eastAsia="Times New Roman"/>
          <w:sz w:val="30"/>
          <w:szCs w:val="30"/>
          <w:lang w:val="es-ES"/>
        </w:rPr>
        <w:t>ue determine la Junta de Política y Regulación Monetaria y Financiera.</w:t>
      </w:r>
    </w:p>
    <w:p w:rsidR="00000000" w:rsidRDefault="0018461E">
      <w:pPr>
        <w:divId w:val="2045444131"/>
        <w:rPr>
          <w:rFonts w:eastAsia="Times New Roman"/>
          <w:sz w:val="30"/>
          <w:szCs w:val="30"/>
          <w:lang w:val="es-ES"/>
        </w:rPr>
      </w:pPr>
      <w:r>
        <w:rPr>
          <w:rFonts w:eastAsia="Times New Roman"/>
          <w:sz w:val="30"/>
          <w:szCs w:val="30"/>
          <w:lang w:val="es-ES"/>
        </w:rPr>
        <w:t xml:space="preserve">Art. 251.- </w:t>
      </w:r>
      <w:r>
        <w:rPr>
          <w:rFonts w:eastAsia="Times New Roman"/>
          <w:b/>
          <w:bCs/>
          <w:sz w:val="30"/>
          <w:szCs w:val="30"/>
          <w:lang w:val="es-ES"/>
        </w:rPr>
        <w:t xml:space="preserve">Atención al cliente. </w:t>
      </w:r>
      <w:r>
        <w:rPr>
          <w:rFonts w:eastAsia="Times New Roman"/>
          <w:sz w:val="30"/>
          <w:szCs w:val="30"/>
          <w:lang w:val="es-ES"/>
        </w:rPr>
        <w:t>Las entidades del Sistema Financiero Nacional contarán con sistemas de atención al cliente respecto de las operaciones y servicios que presten, que facil</w:t>
      </w:r>
      <w:r>
        <w:rPr>
          <w:rFonts w:eastAsia="Times New Roman"/>
          <w:sz w:val="30"/>
          <w:szCs w:val="30"/>
          <w:lang w:val="es-ES"/>
        </w:rPr>
        <w:t>iten la solución de las controversias surgidas con sus usuarios financieros.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controversias o reclamos no resueltos ante la entidad financiera podrán ser interpuestos ante el organismo de control correspondiente, sin perjuicio de las acciones judiciale</w:t>
      </w:r>
      <w:r>
        <w:rPr>
          <w:rFonts w:eastAsia="Times New Roman"/>
          <w:sz w:val="30"/>
          <w:szCs w:val="30"/>
          <w:lang w:val="es-ES"/>
        </w:rPr>
        <w:t>s que pudieren presentarse.</w:t>
      </w:r>
    </w:p>
    <w:p w:rsidR="00000000" w:rsidRDefault="0018461E">
      <w:pPr>
        <w:divId w:val="1312171687"/>
        <w:rPr>
          <w:rFonts w:eastAsia="Times New Roman"/>
          <w:sz w:val="30"/>
          <w:szCs w:val="30"/>
          <w:lang w:val="es-ES"/>
        </w:rPr>
      </w:pPr>
      <w:r>
        <w:rPr>
          <w:rFonts w:eastAsia="Times New Roman"/>
          <w:sz w:val="30"/>
          <w:szCs w:val="30"/>
          <w:lang w:val="es-ES"/>
        </w:rPr>
        <w:t xml:space="preserve">Art. 252.- </w:t>
      </w:r>
      <w:r>
        <w:rPr>
          <w:rFonts w:eastAsia="Times New Roman"/>
          <w:b/>
          <w:bCs/>
          <w:sz w:val="30"/>
          <w:szCs w:val="30"/>
          <w:lang w:val="es-ES"/>
        </w:rPr>
        <w:t xml:space="preserve">Contratos de adhesión. </w:t>
      </w:r>
      <w:r>
        <w:rPr>
          <w:rFonts w:eastAsia="Times New Roman"/>
          <w:sz w:val="30"/>
          <w:szCs w:val="30"/>
          <w:lang w:val="es-ES"/>
        </w:rPr>
        <w:t>Los servicios financieros solo podrán ser prestados previa suscripción de un contrato de adhesión cuyas cláusulas obligatorias y prohibiciones deberán ser aprobadas por los organismos de control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Los contratos no incluirán aquellas cláusulas prohibidas por la legislación. Toda estipulación en contrario o aquellas cláusulas que impliquen renuncia o disminución de un derecho del usuario financiero reconocido por la ley, serán nulas de pleno derech</w:t>
      </w:r>
      <w:r>
        <w:rPr>
          <w:rFonts w:eastAsia="Times New Roman"/>
          <w:sz w:val="30"/>
          <w:szCs w:val="30"/>
          <w:lang w:val="es-ES"/>
        </w:rPr>
        <w:t>o.</w:t>
      </w:r>
    </w:p>
    <w:p w:rsidR="00000000" w:rsidRDefault="0018461E">
      <w:pPr>
        <w:divId w:val="2040278641"/>
        <w:rPr>
          <w:rFonts w:eastAsia="Times New Roman"/>
          <w:sz w:val="30"/>
          <w:szCs w:val="30"/>
          <w:lang w:val="es-ES"/>
        </w:rPr>
      </w:pPr>
      <w:r>
        <w:rPr>
          <w:rFonts w:eastAsia="Times New Roman"/>
          <w:sz w:val="30"/>
          <w:szCs w:val="30"/>
          <w:lang w:val="es-ES"/>
        </w:rPr>
        <w:t xml:space="preserve">Art. 253.- </w:t>
      </w:r>
      <w:r>
        <w:rPr>
          <w:rFonts w:eastAsia="Times New Roman"/>
          <w:b/>
          <w:bCs/>
          <w:sz w:val="30"/>
          <w:szCs w:val="30"/>
          <w:lang w:val="es-ES"/>
        </w:rPr>
        <w:t xml:space="preserve">Publicidad fraudulenta. </w:t>
      </w:r>
      <w:r>
        <w:rPr>
          <w:rFonts w:eastAsia="Times New Roman"/>
          <w:sz w:val="30"/>
          <w:szCs w:val="30"/>
          <w:lang w:val="es-ES"/>
        </w:rPr>
        <w:t>Las entidades del sistema financiero nacional responderán por sus actividades financieras y la deficiente prestación de sus servicios, cuando sus condiciones no estén de acuerdo con la publicidad efectuada o con la des</w:t>
      </w:r>
      <w:r>
        <w:rPr>
          <w:rFonts w:eastAsia="Times New Roman"/>
          <w:sz w:val="30"/>
          <w:szCs w:val="30"/>
          <w:lang w:val="es-ES"/>
        </w:rPr>
        <w:t>cripción que incorporen.</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10 </w:t>
      </w:r>
      <w:r>
        <w:rPr>
          <w:rFonts w:eastAsia="Times New Roman"/>
          <w:b/>
          <w:bCs/>
          <w:sz w:val="36"/>
          <w:szCs w:val="36"/>
          <w:lang w:val="es-ES"/>
        </w:rPr>
        <w:br/>
        <w:t>DE LAS PROHIBICIONES</w:t>
      </w:r>
    </w:p>
    <w:p w:rsidR="00000000" w:rsidRDefault="0018461E">
      <w:pPr>
        <w:divId w:val="989137448"/>
        <w:rPr>
          <w:rFonts w:eastAsia="Times New Roman"/>
          <w:sz w:val="30"/>
          <w:szCs w:val="30"/>
          <w:lang w:val="es-ES"/>
        </w:rPr>
      </w:pPr>
      <w:r>
        <w:rPr>
          <w:rFonts w:eastAsia="Times New Roman"/>
          <w:sz w:val="30"/>
          <w:szCs w:val="30"/>
          <w:lang w:val="es-ES"/>
        </w:rPr>
        <w:t xml:space="preserve">Art. 254.- </w:t>
      </w:r>
      <w:r>
        <w:rPr>
          <w:rFonts w:eastAsia="Times New Roman"/>
          <w:b/>
          <w:bCs/>
          <w:sz w:val="30"/>
          <w:szCs w:val="30"/>
          <w:lang w:val="es-ES"/>
        </w:rPr>
        <w:t xml:space="preserve">Prohibición general. </w:t>
      </w:r>
      <w:r>
        <w:rPr>
          <w:rFonts w:eastAsia="Times New Roman"/>
          <w:sz w:val="30"/>
          <w:szCs w:val="30"/>
          <w:lang w:val="es-ES"/>
        </w:rPr>
        <w:t>Se prohíbe a las personas naturales o jurídicas que no forman parte del sistema financiero nacional captar recursos de terceros o realizar, en forma habitual, las ac</w:t>
      </w:r>
      <w:r>
        <w:rPr>
          <w:rFonts w:eastAsia="Times New Roman"/>
          <w:sz w:val="30"/>
          <w:szCs w:val="30"/>
          <w:lang w:val="es-ES"/>
        </w:rPr>
        <w:t>tividades financieras definidas en el artículo 143 reservadas para las entidades que integran dicho sistema.</w:t>
      </w:r>
      <w:r>
        <w:rPr>
          <w:rFonts w:eastAsia="Times New Roman"/>
          <w:sz w:val="30"/>
          <w:szCs w:val="30"/>
          <w:lang w:val="es-ES"/>
        </w:rPr>
        <w:br/>
      </w:r>
      <w:r>
        <w:rPr>
          <w:rFonts w:eastAsia="Times New Roman"/>
          <w:sz w:val="30"/>
          <w:szCs w:val="30"/>
          <w:lang w:val="es-ES"/>
        </w:rPr>
        <w:br/>
        <w:t>Tampoco podrán hacer publicidad o uso de avisos, carteles, recibos, membretes, títulos o cualquier otro medio que sugiera que el negocio de las pe</w:t>
      </w:r>
      <w:r>
        <w:rPr>
          <w:rFonts w:eastAsia="Times New Roman"/>
          <w:sz w:val="30"/>
          <w:szCs w:val="30"/>
          <w:lang w:val="es-ES"/>
        </w:rPr>
        <w:t>rsonas mencionadas es de naturaleza financiera.</w:t>
      </w:r>
      <w:r>
        <w:rPr>
          <w:rFonts w:eastAsia="Times New Roman"/>
          <w:sz w:val="30"/>
          <w:szCs w:val="30"/>
          <w:lang w:val="es-ES"/>
        </w:rPr>
        <w:br/>
      </w:r>
      <w:r>
        <w:rPr>
          <w:rFonts w:eastAsia="Times New Roman"/>
          <w:sz w:val="30"/>
          <w:szCs w:val="30"/>
          <w:lang w:val="es-ES"/>
        </w:rPr>
        <w:br/>
        <w:t>Las violaciones a lo preceptuado en este artículo serán sancionadas de acuerdo a lo que dispone este Código.</w:t>
      </w:r>
    </w:p>
    <w:p w:rsidR="00000000" w:rsidRDefault="0018461E">
      <w:pPr>
        <w:divId w:val="1021781102"/>
        <w:rPr>
          <w:rFonts w:eastAsia="Times New Roman"/>
          <w:sz w:val="30"/>
          <w:szCs w:val="30"/>
          <w:lang w:val="es-ES"/>
        </w:rPr>
      </w:pPr>
      <w:r>
        <w:rPr>
          <w:rFonts w:eastAsia="Times New Roman"/>
          <w:sz w:val="30"/>
          <w:szCs w:val="30"/>
          <w:lang w:val="es-ES"/>
        </w:rPr>
        <w:t xml:space="preserve">Art. 255.- </w:t>
      </w:r>
      <w:r>
        <w:rPr>
          <w:rFonts w:eastAsia="Times New Roman"/>
          <w:b/>
          <w:bCs/>
          <w:sz w:val="30"/>
          <w:szCs w:val="30"/>
          <w:lang w:val="es-ES"/>
        </w:rPr>
        <w:t xml:space="preserve">Prohibiciones a entidades del sistema financiero nacional. </w:t>
      </w:r>
      <w:r>
        <w:rPr>
          <w:rFonts w:eastAsia="Times New Roman"/>
          <w:sz w:val="30"/>
          <w:szCs w:val="30"/>
          <w:lang w:val="es-ES"/>
        </w:rPr>
        <w:t>Se prohíbe a las entidades d</w:t>
      </w:r>
      <w:r>
        <w:rPr>
          <w:rFonts w:eastAsia="Times New Roman"/>
          <w:sz w:val="30"/>
          <w:szCs w:val="30"/>
          <w:lang w:val="es-ES"/>
        </w:rPr>
        <w:t>el sistema financiero nacional:</w:t>
      </w:r>
      <w:r>
        <w:rPr>
          <w:rFonts w:eastAsia="Times New Roman"/>
          <w:sz w:val="30"/>
          <w:szCs w:val="30"/>
          <w:lang w:val="es-ES"/>
        </w:rPr>
        <w:br/>
      </w:r>
      <w:r>
        <w:rPr>
          <w:rFonts w:eastAsia="Times New Roman"/>
          <w:sz w:val="30"/>
          <w:szCs w:val="30"/>
          <w:lang w:val="es-ES"/>
        </w:rPr>
        <w:br/>
        <w:t>1. Efectuar actividades financieras que no estén autorizadas por los organismos de control, o que no cuenten con la autorización de la Junta de Política y Regulación Monetaria y Financiera referida en el artículo 14 numeral</w:t>
      </w:r>
      <w:r>
        <w:rPr>
          <w:rFonts w:eastAsia="Times New Roman"/>
          <w:sz w:val="30"/>
          <w:szCs w:val="30"/>
          <w:lang w:val="es-ES"/>
        </w:rPr>
        <w:t xml:space="preserve"> 37;</w:t>
      </w:r>
      <w:r>
        <w:rPr>
          <w:rFonts w:eastAsia="Times New Roman"/>
          <w:sz w:val="30"/>
          <w:szCs w:val="30"/>
          <w:lang w:val="es-ES"/>
        </w:rPr>
        <w:br/>
      </w:r>
      <w:r>
        <w:rPr>
          <w:rFonts w:eastAsia="Times New Roman"/>
          <w:sz w:val="30"/>
          <w:szCs w:val="30"/>
          <w:lang w:val="es-ES"/>
        </w:rPr>
        <w:lastRenderedPageBreak/>
        <w:br/>
        <w:t>2. Realizar operaciones que impliquen piramidación de capital, especialmente conceder créditos directos, indirectos y contingentes con el objeto de que su producto sea destinado, directa o indirectamente, a la suscripción y pago de acciones o partici</w:t>
      </w:r>
      <w:r>
        <w:rPr>
          <w:rFonts w:eastAsia="Times New Roman"/>
          <w:sz w:val="30"/>
          <w:szCs w:val="30"/>
          <w:lang w:val="es-ES"/>
        </w:rPr>
        <w:t>paciones de la propia entidad o de cualquier otra compañía del grupo financiero o grupo popular y solidario;</w:t>
      </w:r>
      <w:r>
        <w:rPr>
          <w:rFonts w:eastAsia="Times New Roman"/>
          <w:sz w:val="30"/>
          <w:szCs w:val="30"/>
          <w:lang w:val="es-ES"/>
        </w:rPr>
        <w:br/>
      </w:r>
      <w:r>
        <w:rPr>
          <w:rFonts w:eastAsia="Times New Roman"/>
          <w:sz w:val="30"/>
          <w:szCs w:val="30"/>
          <w:lang w:val="es-ES"/>
        </w:rPr>
        <w:br/>
        <w:t>3. Realizar operaciones de crédito directas, indirectas y contingentes, recibiendo en garantía sus propias acciones o participaciones, o de las co</w:t>
      </w:r>
      <w:r>
        <w:rPr>
          <w:rFonts w:eastAsia="Times New Roman"/>
          <w:sz w:val="30"/>
          <w:szCs w:val="30"/>
          <w:lang w:val="es-ES"/>
        </w:rPr>
        <w:t>mpañías subsidiarias o afiliadas pertenecientes al mismo grupo financiero o grupo popular y solidario;</w:t>
      </w:r>
      <w:r>
        <w:rPr>
          <w:rFonts w:eastAsia="Times New Roman"/>
          <w:sz w:val="30"/>
          <w:szCs w:val="30"/>
          <w:lang w:val="es-ES"/>
        </w:rPr>
        <w:br/>
      </w:r>
      <w:r>
        <w:rPr>
          <w:rFonts w:eastAsia="Times New Roman"/>
          <w:sz w:val="30"/>
          <w:szCs w:val="30"/>
          <w:lang w:val="es-ES"/>
        </w:rPr>
        <w:br/>
        <w:t>4. Congelar o retener arbitrariamente fondos o depósitos;</w:t>
      </w:r>
      <w:r>
        <w:rPr>
          <w:rFonts w:eastAsia="Times New Roman"/>
          <w:sz w:val="30"/>
          <w:szCs w:val="30"/>
          <w:lang w:val="es-ES"/>
        </w:rPr>
        <w:br/>
      </w:r>
      <w:r>
        <w:rPr>
          <w:rFonts w:eastAsia="Times New Roman"/>
          <w:sz w:val="30"/>
          <w:szCs w:val="30"/>
          <w:lang w:val="es-ES"/>
        </w:rPr>
        <w:br/>
        <w:t xml:space="preserve">5. Efectuar operaciones activas y contingentes con personas vinculadas o por sobre los cupos </w:t>
      </w:r>
      <w:r>
        <w:rPr>
          <w:rFonts w:eastAsia="Times New Roman"/>
          <w:sz w:val="30"/>
          <w:szCs w:val="30"/>
          <w:lang w:val="es-ES"/>
        </w:rPr>
        <w:t>establecidos en este Código según corresponda;</w:t>
      </w:r>
      <w:r>
        <w:rPr>
          <w:rFonts w:eastAsia="Times New Roman"/>
          <w:sz w:val="30"/>
          <w:szCs w:val="30"/>
          <w:lang w:val="es-ES"/>
        </w:rPr>
        <w:br/>
      </w:r>
      <w:r>
        <w:rPr>
          <w:rFonts w:eastAsia="Times New Roman"/>
          <w:sz w:val="30"/>
          <w:szCs w:val="30"/>
          <w:lang w:val="es-ES"/>
        </w:rPr>
        <w:br/>
        <w:t>6. Adquirir títulos valores de renta fija emitidos, avalados o garantizados por la entidad o las compañías que integren su grupo financiero o grupo popular y solidario en condiciones distintas a las de mercad</w:t>
      </w:r>
      <w:r>
        <w:rPr>
          <w:rFonts w:eastAsia="Times New Roman"/>
          <w:sz w:val="30"/>
          <w:szCs w:val="30"/>
          <w:lang w:val="es-ES"/>
        </w:rPr>
        <w:t>o, de conformidad con las normas que expida la Junta de Política y Regulación Monetaria y Financiera;</w:t>
      </w:r>
      <w:r>
        <w:rPr>
          <w:rFonts w:eastAsia="Times New Roman"/>
          <w:sz w:val="30"/>
          <w:szCs w:val="30"/>
          <w:lang w:val="es-ES"/>
        </w:rPr>
        <w:br/>
      </w:r>
      <w:r>
        <w:rPr>
          <w:rFonts w:eastAsia="Times New Roman"/>
          <w:sz w:val="30"/>
          <w:szCs w:val="30"/>
          <w:lang w:val="es-ES"/>
        </w:rPr>
        <w:br/>
        <w:t>7. Negociar dentro del mismo grupo financiero o grupo popular y solidario las acciones de propiedad de cualquiera de sus integrantes;</w:t>
      </w:r>
      <w:r>
        <w:rPr>
          <w:rFonts w:eastAsia="Times New Roman"/>
          <w:sz w:val="30"/>
          <w:szCs w:val="30"/>
          <w:lang w:val="es-ES"/>
        </w:rPr>
        <w:br/>
      </w:r>
      <w:r>
        <w:rPr>
          <w:rFonts w:eastAsia="Times New Roman"/>
          <w:sz w:val="30"/>
          <w:szCs w:val="30"/>
          <w:lang w:val="es-ES"/>
        </w:rPr>
        <w:br/>
        <w:t>8. Adquirir deudas</w:t>
      </w:r>
      <w:r>
        <w:rPr>
          <w:rFonts w:eastAsia="Times New Roman"/>
          <w:sz w:val="30"/>
          <w:szCs w:val="30"/>
          <w:lang w:val="es-ES"/>
        </w:rPr>
        <w:t xml:space="preserve"> por montos superiores a los determinados por la Junta de Política y Regulación Monetaria y Financiera;</w:t>
      </w:r>
      <w:r>
        <w:rPr>
          <w:rFonts w:eastAsia="Times New Roman"/>
          <w:sz w:val="30"/>
          <w:szCs w:val="30"/>
          <w:lang w:val="es-ES"/>
        </w:rPr>
        <w:br/>
      </w:r>
      <w:r>
        <w:rPr>
          <w:rFonts w:eastAsia="Times New Roman"/>
          <w:sz w:val="30"/>
          <w:szCs w:val="30"/>
          <w:lang w:val="es-ES"/>
        </w:rPr>
        <w:br/>
        <w:t>9. Realizar operaciones de crédito por sobre los límites autorizados en la regulación;</w:t>
      </w:r>
      <w:r>
        <w:rPr>
          <w:rFonts w:eastAsia="Times New Roman"/>
          <w:sz w:val="30"/>
          <w:szCs w:val="30"/>
          <w:lang w:val="es-ES"/>
        </w:rPr>
        <w:br/>
      </w:r>
      <w:r>
        <w:rPr>
          <w:rFonts w:eastAsia="Times New Roman"/>
          <w:sz w:val="30"/>
          <w:szCs w:val="30"/>
          <w:lang w:val="es-ES"/>
        </w:rPr>
        <w:br/>
        <w:t>10. Emitir obligaciones de corto plazo o papel comercial, con e</w:t>
      </w:r>
      <w:r>
        <w:rPr>
          <w:rFonts w:eastAsia="Times New Roman"/>
          <w:sz w:val="30"/>
          <w:szCs w:val="30"/>
          <w:lang w:val="es-ES"/>
        </w:rPr>
        <w:t>xcepción de las entidades de servicios financieros y servicios auxiliares del sistema financiero;</w:t>
      </w:r>
      <w:r>
        <w:rPr>
          <w:rFonts w:eastAsia="Times New Roman"/>
          <w:sz w:val="30"/>
          <w:szCs w:val="30"/>
          <w:lang w:val="es-ES"/>
        </w:rPr>
        <w:br/>
      </w:r>
      <w:r>
        <w:rPr>
          <w:rFonts w:eastAsia="Times New Roman"/>
          <w:sz w:val="30"/>
          <w:szCs w:val="30"/>
          <w:lang w:val="es-ES"/>
        </w:rPr>
        <w:br/>
        <w:t>11. Cobrar intereses por sobre los máximos establecidos;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12. Cobrar intereses de mora o multas sobre capital no vencido;</w:t>
      </w:r>
      <w:r>
        <w:rPr>
          <w:rFonts w:eastAsia="Times New Roman"/>
          <w:sz w:val="30"/>
          <w:szCs w:val="30"/>
          <w:lang w:val="es-ES"/>
        </w:rPr>
        <w:br/>
      </w:r>
      <w:r>
        <w:rPr>
          <w:rFonts w:eastAsia="Times New Roman"/>
          <w:sz w:val="30"/>
          <w:szCs w:val="30"/>
          <w:lang w:val="es-ES"/>
        </w:rPr>
        <w:br/>
        <w:t>13. Violar el sigilo o la reserva;</w:t>
      </w:r>
      <w:r>
        <w:rPr>
          <w:rFonts w:eastAsia="Times New Roman"/>
          <w:sz w:val="30"/>
          <w:szCs w:val="30"/>
          <w:lang w:val="es-ES"/>
        </w:rPr>
        <w:br/>
      </w:r>
      <w:r>
        <w:rPr>
          <w:rFonts w:eastAsia="Times New Roman"/>
          <w:sz w:val="30"/>
          <w:szCs w:val="30"/>
          <w:lang w:val="es-ES"/>
        </w:rPr>
        <w:br/>
        <w:t>14. Adulterar o distorsionar estados financieros;</w:t>
      </w:r>
      <w:r>
        <w:rPr>
          <w:rFonts w:eastAsia="Times New Roman"/>
          <w:sz w:val="30"/>
          <w:szCs w:val="30"/>
          <w:lang w:val="es-ES"/>
        </w:rPr>
        <w:br/>
      </w:r>
      <w:r>
        <w:rPr>
          <w:rFonts w:eastAsia="Times New Roman"/>
          <w:sz w:val="30"/>
          <w:szCs w:val="30"/>
          <w:lang w:val="es-ES"/>
        </w:rPr>
        <w:br/>
        <w:t>15. Conceder garantías distintas a las determinadas por la Junta de Política Monetaria y Financiera, o solicitar garantías menores en calidad y cantidad que las establecidas por dicha Junta;</w:t>
      </w:r>
      <w:r>
        <w:rPr>
          <w:rFonts w:eastAsia="Times New Roman"/>
          <w:sz w:val="30"/>
          <w:szCs w:val="30"/>
          <w:lang w:val="es-ES"/>
        </w:rPr>
        <w:br/>
      </w:r>
      <w:r>
        <w:rPr>
          <w:rFonts w:eastAsia="Times New Roman"/>
          <w:sz w:val="30"/>
          <w:szCs w:val="30"/>
          <w:lang w:val="es-ES"/>
        </w:rPr>
        <w:br/>
        <w:t>16. Realiza</w:t>
      </w:r>
      <w:r>
        <w:rPr>
          <w:rFonts w:eastAsia="Times New Roman"/>
          <w:sz w:val="30"/>
          <w:szCs w:val="30"/>
          <w:lang w:val="es-ES"/>
        </w:rPr>
        <w:t>r cualquier forma de publicidad engañosa, abusiva o que induzca a error en la elección de los servicios, que pueda afectar los intereses y derechos de los usuarios financieros;</w:t>
      </w:r>
      <w:r>
        <w:rPr>
          <w:rFonts w:eastAsia="Times New Roman"/>
          <w:sz w:val="30"/>
          <w:szCs w:val="30"/>
          <w:lang w:val="es-ES"/>
        </w:rPr>
        <w:br/>
      </w:r>
      <w:r>
        <w:rPr>
          <w:rFonts w:eastAsia="Times New Roman"/>
          <w:sz w:val="30"/>
          <w:szCs w:val="30"/>
          <w:lang w:val="es-ES"/>
        </w:rPr>
        <w:br/>
        <w:t>17. Constituir gravámenes sin autorización sobre bienes de propiedad de la ent</w:t>
      </w:r>
      <w:r>
        <w:rPr>
          <w:rFonts w:eastAsia="Times New Roman"/>
          <w:sz w:val="30"/>
          <w:szCs w:val="30"/>
          <w:lang w:val="es-ES"/>
        </w:rPr>
        <w:t>idad;</w:t>
      </w:r>
      <w:r>
        <w:rPr>
          <w:rFonts w:eastAsia="Times New Roman"/>
          <w:sz w:val="30"/>
          <w:szCs w:val="30"/>
          <w:lang w:val="es-ES"/>
        </w:rPr>
        <w:br/>
      </w:r>
      <w:r>
        <w:rPr>
          <w:rFonts w:eastAsia="Times New Roman"/>
          <w:sz w:val="30"/>
          <w:szCs w:val="30"/>
          <w:lang w:val="es-ES"/>
        </w:rPr>
        <w:br/>
        <w:t>18. Comercializar las bases de datos de sus clientes;</w:t>
      </w:r>
      <w:r>
        <w:rPr>
          <w:rFonts w:eastAsia="Times New Roman"/>
          <w:sz w:val="30"/>
          <w:szCs w:val="30"/>
          <w:lang w:val="es-ES"/>
        </w:rPr>
        <w:br/>
      </w:r>
      <w:r>
        <w:rPr>
          <w:rFonts w:eastAsia="Times New Roman"/>
          <w:sz w:val="30"/>
          <w:szCs w:val="30"/>
          <w:lang w:val="es-ES"/>
        </w:rPr>
        <w:br/>
        <w:t>19. Enajenar o arrendar, a cualquier título, los bienes de propiedad de la entidad o los que estuvieren hipotecados o prendados a ella, en favor de los administradores, funcionarios o empleados,</w:t>
      </w:r>
      <w:r>
        <w:rPr>
          <w:rFonts w:eastAsia="Times New Roman"/>
          <w:sz w:val="30"/>
          <w:szCs w:val="30"/>
          <w:lang w:val="es-ES"/>
        </w:rPr>
        <w:t xml:space="preserve"> o a personas que actuasen a su nombre y en su representación;</w:t>
      </w:r>
      <w:r>
        <w:rPr>
          <w:rFonts w:eastAsia="Times New Roman"/>
          <w:sz w:val="30"/>
          <w:szCs w:val="30"/>
          <w:lang w:val="es-ES"/>
        </w:rPr>
        <w:br/>
      </w:r>
      <w:r>
        <w:rPr>
          <w:rFonts w:eastAsia="Times New Roman"/>
          <w:sz w:val="30"/>
          <w:szCs w:val="30"/>
          <w:lang w:val="es-ES"/>
        </w:rPr>
        <w:br/>
        <w:t>20. Comprar bienes de propiedad de los administradores, funcionarios o empleados de la entidad, o a personas que actuasen a su nombre y en su representación; y,</w:t>
      </w:r>
      <w:r>
        <w:rPr>
          <w:rFonts w:eastAsia="Times New Roman"/>
          <w:sz w:val="30"/>
          <w:szCs w:val="30"/>
          <w:lang w:val="es-ES"/>
        </w:rPr>
        <w:br/>
      </w:r>
      <w:r>
        <w:rPr>
          <w:rFonts w:eastAsia="Times New Roman"/>
          <w:sz w:val="30"/>
          <w:szCs w:val="30"/>
          <w:lang w:val="es-ES"/>
        </w:rPr>
        <w:br/>
        <w:t>21. Negar la apertura de cualq</w:t>
      </w:r>
      <w:r>
        <w:rPr>
          <w:rFonts w:eastAsia="Times New Roman"/>
          <w:sz w:val="30"/>
          <w:szCs w:val="30"/>
          <w:lang w:val="es-ES"/>
        </w:rPr>
        <w:t>uier tipo de cuenta, sin que medie justificación válida.</w:t>
      </w:r>
      <w:r>
        <w:rPr>
          <w:rFonts w:eastAsia="Times New Roman"/>
          <w:sz w:val="30"/>
          <w:szCs w:val="30"/>
          <w:lang w:val="es-ES"/>
        </w:rPr>
        <w:br/>
      </w:r>
      <w:r>
        <w:rPr>
          <w:rFonts w:eastAsia="Times New Roman"/>
          <w:sz w:val="30"/>
          <w:szCs w:val="30"/>
          <w:lang w:val="es-ES"/>
        </w:rPr>
        <w:br/>
        <w:t xml:space="preserve">Las entidades no financieras que otorguen crédito por sobre los límites establecidos por la Junta están sujetas a las prohibiciones determinadas en los numerales 9, 11, 12, 14, 15, 16, y 18 de este </w:t>
      </w:r>
      <w:r>
        <w:rPr>
          <w:rFonts w:eastAsia="Times New Roman"/>
          <w:sz w:val="30"/>
          <w:szCs w:val="30"/>
          <w:lang w:val="es-ES"/>
        </w:rPr>
        <w:t>artículo.</w:t>
      </w:r>
    </w:p>
    <w:p w:rsidR="00000000" w:rsidRDefault="0018461E">
      <w:pPr>
        <w:divId w:val="439106369"/>
        <w:rPr>
          <w:rFonts w:eastAsia="Times New Roman"/>
          <w:sz w:val="30"/>
          <w:szCs w:val="30"/>
          <w:lang w:val="es-ES"/>
        </w:rPr>
      </w:pPr>
      <w:r>
        <w:rPr>
          <w:rFonts w:eastAsia="Times New Roman"/>
          <w:sz w:val="30"/>
          <w:szCs w:val="30"/>
          <w:lang w:val="es-ES"/>
        </w:rPr>
        <w:t xml:space="preserve">Art. 256.- </w:t>
      </w:r>
      <w:r>
        <w:rPr>
          <w:rFonts w:eastAsia="Times New Roman"/>
          <w:b/>
          <w:bCs/>
          <w:sz w:val="30"/>
          <w:szCs w:val="30"/>
          <w:lang w:val="es-ES"/>
        </w:rPr>
        <w:t xml:space="preserve">Prohibición de participación como accionista. </w:t>
      </w:r>
      <w:r>
        <w:rPr>
          <w:rFonts w:eastAsia="Times New Roman"/>
          <w:sz w:val="30"/>
          <w:szCs w:val="30"/>
          <w:lang w:val="es-ES"/>
        </w:rPr>
        <w:t>Las entidades financieras privadas y los accionistas de una entidad financiera privada que sean personas con propiedad patrimonial con influencia, no podrán ser titulares, directa ni indire</w:t>
      </w:r>
      <w:r>
        <w:rPr>
          <w:rFonts w:eastAsia="Times New Roman"/>
          <w:sz w:val="30"/>
          <w:szCs w:val="30"/>
          <w:lang w:val="es-ES"/>
        </w:rPr>
        <w:t xml:space="preserve">ctamente, de acciones o participaciones de empresas, compañías o sociedades </w:t>
      </w:r>
      <w:r>
        <w:rPr>
          <w:rFonts w:eastAsia="Times New Roman"/>
          <w:sz w:val="30"/>
          <w:szCs w:val="30"/>
          <w:lang w:val="es-ES"/>
        </w:rPr>
        <w:lastRenderedPageBreak/>
        <w:t>mercantiles ajenas a la actividad financiera. Esta prohibición también es aplicable a los accionistas de una entidad financiera que, aun cuando individualmente considerados no sean</w:t>
      </w:r>
      <w:r>
        <w:rPr>
          <w:rFonts w:eastAsia="Times New Roman"/>
          <w:sz w:val="30"/>
          <w:szCs w:val="30"/>
          <w:lang w:val="es-ES"/>
        </w:rPr>
        <w:t xml:space="preserve"> personas con propiedad patrimonial con influencia, a criterio del organismo de control mantengan nexos económicos, societarios de negocios y/o familiares y en conjunto superen los porcentaje o valores del artículo 169, o que conformen una unidad de interé</w:t>
      </w:r>
      <w:r>
        <w:rPr>
          <w:rFonts w:eastAsia="Times New Roman"/>
          <w:sz w:val="30"/>
          <w:szCs w:val="30"/>
          <w:lang w:val="es-ES"/>
        </w:rPr>
        <w:t>s económico, de conformidad con este Código. Tampoco podrán participar como accionistas en empresas ajenas a la actividad financiera los administradores de las entidades financieras.</w:t>
      </w:r>
      <w:r>
        <w:rPr>
          <w:rFonts w:eastAsia="Times New Roman"/>
          <w:sz w:val="30"/>
          <w:szCs w:val="30"/>
          <w:lang w:val="es-ES"/>
        </w:rPr>
        <w:br/>
      </w:r>
      <w:r>
        <w:rPr>
          <w:rFonts w:eastAsia="Times New Roman"/>
          <w:sz w:val="30"/>
          <w:szCs w:val="30"/>
          <w:lang w:val="es-ES"/>
        </w:rPr>
        <w:br/>
        <w:t>Se entenderá que los accionistas son titulares indirectos cuando ejerzan</w:t>
      </w:r>
      <w:r>
        <w:rPr>
          <w:rFonts w:eastAsia="Times New Roman"/>
          <w:sz w:val="30"/>
          <w:szCs w:val="30"/>
          <w:lang w:val="es-ES"/>
        </w:rPr>
        <w:t xml:space="preserve"> su derecho de propiedad sobre el 6% o más de los títulos representativos del capital de sociedades mercantiles ajenas a la actividad financiera a través de fideicomisos, nexos económicos y societarios, otros mecanismos o a través de estos por medio de sus</w:t>
      </w:r>
      <w:r>
        <w:rPr>
          <w:rFonts w:eastAsia="Times New Roman"/>
          <w:sz w:val="30"/>
          <w:szCs w:val="30"/>
          <w:lang w:val="es-ES"/>
        </w:rPr>
        <w:t xml:space="preserve"> cónyuges o convivientes.</w:t>
      </w:r>
      <w:r>
        <w:rPr>
          <w:rFonts w:eastAsia="Times New Roman"/>
          <w:sz w:val="30"/>
          <w:szCs w:val="30"/>
          <w:lang w:val="es-ES"/>
        </w:rPr>
        <w:br/>
      </w:r>
      <w:r>
        <w:rPr>
          <w:rFonts w:eastAsia="Times New Roman"/>
          <w:sz w:val="30"/>
          <w:szCs w:val="30"/>
          <w:lang w:val="es-ES"/>
        </w:rPr>
        <w:br/>
        <w:t>Sin perjuicio de lo señalado, los organismos de control podrán establecer otros tipos de propiedad indirecta que pudieren derivarse de investigaciones realizadas.</w:t>
      </w:r>
      <w:r>
        <w:rPr>
          <w:rFonts w:eastAsia="Times New Roman"/>
          <w:sz w:val="30"/>
          <w:szCs w:val="30"/>
          <w:lang w:val="es-ES"/>
        </w:rPr>
        <w:br/>
      </w:r>
      <w:r>
        <w:rPr>
          <w:rFonts w:eastAsia="Times New Roman"/>
          <w:sz w:val="30"/>
          <w:szCs w:val="30"/>
          <w:lang w:val="es-ES"/>
        </w:rPr>
        <w:br/>
        <w:t xml:space="preserve">El incumplimiento de la prohibición establecida en este artículo </w:t>
      </w:r>
      <w:r>
        <w:rPr>
          <w:rFonts w:eastAsia="Times New Roman"/>
          <w:sz w:val="30"/>
          <w:szCs w:val="30"/>
          <w:lang w:val="es-ES"/>
        </w:rPr>
        <w:t xml:space="preserve">por parte de las entidades financieras, sus accionistas o administradores, será sancionado como infracción muy grave y con la suspensión de sus derechos como socios o accionistas de la respectiva entidad no financiera y con la remoción de sus cargos en el </w:t>
      </w:r>
      <w:r>
        <w:rPr>
          <w:rFonts w:eastAsia="Times New Roman"/>
          <w:sz w:val="30"/>
          <w:szCs w:val="30"/>
          <w:lang w:val="es-ES"/>
        </w:rPr>
        <w:t>caso de los administradores.</w:t>
      </w:r>
      <w:r>
        <w:rPr>
          <w:rFonts w:eastAsia="Times New Roman"/>
          <w:sz w:val="30"/>
          <w:szCs w:val="30"/>
          <w:lang w:val="es-ES"/>
        </w:rPr>
        <w:br/>
      </w:r>
      <w:r>
        <w:rPr>
          <w:rFonts w:eastAsia="Times New Roman"/>
          <w:sz w:val="30"/>
          <w:szCs w:val="30"/>
          <w:lang w:val="es-ES"/>
        </w:rPr>
        <w:br/>
        <w:t>El organismo de control, asimismo, dispondrá la incautación de las acciones o participaciones de la respectiva entidad no financiera y su posterior venta en pública subasta. Los valores que se obtengan por dicha venta, una vez</w:t>
      </w:r>
      <w:r>
        <w:rPr>
          <w:rFonts w:eastAsia="Times New Roman"/>
          <w:sz w:val="30"/>
          <w:szCs w:val="30"/>
          <w:lang w:val="es-ES"/>
        </w:rPr>
        <w:t xml:space="preserve"> descontados los gastos en los que hubiera incurrido el Estado y el monto de las sanciones correspondientes, serán entregados a cada uno de los accionistas o administradores de las entidades financieras privadas, sus cónyuges o convivientes, incursos en la</w:t>
      </w:r>
      <w:r>
        <w:rPr>
          <w:rFonts w:eastAsia="Times New Roman"/>
          <w:sz w:val="30"/>
          <w:szCs w:val="30"/>
          <w:lang w:val="es-ES"/>
        </w:rPr>
        <w:t xml:space="preserve"> prohibición.</w:t>
      </w:r>
    </w:p>
    <w:p w:rsidR="00000000" w:rsidRDefault="0018461E">
      <w:pPr>
        <w:divId w:val="1124428504"/>
        <w:rPr>
          <w:rFonts w:eastAsia="Times New Roman"/>
          <w:sz w:val="30"/>
          <w:szCs w:val="30"/>
          <w:lang w:val="es-ES"/>
        </w:rPr>
      </w:pPr>
      <w:r>
        <w:rPr>
          <w:rFonts w:eastAsia="Times New Roman"/>
          <w:sz w:val="30"/>
          <w:szCs w:val="30"/>
          <w:lang w:val="es-ES"/>
        </w:rPr>
        <w:t xml:space="preserve">Art. 257.- </w:t>
      </w:r>
      <w:r>
        <w:rPr>
          <w:rFonts w:eastAsia="Times New Roman"/>
          <w:b/>
          <w:bCs/>
          <w:sz w:val="30"/>
          <w:szCs w:val="30"/>
          <w:lang w:val="es-ES"/>
        </w:rPr>
        <w:t xml:space="preserve">Impedimentos para accionistas y administradores. </w:t>
      </w:r>
      <w:r>
        <w:rPr>
          <w:rFonts w:eastAsia="Times New Roman"/>
          <w:sz w:val="30"/>
          <w:szCs w:val="30"/>
          <w:lang w:val="es-ES"/>
        </w:rPr>
        <w:t xml:space="preserve">Los accionistas, administradores y funcionarios de entidades financieras privadas y los administradores y funcionarios de las entidades </w:t>
      </w:r>
      <w:r>
        <w:rPr>
          <w:rFonts w:eastAsia="Times New Roman"/>
          <w:sz w:val="30"/>
          <w:szCs w:val="30"/>
          <w:lang w:val="es-ES"/>
        </w:rPr>
        <w:lastRenderedPageBreak/>
        <w:t xml:space="preserve">financieras populares y solidarias, sobre los </w:t>
      </w:r>
      <w:r>
        <w:rPr>
          <w:rFonts w:eastAsia="Times New Roman"/>
          <w:sz w:val="30"/>
          <w:szCs w:val="30"/>
          <w:lang w:val="es-ES"/>
        </w:rPr>
        <w:t>cuales se haya establecido responsabilidad respecto de una entidad declarada en liquidación forzosa, mediante sentencia condenatoria, no podrán ser nominados para cargos de elección popular, ni actuar como servidores públicos, ni formar parte de una entida</w:t>
      </w:r>
      <w:r>
        <w:rPr>
          <w:rFonts w:eastAsia="Times New Roman"/>
          <w:sz w:val="30"/>
          <w:szCs w:val="30"/>
          <w:lang w:val="es-ES"/>
        </w:rPr>
        <w:t>d del sistema financiero nacional.</w:t>
      </w:r>
      <w:r>
        <w:rPr>
          <w:rFonts w:eastAsia="Times New Roman"/>
          <w:sz w:val="30"/>
          <w:szCs w:val="30"/>
          <w:lang w:val="es-ES"/>
        </w:rPr>
        <w:br/>
      </w:r>
      <w:r>
        <w:rPr>
          <w:rFonts w:eastAsia="Times New Roman"/>
          <w:sz w:val="30"/>
          <w:szCs w:val="30"/>
          <w:lang w:val="es-ES"/>
        </w:rPr>
        <w:br/>
        <w:t>Esta prohibición regirá durante cinco años contados a partir de la fecha en que hubieren cumplido su sentencia condenatoria.</w:t>
      </w:r>
      <w:r>
        <w:rPr>
          <w:rFonts w:eastAsia="Times New Roman"/>
          <w:sz w:val="30"/>
          <w:szCs w:val="30"/>
          <w:lang w:val="es-ES"/>
        </w:rPr>
        <w:br/>
      </w:r>
      <w:r>
        <w:rPr>
          <w:rFonts w:eastAsia="Times New Roman"/>
          <w:sz w:val="30"/>
          <w:szCs w:val="30"/>
          <w:lang w:val="es-ES"/>
        </w:rPr>
        <w:br/>
        <w:t xml:space="preserve">En caso de incurrir en esta prohibición, las nominaciones, designaciones o contratos de estas </w:t>
      </w:r>
      <w:r>
        <w:rPr>
          <w:rFonts w:eastAsia="Times New Roman"/>
          <w:sz w:val="30"/>
          <w:szCs w:val="30"/>
          <w:lang w:val="es-ES"/>
        </w:rPr>
        <w:t>personas quedarán sin efecto.</w:t>
      </w:r>
      <w:r>
        <w:rPr>
          <w:rFonts w:eastAsia="Times New Roman"/>
          <w:sz w:val="30"/>
          <w:szCs w:val="30"/>
          <w:lang w:val="es-ES"/>
        </w:rPr>
        <w:br/>
      </w:r>
      <w:r>
        <w:rPr>
          <w:rFonts w:eastAsia="Times New Roman"/>
          <w:sz w:val="30"/>
          <w:szCs w:val="30"/>
          <w:lang w:val="es-ES"/>
        </w:rPr>
        <w:br/>
        <w:t>Esta prohibición aplicará sin perjuicio de lo dispuesto en el artículo 113 numeral 2 de la Constitución de la República.</w:t>
      </w:r>
    </w:p>
    <w:p w:rsidR="00000000" w:rsidRDefault="0018461E">
      <w:pPr>
        <w:divId w:val="251664231"/>
        <w:rPr>
          <w:rFonts w:eastAsia="Times New Roman"/>
          <w:sz w:val="30"/>
          <w:szCs w:val="30"/>
          <w:lang w:val="es-ES"/>
        </w:rPr>
      </w:pPr>
      <w:r>
        <w:rPr>
          <w:rFonts w:eastAsia="Times New Roman"/>
          <w:sz w:val="30"/>
          <w:szCs w:val="30"/>
          <w:lang w:val="es-ES"/>
        </w:rPr>
        <w:t xml:space="preserve">Art. 258.- </w:t>
      </w:r>
      <w:r>
        <w:rPr>
          <w:rFonts w:eastAsia="Times New Roman"/>
          <w:b/>
          <w:bCs/>
          <w:sz w:val="30"/>
          <w:szCs w:val="30"/>
          <w:lang w:val="es-ES"/>
        </w:rPr>
        <w:t xml:space="preserve">Impedimentos para miembros del directorio y consejos de administración y vigilancia. </w:t>
      </w:r>
      <w:r>
        <w:rPr>
          <w:rFonts w:eastAsia="Times New Roman"/>
          <w:sz w:val="30"/>
          <w:szCs w:val="30"/>
          <w:lang w:val="es-ES"/>
        </w:rPr>
        <w:t>No podrá</w:t>
      </w:r>
      <w:r>
        <w:rPr>
          <w:rFonts w:eastAsia="Times New Roman"/>
          <w:sz w:val="30"/>
          <w:szCs w:val="30"/>
          <w:lang w:val="es-ES"/>
        </w:rPr>
        <w:t>n ser miembros del directorio o de los consejos de administración o consejos de vigilancia de una entidad del sistema financiero nacional:</w:t>
      </w:r>
      <w:r>
        <w:rPr>
          <w:rFonts w:eastAsia="Times New Roman"/>
          <w:sz w:val="30"/>
          <w:szCs w:val="30"/>
          <w:lang w:val="es-ES"/>
        </w:rPr>
        <w:br/>
      </w:r>
      <w:r>
        <w:rPr>
          <w:rFonts w:eastAsia="Times New Roman"/>
          <w:sz w:val="30"/>
          <w:szCs w:val="30"/>
          <w:lang w:val="es-ES"/>
        </w:rPr>
        <w:br/>
        <w:t>1. Los gerentes, apoderados generales, auditores interno y externo, y las personas naturales y jurídicas que realice</w:t>
      </w:r>
      <w:r>
        <w:rPr>
          <w:rFonts w:eastAsia="Times New Roman"/>
          <w:sz w:val="30"/>
          <w:szCs w:val="30"/>
          <w:lang w:val="es-ES"/>
        </w:rPr>
        <w:t>n trabajos de apoyo a la supervisión y más funcionarios y empleados de la entidad, cualquiera sea su denominación y de sus empresas subsidiarias o afiliadas;</w:t>
      </w:r>
      <w:r>
        <w:rPr>
          <w:rFonts w:eastAsia="Times New Roman"/>
          <w:sz w:val="30"/>
          <w:szCs w:val="30"/>
          <w:lang w:val="es-ES"/>
        </w:rPr>
        <w:br/>
      </w:r>
      <w:r>
        <w:rPr>
          <w:rFonts w:eastAsia="Times New Roman"/>
          <w:sz w:val="30"/>
          <w:szCs w:val="30"/>
          <w:lang w:val="es-ES"/>
        </w:rPr>
        <w:br/>
        <w:t>2. Los directores, miembros de los consejos de administración y vigilancia, representantes legale</w:t>
      </w:r>
      <w:r>
        <w:rPr>
          <w:rFonts w:eastAsia="Times New Roman"/>
          <w:sz w:val="30"/>
          <w:szCs w:val="30"/>
          <w:lang w:val="es-ES"/>
        </w:rPr>
        <w:t>s, apoderados generales, auditores internos y externos de otras entidades de la misma especie. Esta prohibición no aplica entre las entidades del Sector Financiero Público;</w:t>
      </w:r>
      <w:r>
        <w:rPr>
          <w:rFonts w:eastAsia="Times New Roman"/>
          <w:sz w:val="30"/>
          <w:szCs w:val="30"/>
          <w:lang w:val="es-ES"/>
        </w:rPr>
        <w:br/>
      </w:r>
      <w:r>
        <w:rPr>
          <w:rFonts w:eastAsia="Times New Roman"/>
          <w:sz w:val="30"/>
          <w:szCs w:val="30"/>
          <w:lang w:val="es-ES"/>
        </w:rPr>
        <w:br/>
        <w:t>3. Quienes estuviesen en mora de sus obligaciones por más de sesenta días con cual</w:t>
      </w:r>
      <w:r>
        <w:rPr>
          <w:rFonts w:eastAsia="Times New Roman"/>
          <w:sz w:val="30"/>
          <w:szCs w:val="30"/>
          <w:lang w:val="es-ES"/>
        </w:rPr>
        <w:t>quiera de las entidades del Sistema Financiero Nacional sujetas a este Código;</w:t>
      </w:r>
      <w:r>
        <w:rPr>
          <w:rFonts w:eastAsia="Times New Roman"/>
          <w:sz w:val="30"/>
          <w:szCs w:val="30"/>
          <w:lang w:val="es-ES"/>
        </w:rPr>
        <w:br/>
      </w:r>
      <w:r>
        <w:rPr>
          <w:rFonts w:eastAsia="Times New Roman"/>
          <w:sz w:val="30"/>
          <w:szCs w:val="30"/>
          <w:lang w:val="es-ES"/>
        </w:rPr>
        <w:br/>
        <w:t>4. Quienes en el transcurso de los últimos cinco años hubiesen sido removidos por el organismo de control;</w:t>
      </w:r>
      <w:r>
        <w:rPr>
          <w:rFonts w:eastAsia="Times New Roman"/>
          <w:sz w:val="30"/>
          <w:szCs w:val="30"/>
          <w:lang w:val="es-ES"/>
        </w:rPr>
        <w:br/>
      </w:r>
      <w:r>
        <w:rPr>
          <w:rFonts w:eastAsia="Times New Roman"/>
          <w:sz w:val="30"/>
          <w:szCs w:val="30"/>
          <w:lang w:val="es-ES"/>
        </w:rPr>
        <w:br/>
        <w:t>5. Quienes en el transcurso de los últimos sesenta días tengan oblig</w:t>
      </w:r>
      <w:r>
        <w:rPr>
          <w:rFonts w:eastAsia="Times New Roman"/>
          <w:sz w:val="30"/>
          <w:szCs w:val="30"/>
          <w:lang w:val="es-ES"/>
        </w:rPr>
        <w:t>aciones en firme con el Servicio de Rentas Internas o con el Instituto Ecuatoriano de Seguridad Social;</w:t>
      </w:r>
      <w:r>
        <w:rPr>
          <w:rFonts w:eastAsia="Times New Roman"/>
          <w:sz w:val="30"/>
          <w:szCs w:val="30"/>
          <w:lang w:val="es-ES"/>
        </w:rPr>
        <w:br/>
      </w:r>
      <w:r>
        <w:rPr>
          <w:rFonts w:eastAsia="Times New Roman"/>
          <w:sz w:val="30"/>
          <w:szCs w:val="30"/>
          <w:lang w:val="es-ES"/>
        </w:rPr>
        <w:lastRenderedPageBreak/>
        <w:br/>
        <w:t>6. Quienes en el transcurso de los últimos cinco años hubiesen incurrido en castigo de sus obligaciones por parte de cualquier entidad financiera;</w:t>
      </w:r>
      <w:r>
        <w:rPr>
          <w:rFonts w:eastAsia="Times New Roman"/>
          <w:sz w:val="30"/>
          <w:szCs w:val="30"/>
          <w:lang w:val="es-ES"/>
        </w:rPr>
        <w:br/>
      </w:r>
      <w:r>
        <w:rPr>
          <w:rFonts w:eastAsia="Times New Roman"/>
          <w:sz w:val="30"/>
          <w:szCs w:val="30"/>
          <w:lang w:val="es-ES"/>
        </w:rPr>
        <w:br/>
        <w:t xml:space="preserve">7. </w:t>
      </w:r>
      <w:r>
        <w:rPr>
          <w:rFonts w:eastAsia="Times New Roman"/>
          <w:sz w:val="30"/>
          <w:szCs w:val="30"/>
          <w:lang w:val="es-ES"/>
        </w:rPr>
        <w:t>Quienes estuviesen litigando en contra de la entidad;</w:t>
      </w:r>
      <w:r>
        <w:rPr>
          <w:rFonts w:eastAsia="Times New Roman"/>
          <w:sz w:val="30"/>
          <w:szCs w:val="30"/>
          <w:lang w:val="es-ES"/>
        </w:rPr>
        <w:br/>
      </w:r>
      <w:r>
        <w:rPr>
          <w:rFonts w:eastAsia="Times New Roman"/>
          <w:sz w:val="30"/>
          <w:szCs w:val="30"/>
          <w:lang w:val="es-ES"/>
        </w:rPr>
        <w:br/>
        <w:t>8. Quienes hubiesen sido condenados por delito, mientras penda la pena y hasta cinco años después de cumplida;</w:t>
      </w:r>
      <w:r>
        <w:rPr>
          <w:rFonts w:eastAsia="Times New Roman"/>
          <w:sz w:val="30"/>
          <w:szCs w:val="30"/>
          <w:lang w:val="es-ES"/>
        </w:rPr>
        <w:br/>
      </w:r>
      <w:r>
        <w:rPr>
          <w:rFonts w:eastAsia="Times New Roman"/>
          <w:sz w:val="30"/>
          <w:szCs w:val="30"/>
          <w:lang w:val="es-ES"/>
        </w:rPr>
        <w:br/>
        <w:t>9. El cónyuge o conviviente o el pariente dentro del cuarto grado de consanguinidad o seg</w:t>
      </w:r>
      <w:r>
        <w:rPr>
          <w:rFonts w:eastAsia="Times New Roman"/>
          <w:sz w:val="30"/>
          <w:szCs w:val="30"/>
          <w:lang w:val="es-ES"/>
        </w:rPr>
        <w:t>undo de afinidad de un director principal o suplente, vocal y administradores de la entidad del sector financiero privado o popular y solidario de que se trate; y</w:t>
      </w:r>
      <w:r>
        <w:rPr>
          <w:rFonts w:eastAsia="Times New Roman"/>
          <w:sz w:val="30"/>
          <w:szCs w:val="30"/>
          <w:lang w:val="es-ES"/>
        </w:rPr>
        <w:br/>
      </w:r>
      <w:r>
        <w:rPr>
          <w:rFonts w:eastAsia="Times New Roman"/>
          <w:sz w:val="30"/>
          <w:szCs w:val="30"/>
          <w:lang w:val="es-ES"/>
        </w:rPr>
        <w:br/>
        <w:t>10. Quienes por cualquier causa estén legalmente incapacitados.</w:t>
      </w:r>
      <w:r>
        <w:rPr>
          <w:rFonts w:eastAsia="Times New Roman"/>
          <w:sz w:val="30"/>
          <w:szCs w:val="30"/>
          <w:lang w:val="es-ES"/>
        </w:rPr>
        <w:br/>
      </w:r>
      <w:r>
        <w:rPr>
          <w:rFonts w:eastAsia="Times New Roman"/>
          <w:sz w:val="30"/>
          <w:szCs w:val="30"/>
          <w:lang w:val="es-ES"/>
        </w:rPr>
        <w:br/>
        <w:t>Las prohibiciones contenida</w:t>
      </w:r>
      <w:r>
        <w:rPr>
          <w:rFonts w:eastAsia="Times New Roman"/>
          <w:sz w:val="30"/>
          <w:szCs w:val="30"/>
          <w:lang w:val="es-ES"/>
        </w:rPr>
        <w:t>s en los numerales 2 al 9 de este artículo son aplicables a los representantes legales, vicepresidentes, gerentes, subgerentes y auditores internos de las entidades del sistema financiero nacional, o quien hiciere sus veces, en los casos que corresponda.</w:t>
      </w:r>
      <w:r>
        <w:rPr>
          <w:rFonts w:eastAsia="Times New Roman"/>
          <w:sz w:val="30"/>
          <w:szCs w:val="30"/>
          <w:lang w:val="es-ES"/>
        </w:rPr>
        <w:br/>
      </w:r>
      <w:r>
        <w:rPr>
          <w:rFonts w:eastAsia="Times New Roman"/>
          <w:sz w:val="30"/>
          <w:szCs w:val="30"/>
          <w:lang w:val="es-ES"/>
        </w:rPr>
        <w:br/>
      </w:r>
      <w:r>
        <w:rPr>
          <w:rFonts w:eastAsia="Times New Roman"/>
          <w:sz w:val="30"/>
          <w:szCs w:val="30"/>
          <w:lang w:val="es-ES"/>
        </w:rPr>
        <w:t>No más del 40% de los directores o miembros del consejo de administración de una entidad que controle un grupo financiero o grupo popular y solidario podrán integrar también el directorio de sus subsidiarias.</w:t>
      </w:r>
      <w:r>
        <w:rPr>
          <w:rFonts w:eastAsia="Times New Roman"/>
          <w:sz w:val="30"/>
          <w:szCs w:val="30"/>
          <w:lang w:val="es-ES"/>
        </w:rPr>
        <w:br/>
      </w:r>
      <w:r>
        <w:rPr>
          <w:rFonts w:eastAsia="Times New Roman"/>
          <w:sz w:val="30"/>
          <w:szCs w:val="30"/>
          <w:lang w:val="es-ES"/>
        </w:rPr>
        <w:br/>
        <w:t>Las prohibiciones e inhabilidades señaladas en</w:t>
      </w:r>
      <w:r>
        <w:rPr>
          <w:rFonts w:eastAsia="Times New Roman"/>
          <w:sz w:val="30"/>
          <w:szCs w:val="30"/>
          <w:lang w:val="es-ES"/>
        </w:rPr>
        <w:t xml:space="preserve"> este artículo serán aplicables a excepción del numeral 7 también en los casos en los que se trate de hechos supervenientes al ejercicio de las funciones.</w:t>
      </w:r>
      <w:r>
        <w:rPr>
          <w:rFonts w:eastAsia="Times New Roman"/>
          <w:sz w:val="30"/>
          <w:szCs w:val="30"/>
          <w:lang w:val="es-ES"/>
        </w:rPr>
        <w:br/>
      </w:r>
      <w:r>
        <w:rPr>
          <w:rFonts w:eastAsia="Times New Roman"/>
          <w:sz w:val="30"/>
          <w:szCs w:val="30"/>
          <w:lang w:val="es-ES"/>
        </w:rPr>
        <w:br/>
        <w:t xml:space="preserve">La designación de los miembros del directorio o del organismo que haga sus veces de una entidad del </w:t>
      </w:r>
      <w:r>
        <w:rPr>
          <w:rFonts w:eastAsia="Times New Roman"/>
          <w:sz w:val="30"/>
          <w:szCs w:val="30"/>
          <w:lang w:val="es-ES"/>
        </w:rPr>
        <w:t>sistema financiero nacional, será comunicada al respectivo organismo de control para la calificación de la idoneidad de estas personas; en el proceso de calificación el organismo de control verificará, entre otros, que los designados no se encuentren incur</w:t>
      </w:r>
      <w:r>
        <w:rPr>
          <w:rFonts w:eastAsia="Times New Roman"/>
          <w:sz w:val="30"/>
          <w:szCs w:val="30"/>
          <w:lang w:val="es-ES"/>
        </w:rPr>
        <w:t xml:space="preserve">sos en las prohibiciones señaladas. El miembro del directorio o del organismo que haga sus veces, tomará posesión de su designación una vez que cuente con la calificación otorgada por los </w:t>
      </w:r>
      <w:r>
        <w:rPr>
          <w:rFonts w:eastAsia="Times New Roman"/>
          <w:sz w:val="30"/>
          <w:szCs w:val="30"/>
          <w:lang w:val="es-ES"/>
        </w:rPr>
        <w:lastRenderedPageBreak/>
        <w:t>organismos de control. En caso de que el miembro del directorio o de</w:t>
      </w:r>
      <w:r>
        <w:rPr>
          <w:rFonts w:eastAsia="Times New Roman"/>
          <w:sz w:val="30"/>
          <w:szCs w:val="30"/>
          <w:lang w:val="es-ES"/>
        </w:rPr>
        <w:t>l consejo de administración no sea calificado, la entidad financiera deberá reemplazarlo.</w:t>
      </w:r>
    </w:p>
    <w:p w:rsidR="00000000" w:rsidRDefault="0018461E">
      <w:pPr>
        <w:divId w:val="1479499387"/>
        <w:rPr>
          <w:rFonts w:eastAsia="Times New Roman"/>
          <w:sz w:val="30"/>
          <w:szCs w:val="30"/>
          <w:lang w:val="es-ES"/>
        </w:rPr>
      </w:pPr>
      <w:r>
        <w:rPr>
          <w:rFonts w:eastAsia="Times New Roman"/>
          <w:sz w:val="30"/>
          <w:szCs w:val="30"/>
          <w:lang w:val="es-ES"/>
        </w:rPr>
        <w:t xml:space="preserve">Art. 259.- </w:t>
      </w:r>
      <w:r>
        <w:rPr>
          <w:rFonts w:eastAsia="Times New Roman"/>
          <w:b/>
          <w:bCs/>
          <w:sz w:val="30"/>
          <w:szCs w:val="30"/>
          <w:lang w:val="es-ES"/>
        </w:rPr>
        <w:t xml:space="preserve">Prohibiciones para los servidores. </w:t>
      </w:r>
      <w:r>
        <w:rPr>
          <w:rFonts w:eastAsia="Times New Roman"/>
          <w:sz w:val="30"/>
          <w:szCs w:val="30"/>
          <w:lang w:val="es-ES"/>
        </w:rPr>
        <w:t>Los servidores públicos de la Junta de Política y Regulación Monetaria y Financiera, de los organismos de control, del B</w:t>
      </w:r>
      <w:r>
        <w:rPr>
          <w:rFonts w:eastAsia="Times New Roman"/>
          <w:sz w:val="30"/>
          <w:szCs w:val="30"/>
          <w:lang w:val="es-ES"/>
        </w:rPr>
        <w:t>anco Central del Ecuador y de la Corporación del Seguro de Depósitos, Fondo de Liquidez y Fondo de Seguros Privados estarán sometidos a las prohibiciones generales determinadas en la Ley Orgánica del Servicio Público.</w:t>
      </w:r>
      <w:r>
        <w:rPr>
          <w:rFonts w:eastAsia="Times New Roman"/>
          <w:sz w:val="30"/>
          <w:szCs w:val="30"/>
          <w:lang w:val="es-ES"/>
        </w:rPr>
        <w:br/>
      </w:r>
      <w:r>
        <w:rPr>
          <w:rFonts w:eastAsia="Times New Roman"/>
          <w:sz w:val="30"/>
          <w:szCs w:val="30"/>
          <w:lang w:val="es-ES"/>
        </w:rPr>
        <w:br/>
        <w:t xml:space="preserve">Está prohibido para estos servidores </w:t>
      </w:r>
      <w:r>
        <w:rPr>
          <w:rFonts w:eastAsia="Times New Roman"/>
          <w:sz w:val="30"/>
          <w:szCs w:val="30"/>
          <w:lang w:val="es-ES"/>
        </w:rPr>
        <w:t>el revelar cualquier información sujeta a sigilo y reserva que se encuentre bajo su conocimiento en el desempeño de su cargo.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11 </w:t>
      </w:r>
      <w:r>
        <w:rPr>
          <w:rFonts w:eastAsia="Times New Roman"/>
          <w:b/>
          <w:bCs/>
          <w:sz w:val="36"/>
          <w:szCs w:val="36"/>
          <w:lang w:val="es-ES"/>
        </w:rPr>
        <w:br/>
        <w:t>DE LAS INFRACCIONES Y SANCIONES</w:t>
      </w:r>
    </w:p>
    <w:p w:rsidR="00000000" w:rsidRDefault="0018461E">
      <w:pPr>
        <w:divId w:val="770247592"/>
        <w:rPr>
          <w:rFonts w:eastAsia="Times New Roman"/>
          <w:sz w:val="30"/>
          <w:szCs w:val="30"/>
          <w:lang w:val="es-ES"/>
        </w:rPr>
      </w:pPr>
      <w:r>
        <w:rPr>
          <w:rFonts w:eastAsia="Times New Roman"/>
          <w:sz w:val="30"/>
          <w:szCs w:val="30"/>
          <w:lang w:val="es-ES"/>
        </w:rPr>
        <w:t xml:space="preserve">Art. 260.- </w:t>
      </w:r>
      <w:r>
        <w:rPr>
          <w:rFonts w:eastAsia="Times New Roman"/>
          <w:b/>
          <w:bCs/>
          <w:sz w:val="30"/>
          <w:szCs w:val="30"/>
          <w:lang w:val="es-ES"/>
        </w:rPr>
        <w:t xml:space="preserve">Infracciones. </w:t>
      </w:r>
      <w:r>
        <w:rPr>
          <w:rFonts w:eastAsia="Times New Roman"/>
          <w:sz w:val="30"/>
          <w:szCs w:val="30"/>
          <w:lang w:val="es-ES"/>
        </w:rPr>
        <w:t>Las infracciones se califican como muy graves, graves y leve</w:t>
      </w:r>
      <w:r>
        <w:rPr>
          <w:rFonts w:eastAsia="Times New Roman"/>
          <w:sz w:val="30"/>
          <w:szCs w:val="30"/>
          <w:lang w:val="es-ES"/>
        </w:rPr>
        <w:t>s.</w:t>
      </w:r>
    </w:p>
    <w:p w:rsidR="00000000" w:rsidRDefault="0018461E">
      <w:pPr>
        <w:divId w:val="873888621"/>
        <w:rPr>
          <w:rFonts w:eastAsia="Times New Roman"/>
          <w:sz w:val="30"/>
          <w:szCs w:val="30"/>
          <w:lang w:val="es-ES"/>
        </w:rPr>
      </w:pPr>
      <w:r>
        <w:rPr>
          <w:rFonts w:eastAsia="Times New Roman"/>
          <w:sz w:val="30"/>
          <w:szCs w:val="30"/>
          <w:lang w:val="es-ES"/>
        </w:rPr>
        <w:t xml:space="preserve">Art. 261.- </w:t>
      </w:r>
      <w:r>
        <w:rPr>
          <w:rFonts w:eastAsia="Times New Roman"/>
          <w:b/>
          <w:bCs/>
          <w:sz w:val="30"/>
          <w:szCs w:val="30"/>
          <w:lang w:val="es-ES"/>
        </w:rPr>
        <w:t xml:space="preserve">Infracciones muy graves. </w:t>
      </w:r>
      <w:r>
        <w:rPr>
          <w:rFonts w:eastAsia="Times New Roman"/>
          <w:sz w:val="30"/>
          <w:szCs w:val="30"/>
          <w:lang w:val="es-ES"/>
        </w:rPr>
        <w:t>Son infracciones muy graves las siguientes:</w:t>
      </w:r>
      <w:r>
        <w:rPr>
          <w:rFonts w:eastAsia="Times New Roman"/>
          <w:sz w:val="30"/>
          <w:szCs w:val="30"/>
          <w:lang w:val="es-ES"/>
        </w:rPr>
        <w:br/>
      </w:r>
      <w:r>
        <w:rPr>
          <w:rFonts w:eastAsia="Times New Roman"/>
          <w:sz w:val="30"/>
          <w:szCs w:val="30"/>
          <w:lang w:val="es-ES"/>
        </w:rPr>
        <w:br/>
        <w:t>1. No observar las prohibiciones constantes en el artículo 255 numerales 1, 2, 3, 4, 5, 6, 7, 8 y 9;</w:t>
      </w:r>
      <w:r>
        <w:rPr>
          <w:rFonts w:eastAsia="Times New Roman"/>
          <w:sz w:val="30"/>
          <w:szCs w:val="30"/>
          <w:lang w:val="es-ES"/>
        </w:rPr>
        <w:br/>
      </w:r>
      <w:r>
        <w:rPr>
          <w:rFonts w:eastAsia="Times New Roman"/>
          <w:sz w:val="30"/>
          <w:szCs w:val="30"/>
          <w:lang w:val="es-ES"/>
        </w:rPr>
        <w:br/>
        <w:t>2. No observar las normas de la Junta de Política y Regulación Monetar</w:t>
      </w:r>
      <w:r>
        <w:rPr>
          <w:rFonts w:eastAsia="Times New Roman"/>
          <w:sz w:val="30"/>
          <w:szCs w:val="30"/>
          <w:lang w:val="es-ES"/>
        </w:rPr>
        <w:t>ia y Financiera y las normas y disposiciones que emitan las superintendencias;</w:t>
      </w:r>
      <w:r>
        <w:rPr>
          <w:rFonts w:eastAsia="Times New Roman"/>
          <w:sz w:val="30"/>
          <w:szCs w:val="30"/>
          <w:lang w:val="es-ES"/>
        </w:rPr>
        <w:br/>
      </w:r>
      <w:r>
        <w:rPr>
          <w:rFonts w:eastAsia="Times New Roman"/>
          <w:sz w:val="30"/>
          <w:szCs w:val="30"/>
          <w:lang w:val="es-ES"/>
        </w:rPr>
        <w:br/>
        <w:t>3. Realizar operaciones que no estén dentro del objeto social de la entidad;</w:t>
      </w:r>
      <w:r>
        <w:rPr>
          <w:rFonts w:eastAsia="Times New Roman"/>
          <w:sz w:val="30"/>
          <w:szCs w:val="30"/>
          <w:lang w:val="es-ES"/>
        </w:rPr>
        <w:br/>
      </w:r>
      <w:r>
        <w:rPr>
          <w:rFonts w:eastAsia="Times New Roman"/>
          <w:sz w:val="30"/>
          <w:szCs w:val="30"/>
          <w:lang w:val="es-ES"/>
        </w:rPr>
        <w:br/>
        <w:t>4. Simular incrementos de capital;</w:t>
      </w:r>
      <w:r>
        <w:rPr>
          <w:rFonts w:eastAsia="Times New Roman"/>
          <w:sz w:val="30"/>
          <w:szCs w:val="30"/>
          <w:lang w:val="es-ES"/>
        </w:rPr>
        <w:br/>
      </w:r>
      <w:r>
        <w:rPr>
          <w:rFonts w:eastAsia="Times New Roman"/>
          <w:sz w:val="30"/>
          <w:szCs w:val="30"/>
          <w:lang w:val="es-ES"/>
        </w:rPr>
        <w:br/>
        <w:t>5. Mantener acciones en empresas ajenas a la actividad financi</w:t>
      </w:r>
      <w:r>
        <w:rPr>
          <w:rFonts w:eastAsia="Times New Roman"/>
          <w:sz w:val="30"/>
          <w:szCs w:val="30"/>
          <w:lang w:val="es-ES"/>
        </w:rPr>
        <w:t>era por sobre los límites determinados en el artículo 256;</w:t>
      </w:r>
      <w:r>
        <w:rPr>
          <w:rFonts w:eastAsia="Times New Roman"/>
          <w:sz w:val="30"/>
          <w:szCs w:val="30"/>
          <w:lang w:val="es-ES"/>
        </w:rPr>
        <w:br/>
      </w:r>
      <w:r>
        <w:rPr>
          <w:rFonts w:eastAsia="Times New Roman"/>
          <w:sz w:val="30"/>
          <w:szCs w:val="30"/>
          <w:lang w:val="es-ES"/>
        </w:rPr>
        <w:br/>
        <w:t>6. No observar las disposiciones de control interno sobre prevención de delitos, incluidos los de lavado de activos y financiamiento de delitos como el terrorismo, determinadas en el artículo 244;</w:t>
      </w:r>
      <w:r>
        <w:rPr>
          <w:rFonts w:eastAsia="Times New Roman"/>
          <w:sz w:val="30"/>
          <w:szCs w:val="30"/>
          <w:lang w:val="es-ES"/>
        </w:rPr>
        <w:br/>
      </w:r>
      <w:r>
        <w:rPr>
          <w:rFonts w:eastAsia="Times New Roman"/>
          <w:sz w:val="30"/>
          <w:szCs w:val="30"/>
          <w:lang w:val="es-ES"/>
        </w:rPr>
        <w:lastRenderedPageBreak/>
        <w:br/>
        <w:t>7. No observar las disposiciones sobre capital, reservas y solvencia dispuestas en este Código;</w:t>
      </w:r>
      <w:r>
        <w:rPr>
          <w:rFonts w:eastAsia="Times New Roman"/>
          <w:sz w:val="30"/>
          <w:szCs w:val="30"/>
          <w:lang w:val="es-ES"/>
        </w:rPr>
        <w:br/>
      </w:r>
      <w:r>
        <w:rPr>
          <w:rFonts w:eastAsia="Times New Roman"/>
          <w:sz w:val="30"/>
          <w:szCs w:val="30"/>
          <w:lang w:val="es-ES"/>
        </w:rPr>
        <w:br/>
        <w:t>8. No observar las disposiciones sobre activos, límites de crédito, provisiones y orientación de crédito;</w:t>
      </w:r>
      <w:r>
        <w:rPr>
          <w:rFonts w:eastAsia="Times New Roman"/>
          <w:sz w:val="30"/>
          <w:szCs w:val="30"/>
          <w:lang w:val="es-ES"/>
        </w:rPr>
        <w:br/>
      </w:r>
      <w:r>
        <w:rPr>
          <w:rFonts w:eastAsia="Times New Roman"/>
          <w:sz w:val="30"/>
          <w:szCs w:val="30"/>
          <w:lang w:val="es-ES"/>
        </w:rPr>
        <w:br/>
        <w:t>9. Ejecutar operaciones de fusión, conversión o ex</w:t>
      </w:r>
      <w:r>
        <w:rPr>
          <w:rFonts w:eastAsia="Times New Roman"/>
          <w:sz w:val="30"/>
          <w:szCs w:val="30"/>
          <w:lang w:val="es-ES"/>
        </w:rPr>
        <w:t>clusión y transferencia de activos y pasivos, sin contar con la autorización de los organismos de control;</w:t>
      </w:r>
      <w:r>
        <w:rPr>
          <w:rFonts w:eastAsia="Times New Roman"/>
          <w:sz w:val="30"/>
          <w:szCs w:val="30"/>
          <w:lang w:val="es-ES"/>
        </w:rPr>
        <w:br/>
      </w:r>
      <w:r>
        <w:rPr>
          <w:rFonts w:eastAsia="Times New Roman"/>
          <w:sz w:val="30"/>
          <w:szCs w:val="30"/>
          <w:lang w:val="es-ES"/>
        </w:rPr>
        <w:br/>
        <w:t>10. Participar como accionista de entidades financieras extranjeras constituidas o por constituirse, sin la autorización de la respectiva superinten</w:t>
      </w:r>
      <w:r>
        <w:rPr>
          <w:rFonts w:eastAsia="Times New Roman"/>
          <w:sz w:val="30"/>
          <w:szCs w:val="30"/>
          <w:lang w:val="es-ES"/>
        </w:rPr>
        <w:t>dencia;</w:t>
      </w:r>
      <w:r>
        <w:rPr>
          <w:rFonts w:eastAsia="Times New Roman"/>
          <w:sz w:val="30"/>
          <w:szCs w:val="30"/>
          <w:lang w:val="es-ES"/>
        </w:rPr>
        <w:br/>
      </w:r>
      <w:r>
        <w:rPr>
          <w:rFonts w:eastAsia="Times New Roman"/>
          <w:sz w:val="30"/>
          <w:szCs w:val="30"/>
          <w:lang w:val="es-ES"/>
        </w:rPr>
        <w:br/>
        <w:t>11. Negar, impedir, obstaculizar o dificultar el control y vigilancia por parte de los organismos de control del Estado, en el ámbito de sus competencias;</w:t>
      </w:r>
      <w:r>
        <w:rPr>
          <w:rFonts w:eastAsia="Times New Roman"/>
          <w:sz w:val="30"/>
          <w:szCs w:val="30"/>
          <w:lang w:val="es-ES"/>
        </w:rPr>
        <w:br/>
      </w:r>
      <w:r>
        <w:rPr>
          <w:rFonts w:eastAsia="Times New Roman"/>
          <w:sz w:val="30"/>
          <w:szCs w:val="30"/>
          <w:lang w:val="es-ES"/>
        </w:rPr>
        <w:br/>
        <w:t xml:space="preserve">12. Falsificar documentos e información u ocultar parcial o totalmente, mediante cualquier </w:t>
      </w:r>
      <w:r>
        <w:rPr>
          <w:rFonts w:eastAsia="Times New Roman"/>
          <w:sz w:val="30"/>
          <w:szCs w:val="30"/>
          <w:lang w:val="es-ES"/>
        </w:rPr>
        <w:t>acto o medio, la situación real de la entidad financiera;</w:t>
      </w:r>
      <w:r>
        <w:rPr>
          <w:rFonts w:eastAsia="Times New Roman"/>
          <w:sz w:val="30"/>
          <w:szCs w:val="30"/>
          <w:lang w:val="es-ES"/>
        </w:rPr>
        <w:br/>
      </w:r>
      <w:r>
        <w:rPr>
          <w:rFonts w:eastAsia="Times New Roman"/>
          <w:sz w:val="30"/>
          <w:szCs w:val="30"/>
          <w:lang w:val="es-ES"/>
        </w:rPr>
        <w:br/>
        <w:t>13. No observar las disposiciones relacionadas con la entrega de información requerida por las instituciones del Estado determinadas en este Código, en el ámbito de sus competencias;</w:t>
      </w:r>
      <w:r>
        <w:rPr>
          <w:rFonts w:eastAsia="Times New Roman"/>
          <w:sz w:val="30"/>
          <w:szCs w:val="30"/>
          <w:lang w:val="es-ES"/>
        </w:rPr>
        <w:br/>
      </w:r>
      <w:r>
        <w:rPr>
          <w:rFonts w:eastAsia="Times New Roman"/>
          <w:sz w:val="30"/>
          <w:szCs w:val="30"/>
          <w:lang w:val="es-ES"/>
        </w:rPr>
        <w:br/>
        <w:t xml:space="preserve">14. Realizar </w:t>
      </w:r>
      <w:r>
        <w:rPr>
          <w:rFonts w:eastAsia="Times New Roman"/>
          <w:sz w:val="30"/>
          <w:szCs w:val="30"/>
          <w:lang w:val="es-ES"/>
        </w:rPr>
        <w:t>actos de disposición de bienes y valores de una entidad sometida a suspensión de operaciones, de acuerdo a lo dispuesto en el artículo 292, o en causal de liquidación forzosa, una vez dispuesta;</w:t>
      </w:r>
      <w:r>
        <w:rPr>
          <w:rFonts w:eastAsia="Times New Roman"/>
          <w:sz w:val="30"/>
          <w:szCs w:val="30"/>
          <w:lang w:val="es-ES"/>
        </w:rPr>
        <w:br/>
      </w:r>
      <w:r>
        <w:rPr>
          <w:rFonts w:eastAsia="Times New Roman"/>
          <w:sz w:val="30"/>
          <w:szCs w:val="30"/>
          <w:lang w:val="es-ES"/>
        </w:rPr>
        <w:br/>
        <w:t>15. Conceder operaciones de crédito a entidades públicas sin</w:t>
      </w:r>
      <w:r>
        <w:rPr>
          <w:rFonts w:eastAsia="Times New Roman"/>
          <w:sz w:val="30"/>
          <w:szCs w:val="30"/>
          <w:lang w:val="es-ES"/>
        </w:rPr>
        <w:t xml:space="preserve"> observar el procedimiento establecido en el Código Orgánico de Planificación y Finanzas Públicas;</w:t>
      </w:r>
      <w:r>
        <w:rPr>
          <w:rFonts w:eastAsia="Times New Roman"/>
          <w:sz w:val="30"/>
          <w:szCs w:val="30"/>
          <w:lang w:val="es-ES"/>
        </w:rPr>
        <w:br/>
      </w:r>
      <w:r>
        <w:rPr>
          <w:rFonts w:eastAsia="Times New Roman"/>
          <w:sz w:val="30"/>
          <w:szCs w:val="30"/>
          <w:lang w:val="es-ES"/>
        </w:rPr>
        <w:br/>
        <w:t>16. Incumplir las prohibiciones determinadas en los artículos 40 y 41;</w:t>
      </w:r>
      <w:r>
        <w:rPr>
          <w:rFonts w:eastAsia="Times New Roman"/>
          <w:sz w:val="30"/>
          <w:szCs w:val="30"/>
          <w:lang w:val="es-ES"/>
        </w:rPr>
        <w:br/>
      </w:r>
      <w:r>
        <w:rPr>
          <w:rFonts w:eastAsia="Times New Roman"/>
          <w:sz w:val="30"/>
          <w:szCs w:val="30"/>
          <w:lang w:val="es-ES"/>
        </w:rPr>
        <w:br/>
        <w:t>17. Operar corresponsalías sin la autorización establecida en el artículo 36 numeral</w:t>
      </w:r>
      <w:r>
        <w:rPr>
          <w:rFonts w:eastAsia="Times New Roman"/>
          <w:sz w:val="30"/>
          <w:szCs w:val="30"/>
          <w:lang w:val="es-ES"/>
        </w:rPr>
        <w:t xml:space="preserve"> 21;</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18. No pagar la multa impuesta por infracción grave;</w:t>
      </w:r>
      <w:r>
        <w:rPr>
          <w:rFonts w:eastAsia="Times New Roman"/>
          <w:sz w:val="30"/>
          <w:szCs w:val="30"/>
          <w:lang w:val="es-ES"/>
        </w:rPr>
        <w:br/>
      </w:r>
      <w:r>
        <w:rPr>
          <w:rFonts w:eastAsia="Times New Roman"/>
          <w:sz w:val="30"/>
          <w:szCs w:val="30"/>
          <w:lang w:val="es-ES"/>
        </w:rPr>
        <w:br/>
        <w:t>19. La comisión de dos o más infracciones graves en el plazo de un año;</w:t>
      </w:r>
      <w:r>
        <w:rPr>
          <w:rFonts w:eastAsia="Times New Roman"/>
          <w:sz w:val="30"/>
          <w:szCs w:val="30"/>
          <w:lang w:val="es-ES"/>
        </w:rPr>
        <w:br/>
      </w:r>
      <w:r>
        <w:rPr>
          <w:rFonts w:eastAsia="Times New Roman"/>
          <w:sz w:val="30"/>
          <w:szCs w:val="30"/>
          <w:lang w:val="es-ES"/>
        </w:rPr>
        <w:br/>
        <w:t>20. Repartir sin autorización dividendos anticipados o utilidades cuando el organismo de control haya dispuesto lo contrari</w:t>
      </w:r>
      <w:r>
        <w:rPr>
          <w:rFonts w:eastAsia="Times New Roman"/>
          <w:sz w:val="30"/>
          <w:szCs w:val="30"/>
          <w:lang w:val="es-ES"/>
        </w:rPr>
        <w:t>o; y,</w:t>
      </w:r>
      <w:r>
        <w:rPr>
          <w:rFonts w:eastAsia="Times New Roman"/>
          <w:sz w:val="30"/>
          <w:szCs w:val="30"/>
          <w:lang w:val="es-ES"/>
        </w:rPr>
        <w:br/>
      </w:r>
      <w:r>
        <w:rPr>
          <w:rFonts w:eastAsia="Times New Roman"/>
          <w:sz w:val="30"/>
          <w:szCs w:val="30"/>
          <w:lang w:val="es-ES"/>
        </w:rPr>
        <w:br/>
        <w:t>21. Las demás dispuestas en este Código.</w:t>
      </w:r>
    </w:p>
    <w:p w:rsidR="00000000" w:rsidRDefault="0018461E">
      <w:pPr>
        <w:divId w:val="901795703"/>
        <w:rPr>
          <w:rFonts w:eastAsia="Times New Roman"/>
          <w:sz w:val="30"/>
          <w:szCs w:val="30"/>
          <w:lang w:val="es-ES"/>
        </w:rPr>
      </w:pPr>
      <w:r>
        <w:rPr>
          <w:rFonts w:eastAsia="Times New Roman"/>
          <w:sz w:val="30"/>
          <w:szCs w:val="30"/>
          <w:lang w:val="es-ES"/>
        </w:rPr>
        <w:t xml:space="preserve">Art. 262.- </w:t>
      </w:r>
      <w:r>
        <w:rPr>
          <w:rFonts w:eastAsia="Times New Roman"/>
          <w:b/>
          <w:bCs/>
          <w:sz w:val="30"/>
          <w:szCs w:val="30"/>
          <w:lang w:val="es-ES"/>
        </w:rPr>
        <w:t xml:space="preserve">Infracciones graves. </w:t>
      </w:r>
      <w:r>
        <w:rPr>
          <w:rFonts w:eastAsia="Times New Roman"/>
          <w:sz w:val="30"/>
          <w:szCs w:val="30"/>
          <w:lang w:val="es-ES"/>
        </w:rPr>
        <w:t>Son infracciones graves las siguientes:</w:t>
      </w:r>
      <w:r>
        <w:rPr>
          <w:rFonts w:eastAsia="Times New Roman"/>
          <w:sz w:val="30"/>
          <w:szCs w:val="30"/>
          <w:lang w:val="es-ES"/>
        </w:rPr>
        <w:br/>
      </w:r>
      <w:r>
        <w:rPr>
          <w:rFonts w:eastAsia="Times New Roman"/>
          <w:sz w:val="30"/>
          <w:szCs w:val="30"/>
          <w:lang w:val="es-ES"/>
        </w:rPr>
        <w:br/>
        <w:t>1. Infringir las prohibiciones determinadas en el artículo 255 numerales 10, 11, 12, 13, 14, 15, 16, 17, 18, 19, 20 y 21;</w:t>
      </w:r>
      <w:r>
        <w:rPr>
          <w:rFonts w:eastAsia="Times New Roman"/>
          <w:sz w:val="30"/>
          <w:szCs w:val="30"/>
          <w:lang w:val="es-ES"/>
        </w:rPr>
        <w:br/>
      </w:r>
      <w:r>
        <w:rPr>
          <w:rFonts w:eastAsia="Times New Roman"/>
          <w:sz w:val="30"/>
          <w:szCs w:val="30"/>
          <w:lang w:val="es-ES"/>
        </w:rPr>
        <w:br/>
      </w:r>
      <w:r>
        <w:rPr>
          <w:rFonts w:eastAsia="Times New Roman"/>
          <w:sz w:val="30"/>
          <w:szCs w:val="30"/>
          <w:lang w:val="es-ES"/>
        </w:rPr>
        <w:t>2. No observar las disposiciones relacionadas con los derechos de los usuarios financieros;</w:t>
      </w:r>
      <w:r>
        <w:rPr>
          <w:rFonts w:eastAsia="Times New Roman"/>
          <w:sz w:val="30"/>
          <w:szCs w:val="30"/>
          <w:lang w:val="es-ES"/>
        </w:rPr>
        <w:br/>
      </w:r>
      <w:r>
        <w:rPr>
          <w:rFonts w:eastAsia="Times New Roman"/>
          <w:sz w:val="30"/>
          <w:szCs w:val="30"/>
          <w:lang w:val="es-ES"/>
        </w:rPr>
        <w:br/>
        <w:t>3. No observar las disposiciones respecto del régimen financiero y contable;</w:t>
      </w:r>
      <w:r>
        <w:rPr>
          <w:rFonts w:eastAsia="Times New Roman"/>
          <w:sz w:val="30"/>
          <w:szCs w:val="30"/>
          <w:lang w:val="es-ES"/>
        </w:rPr>
        <w:br/>
      </w:r>
      <w:r>
        <w:rPr>
          <w:rFonts w:eastAsia="Times New Roman"/>
          <w:sz w:val="30"/>
          <w:szCs w:val="30"/>
          <w:lang w:val="es-ES"/>
        </w:rPr>
        <w:br/>
        <w:t>4. No observar las disposiciones sobre control interno;</w:t>
      </w:r>
      <w:r>
        <w:rPr>
          <w:rFonts w:eastAsia="Times New Roman"/>
          <w:sz w:val="30"/>
          <w:szCs w:val="30"/>
          <w:lang w:val="es-ES"/>
        </w:rPr>
        <w:br/>
      </w:r>
      <w:r>
        <w:rPr>
          <w:rFonts w:eastAsia="Times New Roman"/>
          <w:sz w:val="30"/>
          <w:szCs w:val="30"/>
          <w:lang w:val="es-ES"/>
        </w:rPr>
        <w:br/>
        <w:t>5. No observar las disposici</w:t>
      </w:r>
      <w:r>
        <w:rPr>
          <w:rFonts w:eastAsia="Times New Roman"/>
          <w:sz w:val="30"/>
          <w:szCs w:val="30"/>
          <w:lang w:val="es-ES"/>
        </w:rPr>
        <w:t>ones sobre cargos por servicios financieros y no financieros;</w:t>
      </w:r>
      <w:r>
        <w:rPr>
          <w:rFonts w:eastAsia="Times New Roman"/>
          <w:sz w:val="30"/>
          <w:szCs w:val="30"/>
          <w:lang w:val="es-ES"/>
        </w:rPr>
        <w:br/>
      </w:r>
      <w:r>
        <w:rPr>
          <w:rFonts w:eastAsia="Times New Roman"/>
          <w:sz w:val="30"/>
          <w:szCs w:val="30"/>
          <w:lang w:val="es-ES"/>
        </w:rPr>
        <w:br/>
        <w:t>6. Efectuar convenios de asociación sin contar con la autorización de las superintendencias;</w:t>
      </w:r>
      <w:r>
        <w:rPr>
          <w:rFonts w:eastAsia="Times New Roman"/>
          <w:sz w:val="30"/>
          <w:szCs w:val="30"/>
          <w:lang w:val="es-ES"/>
        </w:rPr>
        <w:br/>
      </w:r>
      <w:r>
        <w:rPr>
          <w:rFonts w:eastAsia="Times New Roman"/>
          <w:sz w:val="30"/>
          <w:szCs w:val="30"/>
          <w:lang w:val="es-ES"/>
        </w:rPr>
        <w:br/>
        <w:t>7. Modificar los estatutos sociales de la entidad financiera sin autorización del organismo de cont</w:t>
      </w:r>
      <w:r>
        <w:rPr>
          <w:rFonts w:eastAsia="Times New Roman"/>
          <w:sz w:val="30"/>
          <w:szCs w:val="30"/>
          <w:lang w:val="es-ES"/>
        </w:rPr>
        <w:t>rol;</w:t>
      </w:r>
      <w:r>
        <w:rPr>
          <w:rFonts w:eastAsia="Times New Roman"/>
          <w:sz w:val="30"/>
          <w:szCs w:val="30"/>
          <w:lang w:val="es-ES"/>
        </w:rPr>
        <w:br/>
      </w:r>
      <w:r>
        <w:rPr>
          <w:rFonts w:eastAsia="Times New Roman"/>
          <w:sz w:val="30"/>
          <w:szCs w:val="30"/>
          <w:lang w:val="es-ES"/>
        </w:rPr>
        <w:br/>
        <w:t>8. No pagar las contribuciones y aportes dispuestos en el Código;</w:t>
      </w:r>
      <w:r>
        <w:rPr>
          <w:rFonts w:eastAsia="Times New Roman"/>
          <w:sz w:val="30"/>
          <w:szCs w:val="30"/>
          <w:lang w:val="es-ES"/>
        </w:rPr>
        <w:br/>
      </w:r>
      <w:r>
        <w:rPr>
          <w:rFonts w:eastAsia="Times New Roman"/>
          <w:sz w:val="30"/>
          <w:szCs w:val="30"/>
          <w:lang w:val="es-ES"/>
        </w:rPr>
        <w:br/>
        <w:t>9. Utilizar contratos de adhesión sin respetar las condiciones mínimas y las prohibiciones determinadas por las superintendencias;</w:t>
      </w:r>
      <w:r>
        <w:rPr>
          <w:rFonts w:eastAsia="Times New Roman"/>
          <w:sz w:val="30"/>
          <w:szCs w:val="30"/>
          <w:lang w:val="es-ES"/>
        </w:rPr>
        <w:br/>
      </w:r>
      <w:r>
        <w:rPr>
          <w:rFonts w:eastAsia="Times New Roman"/>
          <w:sz w:val="30"/>
          <w:szCs w:val="30"/>
          <w:lang w:val="es-ES"/>
        </w:rPr>
        <w:br/>
        <w:t>10. Abrir oficinas sin el respectivo permiso de fun</w:t>
      </w:r>
      <w:r>
        <w:rPr>
          <w:rFonts w:eastAsia="Times New Roman"/>
          <w:sz w:val="30"/>
          <w:szCs w:val="30"/>
          <w:lang w:val="es-ES"/>
        </w:rPr>
        <w:t>cionamiento;</w:t>
      </w:r>
      <w:r>
        <w:rPr>
          <w:rFonts w:eastAsia="Times New Roman"/>
          <w:sz w:val="30"/>
          <w:szCs w:val="30"/>
          <w:lang w:val="es-ES"/>
        </w:rPr>
        <w:br/>
      </w:r>
      <w:r>
        <w:rPr>
          <w:rFonts w:eastAsia="Times New Roman"/>
          <w:sz w:val="30"/>
          <w:szCs w:val="30"/>
          <w:lang w:val="es-ES"/>
        </w:rPr>
        <w:br/>
        <w:t>11. No pagar la multa impuesta por infracción leve;</w:t>
      </w:r>
      <w:r>
        <w:rPr>
          <w:rFonts w:eastAsia="Times New Roman"/>
          <w:sz w:val="30"/>
          <w:szCs w:val="30"/>
          <w:lang w:val="es-ES"/>
        </w:rPr>
        <w:br/>
      </w:r>
      <w:r>
        <w:rPr>
          <w:rFonts w:eastAsia="Times New Roman"/>
          <w:sz w:val="30"/>
          <w:szCs w:val="30"/>
          <w:lang w:val="es-ES"/>
        </w:rPr>
        <w:lastRenderedPageBreak/>
        <w:br/>
        <w:t>12. El cometimiento de dos o más infracciones leves en el plazo de un año; y,</w:t>
      </w:r>
      <w:r>
        <w:rPr>
          <w:rFonts w:eastAsia="Times New Roman"/>
          <w:sz w:val="30"/>
          <w:szCs w:val="30"/>
          <w:lang w:val="es-ES"/>
        </w:rPr>
        <w:br/>
      </w:r>
      <w:r>
        <w:rPr>
          <w:rFonts w:eastAsia="Times New Roman"/>
          <w:sz w:val="30"/>
          <w:szCs w:val="30"/>
          <w:lang w:val="es-ES"/>
        </w:rPr>
        <w:br/>
        <w:t>13. Las demás dispuestas en este Código.</w:t>
      </w:r>
    </w:p>
    <w:p w:rsidR="00000000" w:rsidRDefault="0018461E">
      <w:pPr>
        <w:divId w:val="754012933"/>
        <w:rPr>
          <w:rFonts w:eastAsia="Times New Roman"/>
          <w:sz w:val="30"/>
          <w:szCs w:val="30"/>
          <w:lang w:val="es-ES"/>
        </w:rPr>
      </w:pPr>
      <w:r>
        <w:rPr>
          <w:rFonts w:eastAsia="Times New Roman"/>
          <w:sz w:val="30"/>
          <w:szCs w:val="30"/>
          <w:lang w:val="es-ES"/>
        </w:rPr>
        <w:t xml:space="preserve">Art. 263.- </w:t>
      </w:r>
      <w:r>
        <w:rPr>
          <w:rFonts w:eastAsia="Times New Roman"/>
          <w:b/>
          <w:bCs/>
          <w:sz w:val="30"/>
          <w:szCs w:val="30"/>
          <w:lang w:val="es-ES"/>
        </w:rPr>
        <w:t xml:space="preserve">Infracciones leves. </w:t>
      </w:r>
      <w:r>
        <w:rPr>
          <w:rFonts w:eastAsia="Times New Roman"/>
          <w:sz w:val="30"/>
          <w:szCs w:val="30"/>
          <w:lang w:val="es-ES"/>
        </w:rPr>
        <w:t>Son infracciones leves, las siguientes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La modificación sin autorización de los horarios de atención al público;</w:t>
      </w:r>
      <w:r>
        <w:rPr>
          <w:rFonts w:eastAsia="Times New Roman"/>
          <w:sz w:val="30"/>
          <w:szCs w:val="30"/>
          <w:lang w:val="es-ES"/>
        </w:rPr>
        <w:br/>
      </w:r>
      <w:r>
        <w:rPr>
          <w:rFonts w:eastAsia="Times New Roman"/>
          <w:sz w:val="30"/>
          <w:szCs w:val="30"/>
          <w:lang w:val="es-ES"/>
        </w:rPr>
        <w:br/>
        <w:t>2. No proporcionar a los accionistas o socios la información dispuesta en este Código;</w:t>
      </w:r>
      <w:r>
        <w:rPr>
          <w:rFonts w:eastAsia="Times New Roman"/>
          <w:sz w:val="30"/>
          <w:szCs w:val="30"/>
          <w:lang w:val="es-ES"/>
        </w:rPr>
        <w:br/>
      </w:r>
      <w:r>
        <w:rPr>
          <w:rFonts w:eastAsia="Times New Roman"/>
          <w:sz w:val="30"/>
          <w:szCs w:val="30"/>
          <w:lang w:val="es-ES"/>
        </w:rPr>
        <w:br/>
        <w:t>3. La presentación con errores e inconsistencias de los informes a los que está obligada</w:t>
      </w:r>
      <w:r>
        <w:rPr>
          <w:rFonts w:eastAsia="Times New Roman"/>
          <w:sz w:val="30"/>
          <w:szCs w:val="30"/>
          <w:lang w:val="es-ES"/>
        </w:rPr>
        <w:t xml:space="preserve"> la entidad financiera; y,</w:t>
      </w:r>
      <w:r>
        <w:rPr>
          <w:rFonts w:eastAsia="Times New Roman"/>
          <w:sz w:val="30"/>
          <w:szCs w:val="30"/>
          <w:lang w:val="es-ES"/>
        </w:rPr>
        <w:br/>
      </w:r>
      <w:r>
        <w:rPr>
          <w:rFonts w:eastAsia="Times New Roman"/>
          <w:sz w:val="30"/>
          <w:szCs w:val="30"/>
          <w:lang w:val="es-ES"/>
        </w:rPr>
        <w:br/>
        <w:t>4. Las demás dispuestas en este Código.</w:t>
      </w:r>
    </w:p>
    <w:p w:rsidR="00000000" w:rsidRDefault="0018461E">
      <w:pPr>
        <w:divId w:val="20325738"/>
        <w:rPr>
          <w:rFonts w:eastAsia="Times New Roman"/>
          <w:sz w:val="30"/>
          <w:szCs w:val="30"/>
          <w:lang w:val="es-ES"/>
        </w:rPr>
      </w:pPr>
      <w:r>
        <w:rPr>
          <w:rFonts w:eastAsia="Times New Roman"/>
          <w:sz w:val="30"/>
          <w:szCs w:val="30"/>
          <w:lang w:val="es-ES"/>
        </w:rPr>
        <w:t xml:space="preserve">Art. 264.- </w:t>
      </w:r>
      <w:r>
        <w:rPr>
          <w:rFonts w:eastAsia="Times New Roman"/>
          <w:b/>
          <w:bCs/>
          <w:sz w:val="30"/>
          <w:szCs w:val="30"/>
          <w:lang w:val="es-ES"/>
        </w:rPr>
        <w:t xml:space="preserve">Sanciones administrativas. </w:t>
      </w:r>
      <w:r>
        <w:rPr>
          <w:rFonts w:eastAsia="Times New Roman"/>
          <w:sz w:val="30"/>
          <w:szCs w:val="30"/>
          <w:lang w:val="es-ES"/>
        </w:rPr>
        <w:t>Se establecen las siguientes sanciones:</w:t>
      </w:r>
      <w:r>
        <w:rPr>
          <w:rFonts w:eastAsia="Times New Roman"/>
          <w:sz w:val="30"/>
          <w:szCs w:val="30"/>
          <w:lang w:val="es-ES"/>
        </w:rPr>
        <w:br/>
      </w:r>
      <w:r>
        <w:rPr>
          <w:rFonts w:eastAsia="Times New Roman"/>
          <w:sz w:val="30"/>
          <w:szCs w:val="30"/>
          <w:lang w:val="es-ES"/>
        </w:rPr>
        <w:br/>
        <w:t>1. Por infracciones muy graves, una multa de hasta 0,01 % de los activos de la entidad infractora, la remoció</w:t>
      </w:r>
      <w:r>
        <w:rPr>
          <w:rFonts w:eastAsia="Times New Roman"/>
          <w:sz w:val="30"/>
          <w:szCs w:val="30"/>
          <w:lang w:val="es-ES"/>
        </w:rPr>
        <w:t>n de los administradores y/o la revocatoria de la o las autorizaciones;</w:t>
      </w:r>
      <w:r>
        <w:rPr>
          <w:rFonts w:eastAsia="Times New Roman"/>
          <w:sz w:val="30"/>
          <w:szCs w:val="30"/>
          <w:lang w:val="es-ES"/>
        </w:rPr>
        <w:br/>
      </w:r>
      <w:r>
        <w:rPr>
          <w:rFonts w:eastAsia="Times New Roman"/>
          <w:sz w:val="30"/>
          <w:szCs w:val="30"/>
          <w:lang w:val="es-ES"/>
        </w:rPr>
        <w:br/>
        <w:t>2. Por infracciones graves, multas de hasta 0,005 % de los activos de la entidad infractora, la suspensión de los administradores hasta por noventa días y/o amonestación; y,</w:t>
      </w:r>
      <w:r>
        <w:rPr>
          <w:rFonts w:eastAsia="Times New Roman"/>
          <w:sz w:val="30"/>
          <w:szCs w:val="30"/>
          <w:lang w:val="es-ES"/>
        </w:rPr>
        <w:br/>
      </w:r>
      <w:r>
        <w:rPr>
          <w:rFonts w:eastAsia="Times New Roman"/>
          <w:sz w:val="30"/>
          <w:szCs w:val="30"/>
          <w:lang w:val="es-ES"/>
        </w:rPr>
        <w:br/>
        <w:t>3. Por i</w:t>
      </w:r>
      <w:r>
        <w:rPr>
          <w:rFonts w:eastAsia="Times New Roman"/>
          <w:sz w:val="30"/>
          <w:szCs w:val="30"/>
          <w:lang w:val="es-ES"/>
        </w:rPr>
        <w:t>nfracciones leves, multas de hasta 0,001 % de los activos de la entidad infractora.</w:t>
      </w:r>
      <w:r>
        <w:rPr>
          <w:rFonts w:eastAsia="Times New Roman"/>
          <w:sz w:val="30"/>
          <w:szCs w:val="30"/>
          <w:lang w:val="es-ES"/>
        </w:rPr>
        <w:br/>
      </w:r>
      <w:r>
        <w:rPr>
          <w:rFonts w:eastAsia="Times New Roman"/>
          <w:sz w:val="30"/>
          <w:szCs w:val="30"/>
          <w:lang w:val="es-ES"/>
        </w:rPr>
        <w:br/>
        <w:t>En ningún caso una sanción pecuniaria para una entidad financiera infractora pública, privada o popular y solidaria, perteneciente al segmento 1, podrá ser inferior a trei</w:t>
      </w:r>
      <w:r>
        <w:rPr>
          <w:rFonts w:eastAsia="Times New Roman"/>
          <w:sz w:val="30"/>
          <w:szCs w:val="30"/>
          <w:lang w:val="es-ES"/>
        </w:rPr>
        <w:t>nta salarios básicos unificados.</w:t>
      </w:r>
      <w:r>
        <w:rPr>
          <w:rFonts w:eastAsia="Times New Roman"/>
          <w:sz w:val="30"/>
          <w:szCs w:val="30"/>
          <w:lang w:val="es-ES"/>
        </w:rPr>
        <w:br/>
      </w:r>
      <w:r>
        <w:rPr>
          <w:rFonts w:eastAsia="Times New Roman"/>
          <w:sz w:val="30"/>
          <w:szCs w:val="30"/>
          <w:lang w:val="es-ES"/>
        </w:rPr>
        <w:br/>
        <w:t>Respecto de las otras entidades financieras populares y solidarias, la sanción pecuniaria no podrá ser inferior a un salario básico unificado.</w:t>
      </w:r>
      <w:r>
        <w:rPr>
          <w:rFonts w:eastAsia="Times New Roman"/>
          <w:sz w:val="30"/>
          <w:szCs w:val="30"/>
          <w:lang w:val="es-ES"/>
        </w:rPr>
        <w:br/>
      </w:r>
      <w:r>
        <w:rPr>
          <w:rFonts w:eastAsia="Times New Roman"/>
          <w:sz w:val="30"/>
          <w:szCs w:val="30"/>
          <w:lang w:val="es-ES"/>
        </w:rPr>
        <w:br/>
        <w:t xml:space="preserve">El importe de la multas será consignado en la Cuenta Única del </w:t>
      </w:r>
      <w:r>
        <w:rPr>
          <w:rFonts w:eastAsia="Times New Roman"/>
          <w:sz w:val="30"/>
          <w:szCs w:val="30"/>
          <w:lang w:val="es-ES"/>
        </w:rPr>
        <w:lastRenderedPageBreak/>
        <w:t>Tesoro Nacional</w:t>
      </w:r>
      <w:r>
        <w:rPr>
          <w:rFonts w:eastAsia="Times New Roman"/>
          <w:sz w:val="30"/>
          <w:szCs w:val="30"/>
          <w:lang w:val="es-ES"/>
        </w:rPr>
        <w:t>, de conformidad con lo dispuesto en el artículo 267 de este Código</w:t>
      </w:r>
    </w:p>
    <w:p w:rsidR="00000000" w:rsidRDefault="0018461E">
      <w:pPr>
        <w:divId w:val="1518077088"/>
        <w:rPr>
          <w:rFonts w:eastAsia="Times New Roman"/>
          <w:sz w:val="30"/>
          <w:szCs w:val="30"/>
          <w:lang w:val="es-ES"/>
        </w:rPr>
      </w:pPr>
      <w:r>
        <w:rPr>
          <w:rFonts w:eastAsia="Times New Roman"/>
          <w:sz w:val="30"/>
          <w:szCs w:val="30"/>
          <w:lang w:val="es-ES"/>
        </w:rPr>
        <w:t xml:space="preserve">Art. 265.- </w:t>
      </w:r>
      <w:r>
        <w:rPr>
          <w:rFonts w:eastAsia="Times New Roman"/>
          <w:b/>
          <w:bCs/>
          <w:sz w:val="30"/>
          <w:szCs w:val="30"/>
          <w:lang w:val="es-ES"/>
        </w:rPr>
        <w:t xml:space="preserve">Gradación y criterios. </w:t>
      </w:r>
      <w:r>
        <w:rPr>
          <w:rFonts w:eastAsia="Times New Roman"/>
          <w:sz w:val="30"/>
          <w:szCs w:val="30"/>
          <w:lang w:val="es-ES"/>
        </w:rPr>
        <w:t>Las sanciones se graduarán en atención a la gravedad de la falta, perjuicios causados a terceros, negligencia, intencionalidad, reincidencia o cualquier o</w:t>
      </w:r>
      <w:r>
        <w:rPr>
          <w:rFonts w:eastAsia="Times New Roman"/>
          <w:sz w:val="30"/>
          <w:szCs w:val="30"/>
          <w:lang w:val="es-ES"/>
        </w:rPr>
        <w:t>tra circunstancia agravante o atenuante.</w:t>
      </w:r>
      <w:r>
        <w:rPr>
          <w:rFonts w:eastAsia="Times New Roman"/>
          <w:sz w:val="30"/>
          <w:szCs w:val="30"/>
          <w:lang w:val="es-ES"/>
        </w:rPr>
        <w:br/>
      </w:r>
      <w:r>
        <w:rPr>
          <w:rFonts w:eastAsia="Times New Roman"/>
          <w:sz w:val="30"/>
          <w:szCs w:val="30"/>
          <w:lang w:val="es-ES"/>
        </w:rPr>
        <w:br/>
        <w:t>En el caso de las infracciones muy graves y graves, las superintendencias, dependiendo de los criterios señalados en el párrafo precedente, además de la sanción pecuniaria, podrán imponer las demás sanciones determ</w:t>
      </w:r>
      <w:r>
        <w:rPr>
          <w:rFonts w:eastAsia="Times New Roman"/>
          <w:sz w:val="30"/>
          <w:szCs w:val="30"/>
          <w:lang w:val="es-ES"/>
        </w:rPr>
        <w:t>inadas para cada tipo de infracción.</w:t>
      </w:r>
      <w:r>
        <w:rPr>
          <w:rFonts w:eastAsia="Times New Roman"/>
          <w:sz w:val="30"/>
          <w:szCs w:val="30"/>
          <w:lang w:val="es-ES"/>
        </w:rPr>
        <w:br/>
      </w:r>
      <w:r>
        <w:rPr>
          <w:rFonts w:eastAsia="Times New Roman"/>
          <w:sz w:val="30"/>
          <w:szCs w:val="30"/>
          <w:lang w:val="es-ES"/>
        </w:rPr>
        <w:br/>
        <w:t>Si un mismo hecho fuere constitutivo de dos o más infracciones administrativas, se tomará en consideración la más grave. Si las dos infracciones son igualmente graves, se tomará en consideración la que conlleve una san</w:t>
      </w:r>
      <w:r>
        <w:rPr>
          <w:rFonts w:eastAsia="Times New Roman"/>
          <w:sz w:val="30"/>
          <w:szCs w:val="30"/>
          <w:lang w:val="es-ES"/>
        </w:rPr>
        <w:t>ción de mayor valor pecuniario.</w:t>
      </w:r>
      <w:r>
        <w:rPr>
          <w:rFonts w:eastAsia="Times New Roman"/>
          <w:sz w:val="30"/>
          <w:szCs w:val="30"/>
          <w:lang w:val="es-ES"/>
        </w:rPr>
        <w:br/>
      </w:r>
      <w:r>
        <w:rPr>
          <w:rFonts w:eastAsia="Times New Roman"/>
          <w:sz w:val="30"/>
          <w:szCs w:val="30"/>
          <w:lang w:val="es-ES"/>
        </w:rPr>
        <w:br/>
        <w:t>Las sanciones pecuniarias en firme causarán los intereses correspondientes.</w:t>
      </w:r>
    </w:p>
    <w:p w:rsidR="00000000" w:rsidRDefault="0018461E">
      <w:pPr>
        <w:divId w:val="2056420971"/>
        <w:rPr>
          <w:rFonts w:eastAsia="Times New Roman"/>
          <w:sz w:val="30"/>
          <w:szCs w:val="30"/>
          <w:lang w:val="es-ES"/>
        </w:rPr>
      </w:pPr>
      <w:r>
        <w:rPr>
          <w:rFonts w:eastAsia="Times New Roman"/>
          <w:sz w:val="30"/>
          <w:szCs w:val="30"/>
          <w:lang w:val="es-ES"/>
        </w:rPr>
        <w:t xml:space="preserve">Art. 266.- </w:t>
      </w:r>
      <w:r>
        <w:rPr>
          <w:rFonts w:eastAsia="Times New Roman"/>
          <w:b/>
          <w:bCs/>
          <w:sz w:val="30"/>
          <w:szCs w:val="30"/>
          <w:lang w:val="es-ES"/>
        </w:rPr>
        <w:t xml:space="preserve">Concurrencia de las sanciones. </w:t>
      </w:r>
      <w:r>
        <w:rPr>
          <w:rFonts w:eastAsia="Times New Roman"/>
          <w:sz w:val="30"/>
          <w:szCs w:val="30"/>
          <w:lang w:val="es-ES"/>
        </w:rPr>
        <w:t>La imposición de las sanciones dispuestas en este Código es independiente de cualquier otra sanción que s</w:t>
      </w:r>
      <w:r>
        <w:rPr>
          <w:rFonts w:eastAsia="Times New Roman"/>
          <w:sz w:val="30"/>
          <w:szCs w:val="30"/>
          <w:lang w:val="es-ES"/>
        </w:rPr>
        <w:t>e pudiera aplicar por actos violatorios de otras disposiciones del Código y no limitan la aplicación de las sanciones civiles o penales que correspondan, de conformidad con la ley.</w:t>
      </w:r>
      <w:r>
        <w:rPr>
          <w:rFonts w:eastAsia="Times New Roman"/>
          <w:sz w:val="30"/>
          <w:szCs w:val="30"/>
          <w:lang w:val="es-ES"/>
        </w:rPr>
        <w:br/>
      </w:r>
      <w:r>
        <w:rPr>
          <w:rFonts w:eastAsia="Times New Roman"/>
          <w:sz w:val="30"/>
          <w:szCs w:val="30"/>
          <w:lang w:val="es-ES"/>
        </w:rPr>
        <w:br/>
        <w:t>En ningún caso una persona puede ser sancionada administrativamente dos ve</w:t>
      </w:r>
      <w:r>
        <w:rPr>
          <w:rFonts w:eastAsia="Times New Roman"/>
          <w:sz w:val="30"/>
          <w:szCs w:val="30"/>
          <w:lang w:val="es-ES"/>
        </w:rPr>
        <w:t>ces por el mismo organismo, por la misma causa.</w:t>
      </w:r>
    </w:p>
    <w:p w:rsidR="00000000" w:rsidRDefault="0018461E">
      <w:pPr>
        <w:divId w:val="150870795"/>
        <w:rPr>
          <w:rFonts w:eastAsia="Times New Roman"/>
          <w:sz w:val="30"/>
          <w:szCs w:val="30"/>
          <w:lang w:val="es-ES"/>
        </w:rPr>
      </w:pPr>
      <w:r>
        <w:rPr>
          <w:rFonts w:eastAsia="Times New Roman"/>
          <w:sz w:val="30"/>
          <w:szCs w:val="30"/>
          <w:lang w:val="es-ES"/>
        </w:rPr>
        <w:t xml:space="preserve">Art. 267.- </w:t>
      </w:r>
      <w:r>
        <w:rPr>
          <w:rFonts w:eastAsia="Times New Roman"/>
          <w:b/>
          <w:bCs/>
          <w:sz w:val="30"/>
          <w:szCs w:val="30"/>
          <w:lang w:val="es-ES"/>
        </w:rPr>
        <w:t xml:space="preserve">Forma de aplicación de las sanciones. </w:t>
      </w:r>
      <w:r>
        <w:rPr>
          <w:rFonts w:eastAsia="Times New Roman"/>
          <w:sz w:val="30"/>
          <w:szCs w:val="30"/>
          <w:lang w:val="es-ES"/>
        </w:rPr>
        <w:t xml:space="preserve">Las multas impuestas a las entidades financieras, una vez en firme, se harán efectivas mediante débitos de las cuentas que posean las entidades financieras en </w:t>
      </w:r>
      <w:r>
        <w:rPr>
          <w:rFonts w:eastAsia="Times New Roman"/>
          <w:sz w:val="30"/>
          <w:szCs w:val="30"/>
          <w:lang w:val="es-ES"/>
        </w:rPr>
        <w:t>el Banco Central del Ecuador.</w:t>
      </w:r>
      <w:r>
        <w:rPr>
          <w:rFonts w:eastAsia="Times New Roman"/>
          <w:sz w:val="30"/>
          <w:szCs w:val="30"/>
          <w:lang w:val="es-ES"/>
        </w:rPr>
        <w:br/>
      </w:r>
      <w:r>
        <w:rPr>
          <w:rFonts w:eastAsia="Times New Roman"/>
          <w:sz w:val="30"/>
          <w:szCs w:val="30"/>
          <w:lang w:val="es-ES"/>
        </w:rPr>
        <w:br/>
        <w:t>En caso de no poder efectuar el débito señalado en el inciso precedente, el organismo de control emitirá el título de crédito correspondiente, que podrá ser cobrado administrativamente por vía coactiva o por vía judicial.</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 xml:space="preserve">s multas impuestas a los administradores, funcionarios o empleados de una entidad financiera se harán efectivas mediante títulos que </w:t>
      </w:r>
      <w:r>
        <w:rPr>
          <w:rFonts w:eastAsia="Times New Roman"/>
          <w:sz w:val="30"/>
          <w:szCs w:val="30"/>
          <w:lang w:val="es-ES"/>
        </w:rPr>
        <w:lastRenderedPageBreak/>
        <w:t>podrán cobrarse a través de la jurisdicción coactiva o por cualquier otro medio.</w:t>
      </w:r>
      <w:r>
        <w:rPr>
          <w:rFonts w:eastAsia="Times New Roman"/>
          <w:sz w:val="30"/>
          <w:szCs w:val="30"/>
          <w:lang w:val="es-ES"/>
        </w:rPr>
        <w:br/>
      </w:r>
      <w:r>
        <w:rPr>
          <w:rFonts w:eastAsia="Times New Roman"/>
          <w:sz w:val="30"/>
          <w:szCs w:val="30"/>
          <w:lang w:val="es-ES"/>
        </w:rPr>
        <w:br/>
        <w:t>Las multas impuestas se depositarán en la</w:t>
      </w:r>
      <w:r>
        <w:rPr>
          <w:rFonts w:eastAsia="Times New Roman"/>
          <w:sz w:val="30"/>
          <w:szCs w:val="30"/>
          <w:lang w:val="es-ES"/>
        </w:rPr>
        <w:t xml:space="preserve"> Cuenta Única del Tesoro Nacional.</w:t>
      </w:r>
    </w:p>
    <w:p w:rsidR="00000000" w:rsidRDefault="0018461E">
      <w:pPr>
        <w:divId w:val="397363859"/>
        <w:rPr>
          <w:rFonts w:eastAsia="Times New Roman"/>
          <w:sz w:val="30"/>
          <w:szCs w:val="30"/>
          <w:lang w:val="es-ES"/>
        </w:rPr>
      </w:pPr>
      <w:r>
        <w:rPr>
          <w:rFonts w:eastAsia="Times New Roman"/>
          <w:sz w:val="30"/>
          <w:szCs w:val="30"/>
          <w:lang w:val="es-ES"/>
        </w:rPr>
        <w:t xml:space="preserve">Art. 268.- </w:t>
      </w:r>
      <w:r>
        <w:rPr>
          <w:rFonts w:eastAsia="Times New Roman"/>
          <w:b/>
          <w:bCs/>
          <w:sz w:val="30"/>
          <w:szCs w:val="30"/>
          <w:lang w:val="es-ES"/>
        </w:rPr>
        <w:t>Sujetos responsables de la infracción.</w:t>
      </w:r>
      <w:r>
        <w:rPr>
          <w:rFonts w:eastAsia="Times New Roman"/>
          <w:sz w:val="30"/>
          <w:szCs w:val="30"/>
          <w:lang w:val="es-ES"/>
        </w:rPr>
        <w:br/>
      </w:r>
      <w:r>
        <w:rPr>
          <w:rFonts w:eastAsia="Times New Roman"/>
          <w:sz w:val="30"/>
          <w:szCs w:val="30"/>
          <w:lang w:val="es-ES"/>
        </w:rPr>
        <w:br/>
        <w:t>Son sujetos responsables de las infracciones la entidad financiera, sus accionistas, administradores, funcionarios o empleados y demás personas referidas en el artículo 2</w:t>
      </w:r>
      <w:r>
        <w:rPr>
          <w:rFonts w:eastAsia="Times New Roman"/>
          <w:sz w:val="30"/>
          <w:szCs w:val="30"/>
          <w:lang w:val="es-ES"/>
        </w:rPr>
        <w:t>76 que, por acción u omisión, incurran en las infracciones tipificadas en este Código.</w:t>
      </w:r>
      <w:r>
        <w:rPr>
          <w:rFonts w:eastAsia="Times New Roman"/>
          <w:sz w:val="30"/>
          <w:szCs w:val="30"/>
          <w:lang w:val="es-ES"/>
        </w:rPr>
        <w:br/>
      </w:r>
      <w:r>
        <w:rPr>
          <w:rFonts w:eastAsia="Times New Roman"/>
          <w:sz w:val="30"/>
          <w:szCs w:val="30"/>
          <w:lang w:val="es-ES"/>
        </w:rPr>
        <w:br/>
        <w:t>Son responsables también las personas naturales y las personas jurídicas no financieras que incurran en las infracciones determinadas en este Código, cuando corresponda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imposición de las sanciones, en ningún caso, relevará al infractor del cumplimiento de la obligación cuyo incumplimiento motivó la sanción.</w:t>
      </w:r>
    </w:p>
    <w:p w:rsidR="00000000" w:rsidRDefault="0018461E">
      <w:pPr>
        <w:divId w:val="2032025133"/>
        <w:rPr>
          <w:rFonts w:eastAsia="Times New Roman"/>
          <w:sz w:val="30"/>
          <w:szCs w:val="30"/>
          <w:lang w:val="es-ES"/>
        </w:rPr>
      </w:pPr>
      <w:r>
        <w:rPr>
          <w:rFonts w:eastAsia="Times New Roman"/>
          <w:sz w:val="30"/>
          <w:szCs w:val="30"/>
          <w:lang w:val="es-ES"/>
        </w:rPr>
        <w:t xml:space="preserve">Art. 269.- </w:t>
      </w:r>
      <w:r>
        <w:rPr>
          <w:rFonts w:eastAsia="Times New Roman"/>
          <w:b/>
          <w:bCs/>
          <w:sz w:val="30"/>
          <w:szCs w:val="30"/>
          <w:lang w:val="es-ES"/>
        </w:rPr>
        <w:t xml:space="preserve">Prescripción de las infracciones. </w:t>
      </w:r>
      <w:r>
        <w:rPr>
          <w:rFonts w:eastAsia="Times New Roman"/>
          <w:sz w:val="30"/>
          <w:szCs w:val="30"/>
          <w:lang w:val="es-ES"/>
        </w:rPr>
        <w:t>Las infracciones muy graves prescriben en ocho años, las infracci</w:t>
      </w:r>
      <w:r>
        <w:rPr>
          <w:rFonts w:eastAsia="Times New Roman"/>
          <w:sz w:val="30"/>
          <w:szCs w:val="30"/>
          <w:lang w:val="es-ES"/>
        </w:rPr>
        <w:t>ones graves en cinco años y las infracciones leves prescriben en tres años, contados desde la fecha de la infracción.</w:t>
      </w:r>
      <w:r>
        <w:rPr>
          <w:rFonts w:eastAsia="Times New Roman"/>
          <w:sz w:val="30"/>
          <w:szCs w:val="30"/>
          <w:lang w:val="es-ES"/>
        </w:rPr>
        <w:br/>
      </w:r>
      <w:r>
        <w:rPr>
          <w:rFonts w:eastAsia="Times New Roman"/>
          <w:sz w:val="30"/>
          <w:szCs w:val="30"/>
          <w:lang w:val="es-ES"/>
        </w:rPr>
        <w:br/>
        <w:t>La prescripción se interrumpirá con el inicio del procedimiento sancionador.</w:t>
      </w:r>
    </w:p>
    <w:p w:rsidR="00000000" w:rsidRDefault="0018461E">
      <w:pPr>
        <w:divId w:val="1408383375"/>
        <w:rPr>
          <w:rFonts w:eastAsia="Times New Roman"/>
          <w:sz w:val="30"/>
          <w:szCs w:val="30"/>
          <w:lang w:val="es-ES"/>
        </w:rPr>
      </w:pPr>
      <w:r>
        <w:rPr>
          <w:rFonts w:eastAsia="Times New Roman"/>
          <w:sz w:val="30"/>
          <w:szCs w:val="30"/>
          <w:lang w:val="es-ES"/>
        </w:rPr>
        <w:t xml:space="preserve">Art. 270.- </w:t>
      </w:r>
      <w:r>
        <w:rPr>
          <w:rFonts w:eastAsia="Times New Roman"/>
          <w:b/>
          <w:bCs/>
          <w:sz w:val="30"/>
          <w:szCs w:val="30"/>
          <w:lang w:val="es-ES"/>
        </w:rPr>
        <w:t xml:space="preserve">Extinción de las sanciones. </w:t>
      </w:r>
      <w:r>
        <w:rPr>
          <w:rFonts w:eastAsia="Times New Roman"/>
          <w:sz w:val="30"/>
          <w:szCs w:val="30"/>
          <w:lang w:val="es-ES"/>
        </w:rPr>
        <w:t>Las sanciones impuestas podrán extinguirse en los siguientes casos:</w:t>
      </w:r>
      <w:r>
        <w:rPr>
          <w:rFonts w:eastAsia="Times New Roman"/>
          <w:sz w:val="30"/>
          <w:szCs w:val="30"/>
          <w:lang w:val="es-ES"/>
        </w:rPr>
        <w:br/>
      </w:r>
      <w:r>
        <w:rPr>
          <w:rFonts w:eastAsia="Times New Roman"/>
          <w:sz w:val="30"/>
          <w:szCs w:val="30"/>
          <w:lang w:val="es-ES"/>
        </w:rPr>
        <w:br/>
        <w:t>1. Por el cumplimiento de la sanción;</w:t>
      </w:r>
      <w:r>
        <w:rPr>
          <w:rFonts w:eastAsia="Times New Roman"/>
          <w:sz w:val="30"/>
          <w:szCs w:val="30"/>
          <w:lang w:val="es-ES"/>
        </w:rPr>
        <w:br/>
      </w:r>
      <w:r>
        <w:rPr>
          <w:rFonts w:eastAsia="Times New Roman"/>
          <w:sz w:val="30"/>
          <w:szCs w:val="30"/>
          <w:lang w:val="es-ES"/>
        </w:rPr>
        <w:br/>
        <w:t>2. Por la aceptación de reclamo o recurso administrativo; y,</w:t>
      </w:r>
      <w:r>
        <w:rPr>
          <w:rFonts w:eastAsia="Times New Roman"/>
          <w:sz w:val="30"/>
          <w:szCs w:val="30"/>
          <w:lang w:val="es-ES"/>
        </w:rPr>
        <w:br/>
      </w:r>
      <w:r>
        <w:rPr>
          <w:rFonts w:eastAsia="Times New Roman"/>
          <w:sz w:val="30"/>
          <w:szCs w:val="30"/>
          <w:lang w:val="es-ES"/>
        </w:rPr>
        <w:br/>
        <w:t>3. Por sentencia judicial.</w:t>
      </w:r>
    </w:p>
    <w:p w:rsidR="00000000" w:rsidRDefault="0018461E">
      <w:pPr>
        <w:divId w:val="982127284"/>
        <w:rPr>
          <w:rFonts w:eastAsia="Times New Roman"/>
          <w:sz w:val="30"/>
          <w:szCs w:val="30"/>
          <w:lang w:val="es-ES"/>
        </w:rPr>
      </w:pPr>
      <w:r>
        <w:rPr>
          <w:rFonts w:eastAsia="Times New Roman"/>
          <w:sz w:val="30"/>
          <w:szCs w:val="30"/>
          <w:lang w:val="es-ES"/>
        </w:rPr>
        <w:t xml:space="preserve">Art. 271.- </w:t>
      </w:r>
      <w:r>
        <w:rPr>
          <w:rFonts w:eastAsia="Times New Roman"/>
          <w:b/>
          <w:bCs/>
          <w:sz w:val="30"/>
          <w:szCs w:val="30"/>
          <w:lang w:val="es-ES"/>
        </w:rPr>
        <w:t>Sanción a funcionarios y servidores de los organ</w:t>
      </w:r>
      <w:r>
        <w:rPr>
          <w:rFonts w:eastAsia="Times New Roman"/>
          <w:b/>
          <w:bCs/>
          <w:sz w:val="30"/>
          <w:szCs w:val="30"/>
          <w:lang w:val="es-ES"/>
        </w:rPr>
        <w:t xml:space="preserve">ismos de control. </w:t>
      </w:r>
      <w:r>
        <w:rPr>
          <w:rFonts w:eastAsia="Times New Roman"/>
          <w:sz w:val="30"/>
          <w:szCs w:val="30"/>
          <w:lang w:val="es-ES"/>
        </w:rPr>
        <w:t xml:space="preserve">La inobservancia de la prohibición dispuesta en el artículo 259 será sancionada por las autoridades nominadoras correspondientes, de conformidad con las disposiciones de la Ley Orgánica del Servicio Público y Código del Trabajo, según el </w:t>
      </w:r>
      <w:r>
        <w:rPr>
          <w:rFonts w:eastAsia="Times New Roman"/>
          <w:sz w:val="30"/>
          <w:szCs w:val="30"/>
          <w:lang w:val="es-ES"/>
        </w:rPr>
        <w:t>caso.</w:t>
      </w:r>
    </w:p>
    <w:p w:rsidR="00000000" w:rsidRDefault="0018461E">
      <w:pPr>
        <w:divId w:val="573013285"/>
        <w:rPr>
          <w:rFonts w:eastAsia="Times New Roman"/>
          <w:sz w:val="30"/>
          <w:szCs w:val="30"/>
          <w:lang w:val="es-ES"/>
        </w:rPr>
      </w:pPr>
      <w:r>
        <w:rPr>
          <w:rFonts w:eastAsia="Times New Roman"/>
          <w:sz w:val="30"/>
          <w:szCs w:val="30"/>
          <w:lang w:val="es-ES"/>
        </w:rPr>
        <w:lastRenderedPageBreak/>
        <w:t xml:space="preserve">Art. 272.- </w:t>
      </w:r>
      <w:r>
        <w:rPr>
          <w:rFonts w:eastAsia="Times New Roman"/>
          <w:b/>
          <w:bCs/>
          <w:sz w:val="30"/>
          <w:szCs w:val="30"/>
          <w:lang w:val="es-ES"/>
        </w:rPr>
        <w:t>Sanción por divulgación de información.</w:t>
      </w:r>
      <w:r>
        <w:rPr>
          <w:rFonts w:eastAsia="Times New Roman"/>
          <w:sz w:val="30"/>
          <w:szCs w:val="30"/>
          <w:lang w:val="es-ES"/>
        </w:rPr>
        <w:br/>
      </w:r>
      <w:r>
        <w:rPr>
          <w:rFonts w:eastAsia="Times New Roman"/>
          <w:sz w:val="30"/>
          <w:szCs w:val="30"/>
          <w:lang w:val="es-ES"/>
        </w:rPr>
        <w:br/>
        <w:t>Las personas naturales o jurídicas que divulguen, en todo o en parte, información sometida a sigilo o reserva, serán sancionadas con una multa de veinte y cinco salarios básicos unificados, sin perj</w:t>
      </w:r>
      <w:r>
        <w:rPr>
          <w:rFonts w:eastAsia="Times New Roman"/>
          <w:sz w:val="30"/>
          <w:szCs w:val="30"/>
          <w:lang w:val="es-ES"/>
        </w:rPr>
        <w:t>uicio de la responsabilidad penal que corresponda.</w:t>
      </w:r>
    </w:p>
    <w:p w:rsidR="00000000" w:rsidRDefault="0018461E">
      <w:pPr>
        <w:divId w:val="427896121"/>
        <w:rPr>
          <w:rFonts w:eastAsia="Times New Roman"/>
          <w:sz w:val="30"/>
          <w:szCs w:val="30"/>
          <w:lang w:val="es-ES"/>
        </w:rPr>
      </w:pPr>
      <w:r>
        <w:rPr>
          <w:rFonts w:eastAsia="Times New Roman"/>
          <w:sz w:val="30"/>
          <w:szCs w:val="30"/>
          <w:lang w:val="es-ES"/>
        </w:rPr>
        <w:t xml:space="preserve">Art. 273.- </w:t>
      </w:r>
      <w:r>
        <w:rPr>
          <w:rFonts w:eastAsia="Times New Roman"/>
          <w:b/>
          <w:bCs/>
          <w:sz w:val="30"/>
          <w:szCs w:val="30"/>
          <w:lang w:val="es-ES"/>
        </w:rPr>
        <w:t xml:space="preserve">Responsabilidad civil. </w:t>
      </w:r>
      <w:r>
        <w:rPr>
          <w:rFonts w:eastAsia="Times New Roman"/>
          <w:sz w:val="30"/>
          <w:szCs w:val="30"/>
          <w:lang w:val="es-ES"/>
        </w:rPr>
        <w:t xml:space="preserve">Sin perjuicio de las sanciones administrativas a las que se refiere esta sección y de las disposiciones correctivas ordenadas por los organismos de control, las entidades </w:t>
      </w:r>
      <w:r>
        <w:rPr>
          <w:rFonts w:eastAsia="Times New Roman"/>
          <w:sz w:val="30"/>
          <w:szCs w:val="30"/>
          <w:lang w:val="es-ES"/>
        </w:rPr>
        <w:t>financieras responderán civilmente por las acciones u omisiones que causen perjuicio a los usuarios financieros o a los organismos estatales, de acuerdo con la ley.</w:t>
      </w:r>
    </w:p>
    <w:p w:rsidR="00000000" w:rsidRDefault="0018461E">
      <w:pPr>
        <w:divId w:val="187448309"/>
        <w:rPr>
          <w:rFonts w:eastAsia="Times New Roman"/>
          <w:sz w:val="30"/>
          <w:szCs w:val="30"/>
          <w:lang w:val="es-ES"/>
        </w:rPr>
      </w:pPr>
      <w:r>
        <w:rPr>
          <w:rFonts w:eastAsia="Times New Roman"/>
          <w:sz w:val="30"/>
          <w:szCs w:val="30"/>
          <w:lang w:val="es-ES"/>
        </w:rPr>
        <w:t xml:space="preserve">Art. 274.- </w:t>
      </w:r>
      <w:r>
        <w:rPr>
          <w:rFonts w:eastAsia="Times New Roman"/>
          <w:b/>
          <w:bCs/>
          <w:sz w:val="30"/>
          <w:szCs w:val="30"/>
          <w:lang w:val="es-ES"/>
        </w:rPr>
        <w:t xml:space="preserve">Delitos. </w:t>
      </w:r>
      <w:r>
        <w:rPr>
          <w:rFonts w:eastAsia="Times New Roman"/>
          <w:sz w:val="30"/>
          <w:szCs w:val="30"/>
          <w:lang w:val="es-ES"/>
        </w:rPr>
        <w:t>En cualquier momento, cuando los organismos de control del Sistema Fina</w:t>
      </w:r>
      <w:r>
        <w:rPr>
          <w:rFonts w:eastAsia="Times New Roman"/>
          <w:sz w:val="30"/>
          <w:szCs w:val="30"/>
          <w:lang w:val="es-ES"/>
        </w:rPr>
        <w:t>nciero Nacional, en el ejercicio de sus funciones de control, tengan conocimiento de la perpetración de un delito relacionado con las actividades financieras, incluido el lavado de activos y financiamiento de delitos como el terrorismo, estarán obligados a</w:t>
      </w:r>
      <w:r>
        <w:rPr>
          <w:rFonts w:eastAsia="Times New Roman"/>
          <w:sz w:val="30"/>
          <w:szCs w:val="30"/>
          <w:lang w:val="es-ES"/>
        </w:rPr>
        <w:t xml:space="preserve"> denunciar de estos hechos a la Fiscalía General del Estado, y en este último caso se notificará además a la Unidad de Análisis Financiero UAF, para los fines consiguientes.</w:t>
      </w:r>
      <w:r>
        <w:rPr>
          <w:rFonts w:eastAsia="Times New Roman"/>
          <w:sz w:val="30"/>
          <w:szCs w:val="30"/>
          <w:lang w:val="es-ES"/>
        </w:rPr>
        <w:br/>
      </w:r>
      <w:r>
        <w:rPr>
          <w:rFonts w:eastAsia="Times New Roman"/>
          <w:sz w:val="30"/>
          <w:szCs w:val="30"/>
          <w:lang w:val="es-ES"/>
        </w:rPr>
        <w:br/>
        <w:t>El ejercicio de la acción penal será independiente de las sanciones civiles y adm</w:t>
      </w:r>
      <w:r>
        <w:rPr>
          <w:rFonts w:eastAsia="Times New Roman"/>
          <w:sz w:val="30"/>
          <w:szCs w:val="30"/>
          <w:lang w:val="es-ES"/>
        </w:rPr>
        <w:t>inistrativas.</w:t>
      </w:r>
    </w:p>
    <w:p w:rsidR="00000000" w:rsidRDefault="0018461E">
      <w:pPr>
        <w:divId w:val="1302661180"/>
        <w:rPr>
          <w:rFonts w:eastAsia="Times New Roman"/>
          <w:sz w:val="30"/>
          <w:szCs w:val="30"/>
          <w:lang w:val="es-ES"/>
        </w:rPr>
      </w:pPr>
      <w:r>
        <w:rPr>
          <w:rFonts w:eastAsia="Times New Roman"/>
          <w:sz w:val="30"/>
          <w:szCs w:val="30"/>
          <w:lang w:val="es-ES"/>
        </w:rPr>
        <w:t xml:space="preserve">Art. 275.- </w:t>
      </w:r>
      <w:r>
        <w:rPr>
          <w:rFonts w:eastAsia="Times New Roman"/>
          <w:b/>
          <w:bCs/>
          <w:sz w:val="30"/>
          <w:szCs w:val="30"/>
          <w:lang w:val="es-ES"/>
        </w:rPr>
        <w:t xml:space="preserve">Sanción por actividades no autorizadas. </w:t>
      </w:r>
      <w:r>
        <w:rPr>
          <w:rFonts w:eastAsia="Times New Roman"/>
          <w:sz w:val="30"/>
          <w:szCs w:val="30"/>
          <w:lang w:val="es-ES"/>
        </w:rPr>
        <w:t>La Superintendencia de Economía Popular y Solidaria, respecto de las entidades de la economía popular y solidaria que sean presuntos infractores de la prohibición general determinada en el ar</w:t>
      </w:r>
      <w:r>
        <w:rPr>
          <w:rFonts w:eastAsia="Times New Roman"/>
          <w:sz w:val="30"/>
          <w:szCs w:val="30"/>
          <w:lang w:val="es-ES"/>
        </w:rPr>
        <w:t>tículo 254, tendrá las mismas facultades de inspección que este Código le confiere respecto de las entidades del sector financiero popular y solidario.</w:t>
      </w:r>
      <w:r>
        <w:rPr>
          <w:rFonts w:eastAsia="Times New Roman"/>
          <w:sz w:val="30"/>
          <w:szCs w:val="30"/>
          <w:lang w:val="es-ES"/>
        </w:rPr>
        <w:br/>
      </w:r>
      <w:r>
        <w:rPr>
          <w:rFonts w:eastAsia="Times New Roman"/>
          <w:sz w:val="30"/>
          <w:szCs w:val="30"/>
          <w:lang w:val="es-ES"/>
        </w:rPr>
        <w:br/>
        <w:t>La Superintendencia de Bancos tendrá, respecto de las personas que no formen parte de la economía popul</w:t>
      </w:r>
      <w:r>
        <w:rPr>
          <w:rFonts w:eastAsia="Times New Roman"/>
          <w:sz w:val="30"/>
          <w:szCs w:val="30"/>
          <w:lang w:val="es-ES"/>
        </w:rPr>
        <w:t>ar y solidaria y sean presuntos infractores de la prohibición general determinada en el artículo 254, las mismas facultades de inspección que este Código le confiere respecto de las entidades financieras.</w:t>
      </w:r>
      <w:r>
        <w:rPr>
          <w:rFonts w:eastAsia="Times New Roman"/>
          <w:sz w:val="30"/>
          <w:szCs w:val="30"/>
          <w:lang w:val="es-ES"/>
        </w:rPr>
        <w:br/>
      </w:r>
      <w:r>
        <w:rPr>
          <w:rFonts w:eastAsia="Times New Roman"/>
          <w:sz w:val="30"/>
          <w:szCs w:val="30"/>
          <w:lang w:val="es-ES"/>
        </w:rPr>
        <w:br/>
        <w:t>En estos casos, los organismos de control dispondr</w:t>
      </w:r>
      <w:r>
        <w:rPr>
          <w:rFonts w:eastAsia="Times New Roman"/>
          <w:sz w:val="30"/>
          <w:szCs w:val="30"/>
          <w:lang w:val="es-ES"/>
        </w:rPr>
        <w:t xml:space="preserve">án la suspensión inmediata de las actividades, el cierre de oficinas, notificará a la Fiscalía General del Estado y dispondrá cualquier otra medida </w:t>
      </w:r>
      <w:r>
        <w:rPr>
          <w:rFonts w:eastAsia="Times New Roman"/>
          <w:sz w:val="30"/>
          <w:szCs w:val="30"/>
          <w:lang w:val="es-ES"/>
        </w:rPr>
        <w:lastRenderedPageBreak/>
        <w:t>precautelatoria tendiente a proteger los intereses de las personas. Estas transgresiones serán sancionadas a</w:t>
      </w:r>
      <w:r>
        <w:rPr>
          <w:rFonts w:eastAsia="Times New Roman"/>
          <w:sz w:val="30"/>
          <w:szCs w:val="30"/>
          <w:lang w:val="es-ES"/>
        </w:rPr>
        <w:t>dministrativamente con una multa entre quinientos y dos mil quinientos salarios básicos unificados, sin perjuicio de la responsabilidad civil y penal.</w:t>
      </w:r>
    </w:p>
    <w:p w:rsidR="00000000" w:rsidRDefault="0018461E">
      <w:pPr>
        <w:divId w:val="1669096507"/>
        <w:rPr>
          <w:rFonts w:eastAsia="Times New Roman"/>
          <w:sz w:val="30"/>
          <w:szCs w:val="30"/>
          <w:lang w:val="es-ES"/>
        </w:rPr>
      </w:pPr>
      <w:r>
        <w:rPr>
          <w:rFonts w:eastAsia="Times New Roman"/>
          <w:sz w:val="30"/>
          <w:szCs w:val="30"/>
          <w:lang w:val="es-ES"/>
        </w:rPr>
        <w:t xml:space="preserve">Art. 276.- </w:t>
      </w:r>
      <w:r>
        <w:rPr>
          <w:rFonts w:eastAsia="Times New Roman"/>
          <w:b/>
          <w:bCs/>
          <w:sz w:val="30"/>
          <w:szCs w:val="30"/>
          <w:lang w:val="es-ES"/>
        </w:rPr>
        <w:t xml:space="preserve">Competencia de las superintendencias. </w:t>
      </w:r>
      <w:r>
        <w:rPr>
          <w:rFonts w:eastAsia="Times New Roman"/>
          <w:sz w:val="30"/>
          <w:szCs w:val="30"/>
          <w:lang w:val="es-ES"/>
        </w:rPr>
        <w:t>La competencia para sancionar las infracciones de las en</w:t>
      </w:r>
      <w:r>
        <w:rPr>
          <w:rFonts w:eastAsia="Times New Roman"/>
          <w:sz w:val="30"/>
          <w:szCs w:val="30"/>
          <w:lang w:val="es-ES"/>
        </w:rPr>
        <w:t>tidades financieras de los sectores público y privado, sus accionistas, administradores, funcionarios o empleados, auditores interno y externo, firmas calificadoras de riesgo, peritos valuadores y otros que efectúen servicios de apoyo a la supervisión, cor</w:t>
      </w:r>
      <w:r>
        <w:rPr>
          <w:rFonts w:eastAsia="Times New Roman"/>
          <w:sz w:val="30"/>
          <w:szCs w:val="30"/>
          <w:lang w:val="es-ES"/>
        </w:rPr>
        <w:t>responde a la Superintendencia de Bancos.</w:t>
      </w:r>
      <w:r>
        <w:rPr>
          <w:rFonts w:eastAsia="Times New Roman"/>
          <w:sz w:val="30"/>
          <w:szCs w:val="30"/>
          <w:lang w:val="es-ES"/>
        </w:rPr>
        <w:br/>
      </w:r>
      <w:r>
        <w:rPr>
          <w:rFonts w:eastAsia="Times New Roman"/>
          <w:sz w:val="30"/>
          <w:szCs w:val="30"/>
          <w:lang w:val="es-ES"/>
        </w:rPr>
        <w:br/>
        <w:t>La competencia para sancionar las infracciones de las entidades del sector financiero popular y solidario, sus administradores, funcionarios o empleados, auditores interno y externo, firmas calificadoras de riesgo</w:t>
      </w:r>
      <w:r>
        <w:rPr>
          <w:rFonts w:eastAsia="Times New Roman"/>
          <w:sz w:val="30"/>
          <w:szCs w:val="30"/>
          <w:lang w:val="es-ES"/>
        </w:rPr>
        <w:t>, peritos valuadores y otros que efectúen servicios de apoyo a la supervisión, corresponde a la Superintendencia de la Economía Popular y Solidaria.</w:t>
      </w:r>
      <w:r>
        <w:rPr>
          <w:rFonts w:eastAsia="Times New Roman"/>
          <w:sz w:val="30"/>
          <w:szCs w:val="30"/>
          <w:lang w:val="es-ES"/>
        </w:rPr>
        <w:br/>
      </w:r>
      <w:r>
        <w:rPr>
          <w:rFonts w:eastAsia="Times New Roman"/>
          <w:sz w:val="30"/>
          <w:szCs w:val="30"/>
          <w:lang w:val="es-ES"/>
        </w:rPr>
        <w:br/>
        <w:t>La competencia para sancionar las infracciones de las entidades no financieras que otorgan crédito, sus ad</w:t>
      </w:r>
      <w:r>
        <w:rPr>
          <w:rFonts w:eastAsia="Times New Roman"/>
          <w:sz w:val="30"/>
          <w:szCs w:val="30"/>
          <w:lang w:val="es-ES"/>
        </w:rPr>
        <w:t>ministradores, funcionarios o empleados y otros que efectúen servicios de apoyo a la supervisión, corresponde a la Superintendencia de Compañías, Valores y Seguros y a la Superintendencia de Economía Popular y Solidaria, según el caso.</w:t>
      </w:r>
      <w:r>
        <w:rPr>
          <w:rFonts w:eastAsia="Times New Roman"/>
          <w:sz w:val="30"/>
          <w:szCs w:val="30"/>
          <w:lang w:val="es-ES"/>
        </w:rPr>
        <w:br/>
      </w:r>
      <w:r>
        <w:rPr>
          <w:rFonts w:eastAsia="Times New Roman"/>
          <w:sz w:val="30"/>
          <w:szCs w:val="30"/>
          <w:lang w:val="es-ES"/>
        </w:rPr>
        <w:br/>
        <w:t>Las superintendenci</w:t>
      </w:r>
      <w:r>
        <w:rPr>
          <w:rFonts w:eastAsia="Times New Roman"/>
          <w:sz w:val="30"/>
          <w:szCs w:val="30"/>
          <w:lang w:val="es-ES"/>
        </w:rPr>
        <w:t>as, en el ámbito de sus funciones, tendrán competencia para sancionar a cualquier persona natural o jurídica que, sin tener las calidades indicadas en los párrafos que anteceden, cometiesen infracciones a este Código, las regulaciones emitidas por la Junta</w:t>
      </w:r>
      <w:r>
        <w:rPr>
          <w:rFonts w:eastAsia="Times New Roman"/>
          <w:sz w:val="30"/>
          <w:szCs w:val="30"/>
          <w:lang w:val="es-ES"/>
        </w:rPr>
        <w:t xml:space="preserve"> o las normas expedidas por los organismos de control.</w:t>
      </w:r>
      <w:r>
        <w:rPr>
          <w:rFonts w:eastAsia="Times New Roman"/>
          <w:sz w:val="30"/>
          <w:szCs w:val="30"/>
          <w:lang w:val="es-ES"/>
        </w:rPr>
        <w:br/>
      </w:r>
      <w:r>
        <w:rPr>
          <w:rFonts w:eastAsia="Times New Roman"/>
          <w:sz w:val="30"/>
          <w:szCs w:val="30"/>
          <w:lang w:val="es-ES"/>
        </w:rPr>
        <w:br/>
        <w:t>Las sanciones constarán en acto administrativo motivado.</w:t>
      </w:r>
      <w:r>
        <w:rPr>
          <w:rFonts w:eastAsia="Times New Roman"/>
          <w:sz w:val="30"/>
          <w:szCs w:val="30"/>
          <w:lang w:val="es-ES"/>
        </w:rPr>
        <w:br/>
      </w:r>
      <w:r>
        <w:rPr>
          <w:rFonts w:eastAsia="Times New Roman"/>
          <w:sz w:val="30"/>
          <w:szCs w:val="30"/>
          <w:lang w:val="es-ES"/>
        </w:rPr>
        <w:br/>
        <w:t>Las superintendencias podrán adoptar las medidas precautelatorias que consideren necesarias con el fin de salvaguardar los intereses de las pe</w:t>
      </w:r>
      <w:r>
        <w:rPr>
          <w:rFonts w:eastAsia="Times New Roman"/>
          <w:sz w:val="30"/>
          <w:szCs w:val="30"/>
          <w:lang w:val="es-ES"/>
        </w:rPr>
        <w:t>rsonas.</w:t>
      </w:r>
      <w:r>
        <w:rPr>
          <w:rFonts w:eastAsia="Times New Roman"/>
          <w:sz w:val="30"/>
          <w:szCs w:val="30"/>
          <w:lang w:val="es-ES"/>
        </w:rPr>
        <w:br/>
      </w:r>
      <w:r>
        <w:rPr>
          <w:rFonts w:eastAsia="Times New Roman"/>
          <w:sz w:val="30"/>
          <w:szCs w:val="30"/>
          <w:lang w:val="es-ES"/>
        </w:rPr>
        <w:br/>
        <w:t xml:space="preserve">Las superintendencias tienen la obligación de iniciar los procedimientos de investigación que correspondan, dentro del plazo de treinta días contados desde la recepción de cualquier denuncia </w:t>
      </w:r>
      <w:r>
        <w:rPr>
          <w:rFonts w:eastAsia="Times New Roman"/>
          <w:sz w:val="30"/>
          <w:szCs w:val="30"/>
          <w:lang w:val="es-ES"/>
        </w:rPr>
        <w:lastRenderedPageBreak/>
        <w:t>puesta en su conocimiento por la Junta de Política y Reg</w:t>
      </w:r>
      <w:r>
        <w:rPr>
          <w:rFonts w:eastAsia="Times New Roman"/>
          <w:sz w:val="30"/>
          <w:szCs w:val="30"/>
          <w:lang w:val="es-ES"/>
        </w:rPr>
        <w:t>ulación Monetaria y Financiera. La inobservancia de esta obligación causará las responsabilidades administrativas, civiles o penales que correspondan.</w:t>
      </w:r>
    </w:p>
    <w:p w:rsidR="00000000" w:rsidRDefault="0018461E">
      <w:pPr>
        <w:divId w:val="1210991358"/>
        <w:rPr>
          <w:rFonts w:eastAsia="Times New Roman"/>
          <w:sz w:val="30"/>
          <w:szCs w:val="30"/>
          <w:lang w:val="es-ES"/>
        </w:rPr>
      </w:pPr>
      <w:r>
        <w:rPr>
          <w:rFonts w:eastAsia="Times New Roman"/>
          <w:sz w:val="30"/>
          <w:szCs w:val="30"/>
          <w:lang w:val="es-ES"/>
        </w:rPr>
        <w:t xml:space="preserve">Art. 277.- </w:t>
      </w:r>
      <w:r>
        <w:rPr>
          <w:rFonts w:eastAsia="Times New Roman"/>
          <w:b/>
          <w:bCs/>
          <w:sz w:val="30"/>
          <w:szCs w:val="30"/>
          <w:lang w:val="es-ES"/>
        </w:rPr>
        <w:t xml:space="preserve">Procedimiento administrativo sancionador. </w:t>
      </w:r>
      <w:r>
        <w:rPr>
          <w:rFonts w:eastAsia="Times New Roman"/>
          <w:sz w:val="30"/>
          <w:szCs w:val="30"/>
          <w:lang w:val="es-ES"/>
        </w:rPr>
        <w:t>Las superintendencias sancionarán observando el sigu</w:t>
      </w:r>
      <w:r>
        <w:rPr>
          <w:rFonts w:eastAsia="Times New Roman"/>
          <w:sz w:val="30"/>
          <w:szCs w:val="30"/>
          <w:lang w:val="es-ES"/>
        </w:rPr>
        <w:t>iente procedimiento:</w:t>
      </w:r>
      <w:r>
        <w:rPr>
          <w:rFonts w:eastAsia="Times New Roman"/>
          <w:sz w:val="30"/>
          <w:szCs w:val="30"/>
          <w:lang w:val="es-ES"/>
        </w:rPr>
        <w:br/>
      </w:r>
      <w:r>
        <w:rPr>
          <w:rFonts w:eastAsia="Times New Roman"/>
          <w:sz w:val="30"/>
          <w:szCs w:val="30"/>
          <w:lang w:val="es-ES"/>
        </w:rPr>
        <w:br/>
        <w:t>1. Identificación de la infracción;</w:t>
      </w:r>
      <w:r>
        <w:rPr>
          <w:rFonts w:eastAsia="Times New Roman"/>
          <w:sz w:val="30"/>
          <w:szCs w:val="30"/>
          <w:lang w:val="es-ES"/>
        </w:rPr>
        <w:br/>
      </w:r>
      <w:r>
        <w:rPr>
          <w:rFonts w:eastAsia="Times New Roman"/>
          <w:sz w:val="30"/>
          <w:szCs w:val="30"/>
          <w:lang w:val="es-ES"/>
        </w:rPr>
        <w:br/>
        <w:t>2. Notificación de la infracción en el término de hasta diez días desde su identificación, con lo cual se da inicio al procedimiento administrativo sancionador;</w:t>
      </w:r>
      <w:r>
        <w:rPr>
          <w:rFonts w:eastAsia="Times New Roman"/>
          <w:sz w:val="30"/>
          <w:szCs w:val="30"/>
          <w:lang w:val="es-ES"/>
        </w:rPr>
        <w:br/>
      </w:r>
      <w:r>
        <w:rPr>
          <w:rFonts w:eastAsia="Times New Roman"/>
          <w:sz w:val="30"/>
          <w:szCs w:val="30"/>
          <w:lang w:val="es-ES"/>
        </w:rPr>
        <w:br/>
        <w:t xml:space="preserve">3. Una vez notificado, el presunto </w:t>
      </w:r>
      <w:r>
        <w:rPr>
          <w:rFonts w:eastAsia="Times New Roman"/>
          <w:sz w:val="30"/>
          <w:szCs w:val="30"/>
          <w:lang w:val="es-ES"/>
        </w:rPr>
        <w:t>infractor en el término de diez días, podrá presentar todas las pruebas legales de las que se crea asistido. Este término podrá prorrogarse por una sola vez y a pedido de parte, por el término de cinco días adicionales;</w:t>
      </w:r>
      <w:r>
        <w:rPr>
          <w:rFonts w:eastAsia="Times New Roman"/>
          <w:sz w:val="30"/>
          <w:szCs w:val="30"/>
          <w:lang w:val="es-ES"/>
        </w:rPr>
        <w:br/>
      </w:r>
      <w:r>
        <w:rPr>
          <w:rFonts w:eastAsia="Times New Roman"/>
          <w:sz w:val="30"/>
          <w:szCs w:val="30"/>
          <w:lang w:val="es-ES"/>
        </w:rPr>
        <w:br/>
        <w:t>4. Las pruebas presentadas serán pr</w:t>
      </w:r>
      <w:r>
        <w:rPr>
          <w:rFonts w:eastAsia="Times New Roman"/>
          <w:sz w:val="30"/>
          <w:szCs w:val="30"/>
          <w:lang w:val="es-ES"/>
        </w:rPr>
        <w:t>ocesadas por el organismo de control, quien las valorará según las reglas de la sana crítica dentro del término de veinte días, pudiendo requerir dentro de este término lo informes técnicos y jurídicos que considere necesarios. Este término podrá ser ampli</w:t>
      </w:r>
      <w:r>
        <w:rPr>
          <w:rFonts w:eastAsia="Times New Roman"/>
          <w:sz w:val="30"/>
          <w:szCs w:val="30"/>
          <w:lang w:val="es-ES"/>
        </w:rPr>
        <w:t>ado por una sola vez, por el término quince días adicionales;</w:t>
      </w:r>
      <w:r>
        <w:rPr>
          <w:rFonts w:eastAsia="Times New Roman"/>
          <w:sz w:val="30"/>
          <w:szCs w:val="30"/>
          <w:lang w:val="es-ES"/>
        </w:rPr>
        <w:br/>
      </w:r>
      <w:r>
        <w:rPr>
          <w:rFonts w:eastAsia="Times New Roman"/>
          <w:sz w:val="30"/>
          <w:szCs w:val="30"/>
          <w:lang w:val="es-ES"/>
        </w:rPr>
        <w:br/>
        <w:t>5. Concluido el término indicado en el numeral precedente, el organismo de control, en forma motivada dictará la resolución que corresponda;</w:t>
      </w:r>
      <w:r>
        <w:rPr>
          <w:rFonts w:eastAsia="Times New Roman"/>
          <w:sz w:val="30"/>
          <w:szCs w:val="30"/>
          <w:lang w:val="es-ES"/>
        </w:rPr>
        <w:br/>
      </w:r>
      <w:r>
        <w:rPr>
          <w:rFonts w:eastAsia="Times New Roman"/>
          <w:sz w:val="30"/>
          <w:szCs w:val="30"/>
          <w:lang w:val="es-ES"/>
        </w:rPr>
        <w:br/>
        <w:t>6. La resolución será notificada por el organismo d</w:t>
      </w:r>
      <w:r>
        <w:rPr>
          <w:rFonts w:eastAsia="Times New Roman"/>
          <w:sz w:val="30"/>
          <w:szCs w:val="30"/>
          <w:lang w:val="es-ES"/>
        </w:rPr>
        <w:t>e control en el término de tres días desde la fecha de su expedición; y,</w:t>
      </w:r>
      <w:r>
        <w:rPr>
          <w:rFonts w:eastAsia="Times New Roman"/>
          <w:sz w:val="30"/>
          <w:szCs w:val="30"/>
          <w:lang w:val="es-ES"/>
        </w:rPr>
        <w:br/>
      </w:r>
      <w:r>
        <w:rPr>
          <w:rFonts w:eastAsia="Times New Roman"/>
          <w:sz w:val="30"/>
          <w:szCs w:val="30"/>
          <w:lang w:val="es-ES"/>
        </w:rPr>
        <w:br/>
        <w:t>7. Durante la sustanciación del procedimiento administrativo sancionador, las partes podrán acceder al expediente sin restricción alguna.</w:t>
      </w:r>
      <w:r>
        <w:rPr>
          <w:rFonts w:eastAsia="Times New Roman"/>
          <w:sz w:val="30"/>
          <w:szCs w:val="30"/>
          <w:lang w:val="es-ES"/>
        </w:rPr>
        <w:br/>
      </w:r>
      <w:r>
        <w:rPr>
          <w:rFonts w:eastAsia="Times New Roman"/>
          <w:sz w:val="30"/>
          <w:szCs w:val="30"/>
          <w:lang w:val="es-ES"/>
        </w:rPr>
        <w:br/>
        <w:t>El incumplimiento de los términos indicados</w:t>
      </w:r>
      <w:r>
        <w:rPr>
          <w:rFonts w:eastAsia="Times New Roman"/>
          <w:sz w:val="30"/>
          <w:szCs w:val="30"/>
          <w:lang w:val="es-ES"/>
        </w:rPr>
        <w:t xml:space="preserve"> en este artículo será causal de destitución del servidor público responsable.</w:t>
      </w:r>
    </w:p>
    <w:p w:rsidR="00000000" w:rsidRDefault="0018461E">
      <w:pPr>
        <w:divId w:val="581643008"/>
        <w:rPr>
          <w:rFonts w:eastAsia="Times New Roman"/>
          <w:sz w:val="30"/>
          <w:szCs w:val="30"/>
          <w:lang w:val="es-ES"/>
        </w:rPr>
      </w:pPr>
      <w:r>
        <w:rPr>
          <w:rFonts w:eastAsia="Times New Roman"/>
          <w:sz w:val="30"/>
          <w:szCs w:val="30"/>
          <w:lang w:val="es-ES"/>
        </w:rPr>
        <w:t xml:space="preserve">Art. 278.- </w:t>
      </w:r>
      <w:r>
        <w:rPr>
          <w:rFonts w:eastAsia="Times New Roman"/>
          <w:b/>
          <w:bCs/>
          <w:sz w:val="30"/>
          <w:szCs w:val="30"/>
          <w:lang w:val="es-ES"/>
        </w:rPr>
        <w:t xml:space="preserve">Impugnación. </w:t>
      </w:r>
      <w:r>
        <w:rPr>
          <w:rFonts w:eastAsia="Times New Roman"/>
          <w:sz w:val="30"/>
          <w:szCs w:val="30"/>
          <w:lang w:val="es-ES"/>
        </w:rPr>
        <w:t xml:space="preserve">Los actos sancionatorios podrán ser impugnados en sede administrativa o en sede judicial ante las salas de </w:t>
      </w:r>
      <w:r>
        <w:rPr>
          <w:rFonts w:eastAsia="Times New Roman"/>
          <w:sz w:val="30"/>
          <w:szCs w:val="30"/>
          <w:lang w:val="es-ES"/>
        </w:rPr>
        <w:lastRenderedPageBreak/>
        <w:t>lo contencioso administrativo, sin perjuicio d</w:t>
      </w:r>
      <w:r>
        <w:rPr>
          <w:rFonts w:eastAsia="Times New Roman"/>
          <w:sz w:val="30"/>
          <w:szCs w:val="30"/>
          <w:lang w:val="es-ES"/>
        </w:rPr>
        <w:t>e las demás acciones determinadas en la ley.</w:t>
      </w:r>
      <w:r>
        <w:rPr>
          <w:rFonts w:eastAsia="Times New Roman"/>
          <w:sz w:val="30"/>
          <w:szCs w:val="30"/>
          <w:lang w:val="es-ES"/>
        </w:rPr>
        <w:br/>
      </w:r>
      <w:r>
        <w:rPr>
          <w:rFonts w:eastAsia="Times New Roman"/>
          <w:sz w:val="30"/>
          <w:szCs w:val="30"/>
          <w:lang w:val="es-ES"/>
        </w:rPr>
        <w:br/>
        <w:t>La sola interposición de un reclamo, recurso o una acción judicial no suspende los efectos del acto sancionador.</w:t>
      </w:r>
      <w:r>
        <w:rPr>
          <w:rFonts w:eastAsia="Times New Roman"/>
          <w:sz w:val="30"/>
          <w:szCs w:val="30"/>
          <w:lang w:val="es-ES"/>
        </w:rPr>
        <w:br/>
      </w:r>
      <w:r>
        <w:rPr>
          <w:rFonts w:eastAsia="Times New Roman"/>
          <w:sz w:val="30"/>
          <w:szCs w:val="30"/>
          <w:lang w:val="es-ES"/>
        </w:rPr>
        <w:br/>
        <w:t>Para la presentación de un reclamo o recurso por la imposición de sanciones pecuniarias, el recu</w:t>
      </w:r>
      <w:r>
        <w:rPr>
          <w:rFonts w:eastAsia="Times New Roman"/>
          <w:sz w:val="30"/>
          <w:szCs w:val="30"/>
          <w:lang w:val="es-ES"/>
        </w:rPr>
        <w:t>rrente deberá previamente consignar el valor de la multa impuesta.</w:t>
      </w:r>
    </w:p>
    <w:p w:rsidR="00000000" w:rsidRDefault="0018461E">
      <w:pPr>
        <w:divId w:val="769664018"/>
        <w:rPr>
          <w:rFonts w:eastAsia="Times New Roman"/>
          <w:sz w:val="30"/>
          <w:szCs w:val="30"/>
          <w:lang w:val="es-ES"/>
        </w:rPr>
      </w:pPr>
      <w:r>
        <w:rPr>
          <w:rFonts w:eastAsia="Times New Roman"/>
          <w:sz w:val="30"/>
          <w:szCs w:val="30"/>
          <w:lang w:val="es-ES"/>
        </w:rPr>
        <w:t xml:space="preserve">Art. 279.- </w:t>
      </w:r>
      <w:r>
        <w:rPr>
          <w:rFonts w:eastAsia="Times New Roman"/>
          <w:b/>
          <w:bCs/>
          <w:sz w:val="30"/>
          <w:szCs w:val="30"/>
          <w:lang w:val="es-ES"/>
        </w:rPr>
        <w:t xml:space="preserve">Sanción por otras entidades. </w:t>
      </w:r>
      <w:r>
        <w:rPr>
          <w:rFonts w:eastAsia="Times New Roman"/>
          <w:sz w:val="30"/>
          <w:szCs w:val="30"/>
          <w:lang w:val="es-ES"/>
        </w:rPr>
        <w:t>La transgresión a las prohibiciones señaladas en el artículo 255 será sancionada por los respectivos órganos de control, en el ámbito de sus competen</w:t>
      </w:r>
      <w:r>
        <w:rPr>
          <w:rFonts w:eastAsia="Times New Roman"/>
          <w:sz w:val="30"/>
          <w:szCs w:val="30"/>
          <w:lang w:val="es-ES"/>
        </w:rPr>
        <w:t>cias.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12 </w:t>
      </w:r>
      <w:r>
        <w:rPr>
          <w:rFonts w:eastAsia="Times New Roman"/>
          <w:b/>
          <w:bCs/>
          <w:sz w:val="36"/>
          <w:szCs w:val="36"/>
          <w:lang w:val="es-ES"/>
        </w:rPr>
        <w:br/>
        <w:t>DE LA SUPERVISIÓN</w:t>
      </w:r>
    </w:p>
    <w:p w:rsidR="00000000" w:rsidRDefault="0018461E">
      <w:pPr>
        <w:divId w:val="1178152220"/>
        <w:rPr>
          <w:rFonts w:eastAsia="Times New Roman"/>
          <w:sz w:val="30"/>
          <w:szCs w:val="30"/>
          <w:lang w:val="es-ES"/>
        </w:rPr>
      </w:pPr>
      <w:r>
        <w:rPr>
          <w:rFonts w:eastAsia="Times New Roman"/>
          <w:sz w:val="30"/>
          <w:szCs w:val="30"/>
          <w:lang w:val="es-ES"/>
        </w:rPr>
        <w:t xml:space="preserve">Art. 280.- </w:t>
      </w:r>
      <w:r>
        <w:rPr>
          <w:rFonts w:eastAsia="Times New Roman"/>
          <w:b/>
          <w:bCs/>
          <w:sz w:val="30"/>
          <w:szCs w:val="30"/>
          <w:lang w:val="es-ES"/>
        </w:rPr>
        <w:t xml:space="preserve">Supervisión. </w:t>
      </w:r>
      <w:r>
        <w:rPr>
          <w:rFonts w:eastAsia="Times New Roman"/>
          <w:sz w:val="30"/>
          <w:szCs w:val="30"/>
          <w:lang w:val="es-ES"/>
        </w:rPr>
        <w:t>Los organismos de control previstos en este Código, en el ámbito de sus competencias, están obligados a efectuar un proceso de supervisión permanente, in situ y extra situ, a las entidades financ</w:t>
      </w:r>
      <w:r>
        <w:rPr>
          <w:rFonts w:eastAsia="Times New Roman"/>
          <w:sz w:val="30"/>
          <w:szCs w:val="30"/>
          <w:lang w:val="es-ES"/>
        </w:rPr>
        <w:t>ieras, que permita determinar la situación económica y financiera de las entidades, el manejo de sus negocios, evaluar la calidad y control de la gestión de riesgo, el sistema de control interno, el adecuado marco del gobierno corporativo o cooperativo, ve</w:t>
      </w:r>
      <w:r>
        <w:rPr>
          <w:rFonts w:eastAsia="Times New Roman"/>
          <w:sz w:val="30"/>
          <w:szCs w:val="30"/>
          <w:lang w:val="es-ES"/>
        </w:rPr>
        <w:t>rificar la veracidad de la información que generan y los demás aspectos que garanticen el adecuado funcionamiento de las entidades y del sistema.</w:t>
      </w:r>
      <w:r>
        <w:rPr>
          <w:rFonts w:eastAsia="Times New Roman"/>
          <w:sz w:val="30"/>
          <w:szCs w:val="30"/>
          <w:lang w:val="es-ES"/>
        </w:rPr>
        <w:br/>
      </w:r>
      <w:r>
        <w:rPr>
          <w:rFonts w:eastAsia="Times New Roman"/>
          <w:sz w:val="30"/>
          <w:szCs w:val="30"/>
          <w:lang w:val="es-ES"/>
        </w:rPr>
        <w:br/>
        <w:t>La determinación de los tipos de supervisión señalados en esta sección y su implementación serán reservadas y</w:t>
      </w:r>
      <w:r>
        <w:rPr>
          <w:rFonts w:eastAsia="Times New Roman"/>
          <w:sz w:val="30"/>
          <w:szCs w:val="30"/>
          <w:lang w:val="es-ES"/>
        </w:rPr>
        <w:t xml:space="preserve"> de exclusiva potestad de los organismos de control y no será sujeta de impugnación por parte de las entidades controladas.</w:t>
      </w:r>
    </w:p>
    <w:p w:rsidR="00000000" w:rsidRDefault="0018461E">
      <w:pPr>
        <w:divId w:val="429200969"/>
        <w:rPr>
          <w:rFonts w:eastAsia="Times New Roman"/>
          <w:sz w:val="30"/>
          <w:szCs w:val="30"/>
          <w:lang w:val="es-ES"/>
        </w:rPr>
      </w:pPr>
      <w:r>
        <w:rPr>
          <w:rFonts w:eastAsia="Times New Roman"/>
          <w:sz w:val="30"/>
          <w:szCs w:val="30"/>
          <w:lang w:val="es-ES"/>
        </w:rPr>
        <w:t xml:space="preserve">Art. 281.- </w:t>
      </w:r>
      <w:r>
        <w:rPr>
          <w:rFonts w:eastAsia="Times New Roman"/>
          <w:b/>
          <w:bCs/>
          <w:sz w:val="30"/>
          <w:szCs w:val="30"/>
          <w:lang w:val="es-ES"/>
        </w:rPr>
        <w:t xml:space="preserve">Supervisión preventiva. </w:t>
      </w:r>
      <w:r>
        <w:rPr>
          <w:rFonts w:eastAsia="Times New Roman"/>
          <w:sz w:val="30"/>
          <w:szCs w:val="30"/>
          <w:lang w:val="es-ES"/>
        </w:rPr>
        <w:t>Consiste en la supervisión que se aplica a las entidades financieras determinadas por el organism</w:t>
      </w:r>
      <w:r>
        <w:rPr>
          <w:rFonts w:eastAsia="Times New Roman"/>
          <w:sz w:val="30"/>
          <w:szCs w:val="30"/>
          <w:lang w:val="es-ES"/>
        </w:rPr>
        <w:t>o de control correspondiente como de muy bajo o bajo perfil de riesgo, entendiéndose como tales a aquellas entidades cuya condición económico - financiera, calidad de gobierno corporativo o cooperativo y de gestión de riesgos, entre otras condiciones que d</w:t>
      </w:r>
      <w:r>
        <w:rPr>
          <w:rFonts w:eastAsia="Times New Roman"/>
          <w:sz w:val="30"/>
          <w:szCs w:val="30"/>
          <w:lang w:val="es-ES"/>
        </w:rPr>
        <w:t>etermine el organismo de control, se consideran suficientes para el tamaño y complejidad de sus operaciones o que presentan recomendaciones menores que no generan una preocupación significativa para el supervisor.</w:t>
      </w:r>
    </w:p>
    <w:p w:rsidR="00000000" w:rsidRDefault="0018461E">
      <w:pPr>
        <w:divId w:val="2143308153"/>
        <w:rPr>
          <w:rFonts w:eastAsia="Times New Roman"/>
          <w:sz w:val="30"/>
          <w:szCs w:val="30"/>
          <w:lang w:val="es-ES"/>
        </w:rPr>
      </w:pPr>
      <w:r>
        <w:rPr>
          <w:rFonts w:eastAsia="Times New Roman"/>
          <w:sz w:val="30"/>
          <w:szCs w:val="30"/>
          <w:lang w:val="es-ES"/>
        </w:rPr>
        <w:lastRenderedPageBreak/>
        <w:t xml:space="preserve">Art. 282.- </w:t>
      </w:r>
      <w:r>
        <w:rPr>
          <w:rFonts w:eastAsia="Times New Roman"/>
          <w:b/>
          <w:bCs/>
          <w:sz w:val="30"/>
          <w:szCs w:val="30"/>
          <w:lang w:val="es-ES"/>
        </w:rPr>
        <w:t xml:space="preserve">Supervisión correctiva. </w:t>
      </w:r>
      <w:r>
        <w:rPr>
          <w:rFonts w:eastAsia="Times New Roman"/>
          <w:sz w:val="30"/>
          <w:szCs w:val="30"/>
          <w:lang w:val="es-ES"/>
        </w:rPr>
        <w:t>Consist</w:t>
      </w:r>
      <w:r>
        <w:rPr>
          <w:rFonts w:eastAsia="Times New Roman"/>
          <w:sz w:val="30"/>
          <w:szCs w:val="30"/>
          <w:lang w:val="es-ES"/>
        </w:rPr>
        <w:t>e en la supervisión que se aplica a las entidades financieras determinadas por el organismo de control correspondiente como de perfil de riesgo medio, entendiéndose como tales a aquellas entidades cuya condición económico -financiera, calidad de gobierno c</w:t>
      </w:r>
      <w:r>
        <w:rPr>
          <w:rFonts w:eastAsia="Times New Roman"/>
          <w:sz w:val="30"/>
          <w:szCs w:val="30"/>
          <w:lang w:val="es-ES"/>
        </w:rPr>
        <w:t xml:space="preserve">orporativo o cooperativo, o de gestión de riesgos, entre otras condiciones que determine el organismo de control, evidencian debilidades de moderadas a significativas frente al tamaño y complejidad de sus operaciones y que ameritan un estricto seguimiento </w:t>
      </w:r>
      <w:r>
        <w:rPr>
          <w:rFonts w:eastAsia="Times New Roman"/>
          <w:sz w:val="30"/>
          <w:szCs w:val="30"/>
          <w:lang w:val="es-ES"/>
        </w:rPr>
        <w:t>de las recomendaciones del supervisor.</w:t>
      </w:r>
    </w:p>
    <w:p w:rsidR="00000000" w:rsidRDefault="0018461E">
      <w:pPr>
        <w:divId w:val="1110901512"/>
        <w:rPr>
          <w:rFonts w:eastAsia="Times New Roman"/>
          <w:sz w:val="30"/>
          <w:szCs w:val="30"/>
          <w:lang w:val="es-ES"/>
        </w:rPr>
      </w:pPr>
      <w:r>
        <w:rPr>
          <w:rFonts w:eastAsia="Times New Roman"/>
          <w:sz w:val="30"/>
          <w:szCs w:val="30"/>
          <w:lang w:val="es-ES"/>
        </w:rPr>
        <w:t xml:space="preserve">Art. 283.- </w:t>
      </w:r>
      <w:r>
        <w:rPr>
          <w:rFonts w:eastAsia="Times New Roman"/>
          <w:b/>
          <w:bCs/>
          <w:sz w:val="30"/>
          <w:szCs w:val="30"/>
          <w:lang w:val="es-ES"/>
        </w:rPr>
        <w:t xml:space="preserve">Supervisión intensiva. </w:t>
      </w:r>
      <w:r>
        <w:rPr>
          <w:rFonts w:eastAsia="Times New Roman"/>
          <w:sz w:val="30"/>
          <w:szCs w:val="30"/>
          <w:lang w:val="es-ES"/>
        </w:rPr>
        <w:t>Consiste en la supervisión que se aplica a las entidades financieras determinadas por el organismo de control correspondiente como de perfil de riesgo alto y crítico, entendiéndose co</w:t>
      </w:r>
      <w:r>
        <w:rPr>
          <w:rFonts w:eastAsia="Times New Roman"/>
          <w:sz w:val="30"/>
          <w:szCs w:val="30"/>
          <w:lang w:val="es-ES"/>
        </w:rPr>
        <w:t>mo tales a aquellas entidades cuya condición económico -financiera, calidad de gobierno corporativo o cooperativo, o de gestión de riesgos, entre otras condiciones que determine el organismo de control, se consideran de inadecuadas a deficientes para el ta</w:t>
      </w:r>
      <w:r>
        <w:rPr>
          <w:rFonts w:eastAsia="Times New Roman"/>
          <w:sz w:val="30"/>
          <w:szCs w:val="30"/>
          <w:lang w:val="es-ES"/>
        </w:rPr>
        <w:t>maño y complejidad de sus operaciones, que requieren mejoras significativas o que presentan perspectivas claras de incumplir los requerimientos mínimos de solvencia o los han incumplido.</w:t>
      </w:r>
      <w:r>
        <w:rPr>
          <w:rFonts w:eastAsia="Times New Roman"/>
          <w:sz w:val="30"/>
          <w:szCs w:val="30"/>
          <w:lang w:val="es-ES"/>
        </w:rPr>
        <w:br/>
      </w:r>
      <w:r>
        <w:rPr>
          <w:rFonts w:eastAsia="Times New Roman"/>
          <w:sz w:val="30"/>
          <w:szCs w:val="30"/>
          <w:lang w:val="es-ES"/>
        </w:rPr>
        <w:br/>
        <w:t>La supervisión intensiva se realizará también a las entidades financ</w:t>
      </w:r>
      <w:r>
        <w:rPr>
          <w:rFonts w:eastAsia="Times New Roman"/>
          <w:sz w:val="30"/>
          <w:szCs w:val="30"/>
          <w:lang w:val="es-ES"/>
        </w:rPr>
        <w:t>ieras que registren pérdidas en los dos últimos trimestres o cuando la proyección de sus negocios indique que dentro de los dos trimestres siguientes podrían caer por debajo del nivel mínimo de patrimonio técnico requerido.</w:t>
      </w:r>
    </w:p>
    <w:p w:rsidR="00000000" w:rsidRDefault="0018461E">
      <w:pPr>
        <w:divId w:val="1677998193"/>
        <w:rPr>
          <w:rFonts w:eastAsia="Times New Roman"/>
          <w:sz w:val="30"/>
          <w:szCs w:val="30"/>
          <w:lang w:val="es-ES"/>
        </w:rPr>
      </w:pPr>
      <w:r>
        <w:rPr>
          <w:rFonts w:eastAsia="Times New Roman"/>
          <w:sz w:val="30"/>
          <w:szCs w:val="30"/>
          <w:lang w:val="es-ES"/>
        </w:rPr>
        <w:t xml:space="preserve">Art. 284.- </w:t>
      </w:r>
      <w:r>
        <w:rPr>
          <w:rFonts w:eastAsia="Times New Roman"/>
          <w:b/>
          <w:bCs/>
          <w:sz w:val="30"/>
          <w:szCs w:val="30"/>
          <w:lang w:val="es-ES"/>
        </w:rPr>
        <w:t>Programa de supervisi</w:t>
      </w:r>
      <w:r>
        <w:rPr>
          <w:rFonts w:eastAsia="Times New Roman"/>
          <w:b/>
          <w:bCs/>
          <w:sz w:val="30"/>
          <w:szCs w:val="30"/>
          <w:lang w:val="es-ES"/>
        </w:rPr>
        <w:t xml:space="preserve">ón intensiva. </w:t>
      </w:r>
      <w:r>
        <w:rPr>
          <w:rFonts w:eastAsia="Times New Roman"/>
          <w:sz w:val="30"/>
          <w:szCs w:val="30"/>
          <w:lang w:val="es-ES"/>
        </w:rPr>
        <w:t>La Superintendencia de Bancos o la Superintendencia de Economía Popular y Solidaria exigirán para su aprobación un programa de supervisión intensiva a las entidades con perfil de riesgo alto y crítico, el cual deberá incluir el conjunto de ac</w:t>
      </w:r>
      <w:r>
        <w:rPr>
          <w:rFonts w:eastAsia="Times New Roman"/>
          <w:sz w:val="30"/>
          <w:szCs w:val="30"/>
          <w:lang w:val="es-ES"/>
        </w:rPr>
        <w:t>ciones dispuestas por el organismo de control orientadas a resolver los problemas en los que incurra una entidad del sistema financiero nacional. El programa de supervisión intensiva será impuesto a la entidad por los organismos de control en cualquier mom</w:t>
      </w:r>
      <w:r>
        <w:rPr>
          <w:rFonts w:eastAsia="Times New Roman"/>
          <w:sz w:val="30"/>
          <w:szCs w:val="30"/>
          <w:lang w:val="es-ES"/>
        </w:rPr>
        <w:t>ento; el programa deberá ser preparado por la respectiva entidad financiera y presentado al correspondiente organismo de control para su aprobación, dentro del plazo que se fije para el efecto. Si la entidad financiera no hubiere presentado el programa den</w:t>
      </w:r>
      <w:r>
        <w:rPr>
          <w:rFonts w:eastAsia="Times New Roman"/>
          <w:sz w:val="30"/>
          <w:szCs w:val="30"/>
          <w:lang w:val="es-ES"/>
        </w:rPr>
        <w:t>tro del plazo fijado, el organismo de control lo preparará e impondrá su implementación.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el caso de una subsidiaria, el programa de supervisión intensiva deberá ser presentado por la entidad que hace cabeza del grupo financiero.</w:t>
      </w:r>
      <w:r>
        <w:rPr>
          <w:rFonts w:eastAsia="Times New Roman"/>
          <w:sz w:val="30"/>
          <w:szCs w:val="30"/>
          <w:lang w:val="es-ES"/>
        </w:rPr>
        <w:br/>
      </w:r>
      <w:r>
        <w:rPr>
          <w:rFonts w:eastAsia="Times New Roman"/>
          <w:sz w:val="30"/>
          <w:szCs w:val="30"/>
          <w:lang w:val="es-ES"/>
        </w:rPr>
        <w:br/>
        <w:t>El programa de supervi</w:t>
      </w:r>
      <w:r>
        <w:rPr>
          <w:rFonts w:eastAsia="Times New Roman"/>
          <w:sz w:val="30"/>
          <w:szCs w:val="30"/>
          <w:lang w:val="es-ES"/>
        </w:rPr>
        <w:t>sión intensiva contendrá los compromisos, obligaciones y plazos para llevar a cabo las actividades en él previstas, en ningún caso podrá tener un plazo superior a dos años y deberá detallar en un cronograma las acciones y medidas que tomará la entidad para</w:t>
      </w:r>
      <w:r>
        <w:rPr>
          <w:rFonts w:eastAsia="Times New Roman"/>
          <w:sz w:val="30"/>
          <w:szCs w:val="30"/>
          <w:lang w:val="es-ES"/>
        </w:rPr>
        <w:t xml:space="preserve"> solventar su situación. El programa deberá ser viable, con supuestos sustentables y deberá estar aprobado por el Directorio o el organismo que haga sus veces.</w:t>
      </w:r>
      <w:r>
        <w:rPr>
          <w:rFonts w:eastAsia="Times New Roman"/>
          <w:sz w:val="30"/>
          <w:szCs w:val="30"/>
          <w:lang w:val="es-ES"/>
        </w:rPr>
        <w:br/>
      </w:r>
      <w:r>
        <w:rPr>
          <w:rFonts w:eastAsia="Times New Roman"/>
          <w:sz w:val="30"/>
          <w:szCs w:val="30"/>
          <w:lang w:val="es-ES"/>
        </w:rPr>
        <w:br/>
        <w:t>El programa de supervisión intensiva por deficiencia patrimonial no podrá superar, bajo ninguna</w:t>
      </w:r>
      <w:r>
        <w:rPr>
          <w:rFonts w:eastAsia="Times New Roman"/>
          <w:sz w:val="30"/>
          <w:szCs w:val="30"/>
          <w:lang w:val="es-ES"/>
        </w:rPr>
        <w:t xml:space="preserve"> circunstancia, los trescientos sesenta días, de acuerdo con los plazos señalados en el artículo 192. Cumplido este plazo, y de persistir la deficiencia patrimonial, este hecho constituirá causal de liquidación forzosa de la entidad.</w:t>
      </w:r>
    </w:p>
    <w:p w:rsidR="00000000" w:rsidRDefault="0018461E">
      <w:pPr>
        <w:divId w:val="1755858065"/>
        <w:rPr>
          <w:rFonts w:eastAsia="Times New Roman"/>
          <w:sz w:val="30"/>
          <w:szCs w:val="30"/>
          <w:lang w:val="es-ES"/>
        </w:rPr>
      </w:pPr>
      <w:r>
        <w:rPr>
          <w:rFonts w:eastAsia="Times New Roman"/>
          <w:sz w:val="30"/>
          <w:szCs w:val="30"/>
          <w:lang w:val="es-ES"/>
        </w:rPr>
        <w:t xml:space="preserve">Art. 285.- </w:t>
      </w:r>
      <w:r>
        <w:rPr>
          <w:rFonts w:eastAsia="Times New Roman"/>
          <w:b/>
          <w:bCs/>
          <w:sz w:val="30"/>
          <w:szCs w:val="30"/>
          <w:lang w:val="es-ES"/>
        </w:rPr>
        <w:t>Control del</w:t>
      </w:r>
      <w:r>
        <w:rPr>
          <w:rFonts w:eastAsia="Times New Roman"/>
          <w:b/>
          <w:bCs/>
          <w:sz w:val="30"/>
          <w:szCs w:val="30"/>
          <w:lang w:val="es-ES"/>
        </w:rPr>
        <w:t xml:space="preserve"> programa de supervisión intensiva. </w:t>
      </w:r>
      <w:r>
        <w:rPr>
          <w:rFonts w:eastAsia="Times New Roman"/>
          <w:sz w:val="30"/>
          <w:szCs w:val="30"/>
          <w:lang w:val="es-ES"/>
        </w:rPr>
        <w:t>El cumplimiento de los programas de supervisión intensiva será verificado por los organismos de control de forma in situ y/o extra situ.</w:t>
      </w:r>
      <w:r>
        <w:rPr>
          <w:rFonts w:eastAsia="Times New Roman"/>
          <w:sz w:val="30"/>
          <w:szCs w:val="30"/>
          <w:lang w:val="es-ES"/>
        </w:rPr>
        <w:br/>
      </w:r>
      <w:r>
        <w:rPr>
          <w:rFonts w:eastAsia="Times New Roman"/>
          <w:sz w:val="30"/>
          <w:szCs w:val="30"/>
          <w:lang w:val="es-ES"/>
        </w:rPr>
        <w:br/>
        <w:t xml:space="preserve">Durante la ejecución del programa de supervisión intensiva, las superintendencias </w:t>
      </w:r>
      <w:r>
        <w:rPr>
          <w:rFonts w:eastAsia="Times New Roman"/>
          <w:sz w:val="30"/>
          <w:szCs w:val="30"/>
          <w:lang w:val="es-ES"/>
        </w:rPr>
        <w:t>podrán revisarlo y ajustarlo y disponer todas aquellas medidas de carácter preventivo y correctivo que sean necesarias e imponer las sanciones pertinentes, sin perjuicio de las acciones civiles y penales a que hubiere lugar.</w:t>
      </w:r>
    </w:p>
    <w:p w:rsidR="00000000" w:rsidRDefault="0018461E">
      <w:pPr>
        <w:divId w:val="263811640"/>
        <w:rPr>
          <w:rFonts w:eastAsia="Times New Roman"/>
          <w:sz w:val="30"/>
          <w:szCs w:val="30"/>
          <w:lang w:val="es-ES"/>
        </w:rPr>
      </w:pPr>
      <w:r>
        <w:rPr>
          <w:rFonts w:eastAsia="Times New Roman"/>
          <w:sz w:val="30"/>
          <w:szCs w:val="30"/>
          <w:lang w:val="es-ES"/>
        </w:rPr>
        <w:t xml:space="preserve">Art. 286.- </w:t>
      </w:r>
      <w:r>
        <w:rPr>
          <w:rFonts w:eastAsia="Times New Roman"/>
          <w:b/>
          <w:bCs/>
          <w:sz w:val="30"/>
          <w:szCs w:val="30"/>
          <w:lang w:val="es-ES"/>
        </w:rPr>
        <w:t>Terminación del prog</w:t>
      </w:r>
      <w:r>
        <w:rPr>
          <w:rFonts w:eastAsia="Times New Roman"/>
          <w:b/>
          <w:bCs/>
          <w:sz w:val="30"/>
          <w:szCs w:val="30"/>
          <w:lang w:val="es-ES"/>
        </w:rPr>
        <w:t xml:space="preserve">rama de supervisión intensiva. </w:t>
      </w:r>
      <w:r>
        <w:rPr>
          <w:rFonts w:eastAsia="Times New Roman"/>
          <w:sz w:val="30"/>
          <w:szCs w:val="30"/>
          <w:lang w:val="es-ES"/>
        </w:rPr>
        <w:t>El programa de supervisión intensiva terminará por el cumplimiento de sus objetivos dentro del plazo determinado, en cuyo caso, la entidad financiera recobrará su normal funcionamiento.</w:t>
      </w:r>
      <w:r>
        <w:rPr>
          <w:rFonts w:eastAsia="Times New Roman"/>
          <w:sz w:val="30"/>
          <w:szCs w:val="30"/>
          <w:lang w:val="es-ES"/>
        </w:rPr>
        <w:br/>
      </w:r>
      <w:r>
        <w:rPr>
          <w:rFonts w:eastAsia="Times New Roman"/>
          <w:sz w:val="30"/>
          <w:szCs w:val="30"/>
          <w:lang w:val="es-ES"/>
        </w:rPr>
        <w:br/>
        <w:t>El programa de supervisión intensiva p</w:t>
      </w:r>
      <w:r>
        <w:rPr>
          <w:rFonts w:eastAsia="Times New Roman"/>
          <w:sz w:val="30"/>
          <w:szCs w:val="30"/>
          <w:lang w:val="es-ES"/>
        </w:rPr>
        <w:t>odrá terminar de forma anticipada, por disposición del organismo de control, cuando la entidad financiera incumpla el programa.</w:t>
      </w:r>
    </w:p>
    <w:p w:rsidR="00000000" w:rsidRDefault="0018461E">
      <w:pPr>
        <w:divId w:val="1866098236"/>
        <w:rPr>
          <w:rFonts w:eastAsia="Times New Roman"/>
          <w:sz w:val="30"/>
          <w:szCs w:val="30"/>
          <w:lang w:val="es-ES"/>
        </w:rPr>
      </w:pPr>
      <w:r>
        <w:rPr>
          <w:rFonts w:eastAsia="Times New Roman"/>
          <w:sz w:val="30"/>
          <w:szCs w:val="30"/>
          <w:lang w:val="es-ES"/>
        </w:rPr>
        <w:t xml:space="preserve">Art. 287.- </w:t>
      </w:r>
      <w:r>
        <w:rPr>
          <w:rFonts w:eastAsia="Times New Roman"/>
          <w:b/>
          <w:bCs/>
          <w:sz w:val="30"/>
          <w:szCs w:val="30"/>
          <w:lang w:val="es-ES"/>
        </w:rPr>
        <w:t xml:space="preserve">Incumplimiento del programa de supervisión intensiva. </w:t>
      </w:r>
      <w:r>
        <w:rPr>
          <w:rFonts w:eastAsia="Times New Roman"/>
          <w:sz w:val="30"/>
          <w:szCs w:val="30"/>
          <w:lang w:val="es-ES"/>
        </w:rPr>
        <w:t>El incumplimiento sustancial del programa de supervisión intens</w:t>
      </w:r>
      <w:r>
        <w:rPr>
          <w:rFonts w:eastAsia="Times New Roman"/>
          <w:sz w:val="30"/>
          <w:szCs w:val="30"/>
          <w:lang w:val="es-ES"/>
        </w:rPr>
        <w:t>iva será causal para instrumentar una fusión extraordinaria, disponer la exclusión de activos y pasivos o la liquidación forzosa de la entidad financiera.</w:t>
      </w:r>
    </w:p>
    <w:p w:rsidR="00000000" w:rsidRDefault="0018461E">
      <w:pPr>
        <w:divId w:val="734089776"/>
        <w:rPr>
          <w:rFonts w:eastAsia="Times New Roman"/>
          <w:sz w:val="30"/>
          <w:szCs w:val="30"/>
          <w:lang w:val="es-ES"/>
        </w:rPr>
      </w:pPr>
      <w:r>
        <w:rPr>
          <w:rFonts w:eastAsia="Times New Roman"/>
          <w:sz w:val="30"/>
          <w:szCs w:val="30"/>
          <w:lang w:val="es-ES"/>
        </w:rPr>
        <w:lastRenderedPageBreak/>
        <w:t xml:space="preserve">Art. 288.- </w:t>
      </w:r>
      <w:r>
        <w:rPr>
          <w:rFonts w:eastAsia="Times New Roman"/>
          <w:b/>
          <w:bCs/>
          <w:sz w:val="30"/>
          <w:szCs w:val="30"/>
          <w:lang w:val="es-ES"/>
        </w:rPr>
        <w:t xml:space="preserve">Carácter reservado de los programas de supervisión intensiva. </w:t>
      </w:r>
      <w:r>
        <w:rPr>
          <w:rFonts w:eastAsia="Times New Roman"/>
          <w:sz w:val="30"/>
          <w:szCs w:val="30"/>
          <w:lang w:val="es-ES"/>
        </w:rPr>
        <w:t>Los programas de supervisión</w:t>
      </w:r>
      <w:r>
        <w:rPr>
          <w:rFonts w:eastAsia="Times New Roman"/>
          <w:sz w:val="30"/>
          <w:szCs w:val="30"/>
          <w:lang w:val="es-ES"/>
        </w:rPr>
        <w:t xml:space="preserve"> intensiva y toda la información de sustento serán reservados por el plazo de veinticinco años. Las superintendencias y las entidades financieras estarán obligadas a guardar la correspondiente reserva.</w:t>
      </w:r>
      <w:r>
        <w:rPr>
          <w:rFonts w:eastAsia="Times New Roman"/>
          <w:sz w:val="30"/>
          <w:szCs w:val="30"/>
          <w:lang w:val="es-ES"/>
        </w:rPr>
        <w:br/>
      </w:r>
      <w:r>
        <w:rPr>
          <w:rFonts w:eastAsia="Times New Roman"/>
          <w:sz w:val="30"/>
          <w:szCs w:val="30"/>
          <w:lang w:val="es-ES"/>
        </w:rPr>
        <w:br/>
        <w:t>La información de los procesos de supervisión prevent</w:t>
      </w:r>
      <w:r>
        <w:rPr>
          <w:rFonts w:eastAsia="Times New Roman"/>
          <w:sz w:val="30"/>
          <w:szCs w:val="30"/>
          <w:lang w:val="es-ES"/>
        </w:rPr>
        <w:t>iva y correctiva estará sujeta a reserva por el plazo de quince años.</w:t>
      </w:r>
    </w:p>
    <w:p w:rsidR="00000000" w:rsidRDefault="0018461E">
      <w:pPr>
        <w:divId w:val="237059033"/>
        <w:rPr>
          <w:rFonts w:eastAsia="Times New Roman"/>
          <w:sz w:val="30"/>
          <w:szCs w:val="30"/>
          <w:lang w:val="es-ES"/>
        </w:rPr>
      </w:pPr>
      <w:r>
        <w:rPr>
          <w:rFonts w:eastAsia="Times New Roman"/>
          <w:sz w:val="30"/>
          <w:szCs w:val="30"/>
          <w:lang w:val="es-ES"/>
        </w:rPr>
        <w:t xml:space="preserve">Art. 289.- </w:t>
      </w:r>
      <w:r>
        <w:rPr>
          <w:rFonts w:eastAsia="Times New Roman"/>
          <w:b/>
          <w:bCs/>
          <w:sz w:val="30"/>
          <w:szCs w:val="30"/>
          <w:lang w:val="es-ES"/>
        </w:rPr>
        <w:t xml:space="preserve">Medidas preventivas y correctivas. </w:t>
      </w:r>
      <w:r>
        <w:rPr>
          <w:rFonts w:eastAsia="Times New Roman"/>
          <w:sz w:val="30"/>
          <w:szCs w:val="30"/>
          <w:lang w:val="es-ES"/>
        </w:rPr>
        <w:t>Mientras se aprueba el programa de supervisión intensiva y durante su ejecución, los organismos de control podrán disponer las siguientes medidas:</w:t>
      </w:r>
      <w:r>
        <w:rPr>
          <w:rFonts w:eastAsia="Times New Roman"/>
          <w:sz w:val="30"/>
          <w:szCs w:val="30"/>
          <w:lang w:val="es-ES"/>
        </w:rPr>
        <w:br/>
      </w:r>
      <w:r>
        <w:rPr>
          <w:rFonts w:eastAsia="Times New Roman"/>
          <w:sz w:val="30"/>
          <w:szCs w:val="30"/>
          <w:lang w:val="es-ES"/>
        </w:rPr>
        <w:br/>
        <w:t>1. Que los incrementos de depósitos, captaciones o inversiones sean invertidos en valores domésticos de alta</w:t>
      </w:r>
      <w:r>
        <w:rPr>
          <w:rFonts w:eastAsia="Times New Roman"/>
          <w:sz w:val="30"/>
          <w:szCs w:val="30"/>
          <w:lang w:val="es-ES"/>
        </w:rPr>
        <w:t xml:space="preserve"> liquidez, solvencia y rentabilidad, en la forma que las superintendencias dispongan;</w:t>
      </w:r>
      <w:r>
        <w:rPr>
          <w:rFonts w:eastAsia="Times New Roman"/>
          <w:sz w:val="30"/>
          <w:szCs w:val="30"/>
          <w:lang w:val="es-ES"/>
        </w:rPr>
        <w:br/>
      </w:r>
      <w:r>
        <w:rPr>
          <w:rFonts w:eastAsia="Times New Roman"/>
          <w:sz w:val="30"/>
          <w:szCs w:val="30"/>
          <w:lang w:val="es-ES"/>
        </w:rPr>
        <w:br/>
        <w:t>2. Prohibir que se otorguen nuevos préstamos y/o que se realicen nuevas inversiones, salvo las ordenadas en el numeral anterior;</w:t>
      </w:r>
      <w:r>
        <w:rPr>
          <w:rFonts w:eastAsia="Times New Roman"/>
          <w:sz w:val="30"/>
          <w:szCs w:val="30"/>
          <w:lang w:val="es-ES"/>
        </w:rPr>
        <w:br/>
      </w:r>
      <w:r>
        <w:rPr>
          <w:rFonts w:eastAsia="Times New Roman"/>
          <w:sz w:val="30"/>
          <w:szCs w:val="30"/>
          <w:lang w:val="es-ES"/>
        </w:rPr>
        <w:br/>
        <w:t>3. Evitar la concentración de crédito;</w:t>
      </w:r>
      <w:r>
        <w:rPr>
          <w:rFonts w:eastAsia="Times New Roman"/>
          <w:sz w:val="30"/>
          <w:szCs w:val="30"/>
          <w:lang w:val="es-ES"/>
        </w:rPr>
        <w:br/>
      </w:r>
      <w:r>
        <w:rPr>
          <w:rFonts w:eastAsia="Times New Roman"/>
          <w:sz w:val="30"/>
          <w:szCs w:val="30"/>
          <w:lang w:val="es-ES"/>
        </w:rPr>
        <w:br/>
        <w:t>4. Prohibir que se distribuyan las utilidades, dividendos y/o excedentes;</w:t>
      </w:r>
      <w:r>
        <w:rPr>
          <w:rFonts w:eastAsia="Times New Roman"/>
          <w:sz w:val="30"/>
          <w:szCs w:val="30"/>
          <w:lang w:val="es-ES"/>
        </w:rPr>
        <w:br/>
      </w:r>
      <w:r>
        <w:rPr>
          <w:rFonts w:eastAsia="Times New Roman"/>
          <w:sz w:val="30"/>
          <w:szCs w:val="30"/>
          <w:lang w:val="es-ES"/>
        </w:rPr>
        <w:br/>
        <w:t>5. Negar la apertura de nuevas oficinas, en el país o en el exterior, o disponer el cierre de las existentes;</w:t>
      </w:r>
      <w:r>
        <w:rPr>
          <w:rFonts w:eastAsia="Times New Roman"/>
          <w:sz w:val="30"/>
          <w:szCs w:val="30"/>
          <w:lang w:val="es-ES"/>
        </w:rPr>
        <w:br/>
      </w:r>
      <w:r>
        <w:rPr>
          <w:rFonts w:eastAsia="Times New Roman"/>
          <w:sz w:val="30"/>
          <w:szCs w:val="30"/>
          <w:lang w:val="es-ES"/>
        </w:rPr>
        <w:br/>
        <w:t>6. Prohibir que se invierta en el capital de instituciones constituid</w:t>
      </w:r>
      <w:r>
        <w:rPr>
          <w:rFonts w:eastAsia="Times New Roman"/>
          <w:sz w:val="30"/>
          <w:szCs w:val="30"/>
          <w:lang w:val="es-ES"/>
        </w:rPr>
        <w:t>as o por constituirse en el país o en el exterior;</w:t>
      </w:r>
      <w:r>
        <w:rPr>
          <w:rFonts w:eastAsia="Times New Roman"/>
          <w:sz w:val="30"/>
          <w:szCs w:val="30"/>
          <w:lang w:val="es-ES"/>
        </w:rPr>
        <w:br/>
      </w:r>
      <w:r>
        <w:rPr>
          <w:rFonts w:eastAsia="Times New Roman"/>
          <w:sz w:val="30"/>
          <w:szCs w:val="30"/>
          <w:lang w:val="es-ES"/>
        </w:rPr>
        <w:br/>
        <w:t>7. Prohibir cualquier tipo de inversión en el exterior;</w:t>
      </w:r>
      <w:r>
        <w:rPr>
          <w:rFonts w:eastAsia="Times New Roman"/>
          <w:sz w:val="30"/>
          <w:szCs w:val="30"/>
          <w:lang w:val="es-ES"/>
        </w:rPr>
        <w:br/>
      </w:r>
      <w:r>
        <w:rPr>
          <w:rFonts w:eastAsia="Times New Roman"/>
          <w:sz w:val="30"/>
          <w:szCs w:val="30"/>
          <w:lang w:val="es-ES"/>
        </w:rPr>
        <w:br/>
        <w:t>8. Disponer la desinversión de activos en el exterior;</w:t>
      </w:r>
      <w:r>
        <w:rPr>
          <w:rFonts w:eastAsia="Times New Roman"/>
          <w:sz w:val="30"/>
          <w:szCs w:val="30"/>
          <w:lang w:val="es-ES"/>
        </w:rPr>
        <w:br/>
      </w:r>
      <w:r>
        <w:rPr>
          <w:rFonts w:eastAsia="Times New Roman"/>
          <w:sz w:val="30"/>
          <w:szCs w:val="30"/>
          <w:lang w:val="es-ES"/>
        </w:rPr>
        <w:br/>
        <w:t>9. Disponer la liquidación de fideicomisos y la restitución inmediata de los activos aporta</w:t>
      </w:r>
      <w:r>
        <w:rPr>
          <w:rFonts w:eastAsia="Times New Roman"/>
          <w:sz w:val="30"/>
          <w:szCs w:val="30"/>
          <w:lang w:val="es-ES"/>
        </w:rPr>
        <w:t>dos al patrimonio autónomo;</w:t>
      </w:r>
      <w:r>
        <w:rPr>
          <w:rFonts w:eastAsia="Times New Roman"/>
          <w:sz w:val="30"/>
          <w:szCs w:val="30"/>
          <w:lang w:val="es-ES"/>
        </w:rPr>
        <w:br/>
      </w:r>
      <w:r>
        <w:rPr>
          <w:rFonts w:eastAsia="Times New Roman"/>
          <w:sz w:val="30"/>
          <w:szCs w:val="30"/>
          <w:lang w:val="es-ES"/>
        </w:rPr>
        <w:br/>
        <w:t xml:space="preserve">10. Disponer de inmediato que la entidad registre contablemente las pérdidas correspondientes al provisionamiento parcial o total de activos cuyo estado de cobrabilidad, realización o liquidez así lo </w:t>
      </w:r>
      <w:r>
        <w:rPr>
          <w:rFonts w:eastAsia="Times New Roman"/>
          <w:sz w:val="30"/>
          <w:szCs w:val="30"/>
          <w:lang w:val="es-ES"/>
        </w:rPr>
        <w:lastRenderedPageBreak/>
        <w:t xml:space="preserve">requiera, a solo juicio de </w:t>
      </w:r>
      <w:r>
        <w:rPr>
          <w:rFonts w:eastAsia="Times New Roman"/>
          <w:sz w:val="30"/>
          <w:szCs w:val="30"/>
          <w:lang w:val="es-ES"/>
        </w:rPr>
        <w:t>las superintendencias, y la reducción de su capital o afectación de reservas contra ellas;</w:t>
      </w:r>
      <w:r>
        <w:rPr>
          <w:rFonts w:eastAsia="Times New Roman"/>
          <w:sz w:val="30"/>
          <w:szCs w:val="30"/>
          <w:lang w:val="es-ES"/>
        </w:rPr>
        <w:br/>
      </w:r>
      <w:r>
        <w:rPr>
          <w:rFonts w:eastAsia="Times New Roman"/>
          <w:sz w:val="30"/>
          <w:szCs w:val="30"/>
          <w:lang w:val="es-ES"/>
        </w:rPr>
        <w:br/>
        <w:t>11. Otorgar plazos, de conformidad con el artículo 192, para que la entidad resuelva el aumento de capital y reservas, el que deberá ser suscrito y pagado dentro de</w:t>
      </w:r>
      <w:r>
        <w:rPr>
          <w:rFonts w:eastAsia="Times New Roman"/>
          <w:sz w:val="30"/>
          <w:szCs w:val="30"/>
          <w:lang w:val="es-ES"/>
        </w:rPr>
        <w:t xml:space="preserve"> dichos plazos;</w:t>
      </w:r>
      <w:r>
        <w:rPr>
          <w:rFonts w:eastAsia="Times New Roman"/>
          <w:sz w:val="30"/>
          <w:szCs w:val="30"/>
          <w:lang w:val="es-ES"/>
        </w:rPr>
        <w:br/>
      </w:r>
      <w:r>
        <w:rPr>
          <w:rFonts w:eastAsia="Times New Roman"/>
          <w:sz w:val="30"/>
          <w:szCs w:val="30"/>
          <w:lang w:val="es-ES"/>
        </w:rPr>
        <w:br/>
        <w:t>12. La remoción inmediata de los administradores y demás funcionarios o empleados que estime pertinente. En el sector financiero popular y solidario, la remoción se podrá aplicar, además, respecto de los socios que actúan en calidad de rep</w:t>
      </w:r>
      <w:r>
        <w:rPr>
          <w:rFonts w:eastAsia="Times New Roman"/>
          <w:sz w:val="30"/>
          <w:szCs w:val="30"/>
          <w:lang w:val="es-ES"/>
        </w:rPr>
        <w:t>resentantes en la asamblea general; y,</w:t>
      </w:r>
      <w:r>
        <w:rPr>
          <w:rFonts w:eastAsia="Times New Roman"/>
          <w:sz w:val="30"/>
          <w:szCs w:val="30"/>
          <w:lang w:val="es-ES"/>
        </w:rPr>
        <w:br/>
      </w:r>
      <w:r>
        <w:rPr>
          <w:rFonts w:eastAsia="Times New Roman"/>
          <w:sz w:val="30"/>
          <w:szCs w:val="30"/>
          <w:lang w:val="es-ES"/>
        </w:rPr>
        <w:br/>
        <w:t>13. Todas aquellas otras medidas que considere convenientes y que no contravengan las normas emitidas por la Junta de Política y Regulación Monetaria y Financiera.</w:t>
      </w:r>
    </w:p>
    <w:p w:rsidR="00000000" w:rsidRDefault="0018461E">
      <w:pPr>
        <w:divId w:val="170337468"/>
        <w:rPr>
          <w:rFonts w:eastAsia="Times New Roman"/>
          <w:sz w:val="30"/>
          <w:szCs w:val="30"/>
          <w:lang w:val="es-ES"/>
        </w:rPr>
      </w:pPr>
      <w:r>
        <w:rPr>
          <w:rFonts w:eastAsia="Times New Roman"/>
          <w:sz w:val="30"/>
          <w:szCs w:val="30"/>
          <w:lang w:val="es-ES"/>
        </w:rPr>
        <w:t xml:space="preserve">Art. 290.- </w:t>
      </w:r>
      <w:r>
        <w:rPr>
          <w:rFonts w:eastAsia="Times New Roman"/>
          <w:b/>
          <w:bCs/>
          <w:sz w:val="30"/>
          <w:szCs w:val="30"/>
          <w:lang w:val="es-ES"/>
        </w:rPr>
        <w:t>Supervisión consolidada y transfronteriza</w:t>
      </w:r>
      <w:r>
        <w:rPr>
          <w:rFonts w:eastAsia="Times New Roman"/>
          <w:b/>
          <w:bCs/>
          <w:sz w:val="30"/>
          <w:szCs w:val="30"/>
          <w:lang w:val="es-ES"/>
        </w:rPr>
        <w:t xml:space="preserve">. </w:t>
      </w:r>
      <w:r>
        <w:rPr>
          <w:rFonts w:eastAsia="Times New Roman"/>
          <w:sz w:val="30"/>
          <w:szCs w:val="30"/>
          <w:lang w:val="es-ES"/>
        </w:rPr>
        <w:t>Los organismos de control efectuarán supervisión consolidada y transfronteriza a todo el grupo financiero o grupo popular y solidario, a través de un adecuado seguimiento y la aplicación de normas prudenciales a todas las actividades que realizan los gru</w:t>
      </w:r>
      <w:r>
        <w:rPr>
          <w:rFonts w:eastAsia="Times New Roman"/>
          <w:sz w:val="30"/>
          <w:szCs w:val="30"/>
          <w:lang w:val="es-ES"/>
        </w:rPr>
        <w:t xml:space="preserve">pos a nivel local e internacional, la transparencia de sus operaciones, el tratamiento de los conflictos de interés, el servicio y la seguridad de los clientes y la identificación de riesgos en la posición de solvencia y liquidez, de manera individual y a </w:t>
      </w:r>
      <w:r>
        <w:rPr>
          <w:rFonts w:eastAsia="Times New Roman"/>
          <w:sz w:val="30"/>
          <w:szCs w:val="30"/>
          <w:lang w:val="es-ES"/>
        </w:rPr>
        <w:t>nivel consolidado, así como para evitar arbitrajes regulatorios.</w:t>
      </w:r>
      <w:r>
        <w:rPr>
          <w:rFonts w:eastAsia="Times New Roman"/>
          <w:sz w:val="30"/>
          <w:szCs w:val="30"/>
          <w:lang w:val="es-ES"/>
        </w:rPr>
        <w:br/>
      </w:r>
      <w:r>
        <w:rPr>
          <w:rFonts w:eastAsia="Times New Roman"/>
          <w:sz w:val="30"/>
          <w:szCs w:val="30"/>
          <w:lang w:val="es-ES"/>
        </w:rPr>
        <w:br/>
        <w:t>Los organismos de control locales efectuarán la supervisión consolidada de la entidad que hace de cabeza de grupo y de sus integrantes, y requerirán la información que fuera necesaria, sin l</w:t>
      </w:r>
      <w:r>
        <w:rPr>
          <w:rFonts w:eastAsia="Times New Roman"/>
          <w:sz w:val="30"/>
          <w:szCs w:val="30"/>
          <w:lang w:val="es-ES"/>
        </w:rPr>
        <w:t>ímite alguno, directamente o a través de ella, a todos los integrantes del grupo financiero o grupo popular y solidario y determinarán el requerimiento de patrimonio técnico consolidado de dichos grupos.</w:t>
      </w:r>
      <w:r>
        <w:rPr>
          <w:rFonts w:eastAsia="Times New Roman"/>
          <w:sz w:val="30"/>
          <w:szCs w:val="30"/>
          <w:lang w:val="es-ES"/>
        </w:rPr>
        <w:br/>
      </w:r>
      <w:r>
        <w:rPr>
          <w:rFonts w:eastAsia="Times New Roman"/>
          <w:sz w:val="30"/>
          <w:szCs w:val="30"/>
          <w:lang w:val="es-ES"/>
        </w:rPr>
        <w:br/>
        <w:t xml:space="preserve">La supervisión consolidada y transfronteriza podrá </w:t>
      </w:r>
      <w:r>
        <w:rPr>
          <w:rFonts w:eastAsia="Times New Roman"/>
          <w:sz w:val="30"/>
          <w:szCs w:val="30"/>
          <w:lang w:val="es-ES"/>
        </w:rPr>
        <w:t>ser realizada en cooperación con organismos de control extranjeros, sobre la base de convenios que se suscriban para el efecto, los cuales, bajo criterios de reciprocidad, deberán facilitar el intercambio de información entre ellos.</w:t>
      </w:r>
    </w:p>
    <w:p w:rsidR="00000000" w:rsidRDefault="0018461E">
      <w:pPr>
        <w:jc w:val="center"/>
        <w:rPr>
          <w:rFonts w:eastAsia="Times New Roman"/>
          <w:sz w:val="36"/>
          <w:szCs w:val="36"/>
          <w:lang w:val="es-ES"/>
        </w:rPr>
      </w:pPr>
      <w:r>
        <w:rPr>
          <w:rFonts w:eastAsia="Times New Roman"/>
          <w:b/>
          <w:bCs/>
          <w:sz w:val="36"/>
          <w:szCs w:val="36"/>
          <w:lang w:val="es-ES"/>
        </w:rPr>
        <w:lastRenderedPageBreak/>
        <w:br/>
        <w:t xml:space="preserve">Sección 13 </w:t>
      </w:r>
      <w:r>
        <w:rPr>
          <w:rFonts w:eastAsia="Times New Roman"/>
          <w:b/>
          <w:bCs/>
          <w:sz w:val="36"/>
          <w:szCs w:val="36"/>
          <w:lang w:val="es-ES"/>
        </w:rPr>
        <w:br/>
        <w:t>DE LA EXCL</w:t>
      </w:r>
      <w:r>
        <w:rPr>
          <w:rFonts w:eastAsia="Times New Roman"/>
          <w:b/>
          <w:bCs/>
          <w:sz w:val="36"/>
          <w:szCs w:val="36"/>
          <w:lang w:val="es-ES"/>
        </w:rPr>
        <w:t>USIÓN Y TRANSFERENCIA DE ACTIVOS Y PASIVOS</w:t>
      </w:r>
    </w:p>
    <w:p w:rsidR="00000000" w:rsidRDefault="0018461E">
      <w:pPr>
        <w:divId w:val="1272007173"/>
        <w:rPr>
          <w:rFonts w:eastAsia="Times New Roman"/>
          <w:sz w:val="30"/>
          <w:szCs w:val="30"/>
          <w:lang w:val="es-ES"/>
        </w:rPr>
      </w:pPr>
      <w:r>
        <w:rPr>
          <w:rFonts w:eastAsia="Times New Roman"/>
          <w:sz w:val="30"/>
          <w:szCs w:val="30"/>
          <w:lang w:val="es-ES"/>
        </w:rPr>
        <w:t xml:space="preserve">Art. 291.- </w:t>
      </w:r>
      <w:r>
        <w:rPr>
          <w:rFonts w:eastAsia="Times New Roman"/>
          <w:b/>
          <w:bCs/>
          <w:sz w:val="30"/>
          <w:szCs w:val="30"/>
          <w:lang w:val="es-ES"/>
        </w:rPr>
        <w:t xml:space="preserve">Entidad financiera inviable. </w:t>
      </w:r>
      <w:r>
        <w:rPr>
          <w:rFonts w:eastAsia="Times New Roman"/>
          <w:sz w:val="30"/>
          <w:szCs w:val="30"/>
          <w:lang w:val="es-ES"/>
        </w:rPr>
        <w:t>Es la entidad del sistema financiero nacional que incurre en una o varias causales de liquidación forzosa.</w:t>
      </w:r>
    </w:p>
    <w:p w:rsidR="00000000" w:rsidRDefault="0018461E">
      <w:pPr>
        <w:divId w:val="1065296527"/>
        <w:rPr>
          <w:rFonts w:eastAsia="Times New Roman"/>
          <w:sz w:val="30"/>
          <w:szCs w:val="30"/>
          <w:lang w:val="es-ES"/>
        </w:rPr>
      </w:pPr>
      <w:r>
        <w:rPr>
          <w:rFonts w:eastAsia="Times New Roman"/>
          <w:sz w:val="30"/>
          <w:szCs w:val="30"/>
          <w:lang w:val="es-ES"/>
        </w:rPr>
        <w:t>Art. 292.-</w:t>
      </w:r>
      <w:r>
        <w:rPr>
          <w:rFonts w:eastAsia="Times New Roman"/>
          <w:b/>
          <w:bCs/>
          <w:sz w:val="30"/>
          <w:szCs w:val="30"/>
          <w:lang w:val="es-ES"/>
        </w:rPr>
        <w:t xml:space="preserve"> Resolución de suspensión de operaciones y exclusión y t</w:t>
      </w:r>
      <w:r>
        <w:rPr>
          <w:rFonts w:eastAsia="Times New Roman"/>
          <w:b/>
          <w:bCs/>
          <w:sz w:val="30"/>
          <w:szCs w:val="30"/>
          <w:lang w:val="es-ES"/>
        </w:rPr>
        <w:t xml:space="preserve">ransferencia de activos y pasivos. </w:t>
      </w:r>
      <w:r>
        <w:rPr>
          <w:rFonts w:eastAsia="Times New Roman"/>
          <w:sz w:val="30"/>
          <w:szCs w:val="30"/>
          <w:lang w:val="es-ES"/>
        </w:rPr>
        <w:t>A fin de proteger adecuadamente los depósitos del público y en forma previa a declarar la liquidación forzosa de una entidad financiera inviable, el organismo de control, mediante resolución, dispondrá la suspensión de op</w:t>
      </w:r>
      <w:r>
        <w:rPr>
          <w:rFonts w:eastAsia="Times New Roman"/>
          <w:sz w:val="30"/>
          <w:szCs w:val="30"/>
          <w:lang w:val="es-ES"/>
        </w:rPr>
        <w:t>eraciones, la exclusión y transferencia de activos y pasivos y designará un administrador temporal. Esta resolución entrará en vigencia a partir de la fecha de su expedición.</w:t>
      </w:r>
    </w:p>
    <w:p w:rsidR="00000000" w:rsidRDefault="0018461E">
      <w:pPr>
        <w:divId w:val="1494637045"/>
        <w:rPr>
          <w:rFonts w:eastAsia="Times New Roman"/>
          <w:sz w:val="30"/>
          <w:szCs w:val="30"/>
          <w:lang w:val="es-ES"/>
        </w:rPr>
      </w:pPr>
      <w:r>
        <w:rPr>
          <w:rFonts w:eastAsia="Times New Roman"/>
          <w:sz w:val="30"/>
          <w:szCs w:val="30"/>
          <w:lang w:val="es-ES"/>
        </w:rPr>
        <w:t xml:space="preserve">Art. 293.- </w:t>
      </w:r>
      <w:r>
        <w:rPr>
          <w:rFonts w:eastAsia="Times New Roman"/>
          <w:b/>
          <w:bCs/>
          <w:sz w:val="30"/>
          <w:szCs w:val="30"/>
          <w:lang w:val="es-ES"/>
        </w:rPr>
        <w:t xml:space="preserve">Operaciones exceptuadas de la suspensión. </w:t>
      </w:r>
      <w:r>
        <w:rPr>
          <w:rFonts w:eastAsia="Times New Roman"/>
          <w:sz w:val="30"/>
          <w:szCs w:val="30"/>
          <w:lang w:val="es-ES"/>
        </w:rPr>
        <w:t>El organismo de control dete</w:t>
      </w:r>
      <w:r>
        <w:rPr>
          <w:rFonts w:eastAsia="Times New Roman"/>
          <w:sz w:val="30"/>
          <w:szCs w:val="30"/>
          <w:lang w:val="es-ES"/>
        </w:rPr>
        <w:t>rminará las operaciones que deban exceptuarse de la suspensión y que resulten indispensables para la conservación de los activos de la entidad, la recuperación de los créditos y los pagos de las remuneraciones de los trabajadores.</w:t>
      </w:r>
    </w:p>
    <w:p w:rsidR="00000000" w:rsidRDefault="0018461E">
      <w:pPr>
        <w:divId w:val="1036856857"/>
        <w:rPr>
          <w:rFonts w:eastAsia="Times New Roman"/>
          <w:sz w:val="30"/>
          <w:szCs w:val="30"/>
          <w:lang w:val="es-ES"/>
        </w:rPr>
      </w:pPr>
      <w:r>
        <w:rPr>
          <w:rFonts w:eastAsia="Times New Roman"/>
          <w:sz w:val="30"/>
          <w:szCs w:val="30"/>
          <w:lang w:val="es-ES"/>
        </w:rPr>
        <w:t>Art. 294.-</w:t>
      </w:r>
      <w:r>
        <w:rPr>
          <w:rFonts w:eastAsia="Times New Roman"/>
          <w:b/>
          <w:bCs/>
          <w:sz w:val="30"/>
          <w:szCs w:val="30"/>
          <w:lang w:val="es-ES"/>
        </w:rPr>
        <w:t xml:space="preserve"> Pérdida de der</w:t>
      </w:r>
      <w:r>
        <w:rPr>
          <w:rFonts w:eastAsia="Times New Roman"/>
          <w:b/>
          <w:bCs/>
          <w:sz w:val="30"/>
          <w:szCs w:val="30"/>
          <w:lang w:val="es-ES"/>
        </w:rPr>
        <w:t xml:space="preserve">echos de accionistas y socios y cesación de administradores. </w:t>
      </w:r>
      <w:r>
        <w:rPr>
          <w:rFonts w:eastAsia="Times New Roman"/>
          <w:sz w:val="30"/>
          <w:szCs w:val="30"/>
          <w:lang w:val="es-ES"/>
        </w:rPr>
        <w:t>A partir de la fecha de la resolución de suspensión de operaciones y la exclusión y transferencia de activos y pasivos de la entidad financiera inviable, se pierden los derechos de sus accionista</w:t>
      </w:r>
      <w:r>
        <w:rPr>
          <w:rFonts w:eastAsia="Times New Roman"/>
          <w:sz w:val="30"/>
          <w:szCs w:val="30"/>
          <w:lang w:val="es-ES"/>
        </w:rPr>
        <w:t>s o socios y cesan automáticamente en sus funciones los administradores, sin lugar a reclamo e indemnización alguna, aun cuando tengan una relación de dependencia con la entidad; además, se prohíbe la enajenación de bienes de propiedad de los accionistas c</w:t>
      </w:r>
      <w:r>
        <w:rPr>
          <w:rFonts w:eastAsia="Times New Roman"/>
          <w:sz w:val="30"/>
          <w:szCs w:val="30"/>
          <w:lang w:val="es-ES"/>
        </w:rPr>
        <w:t>on propiedad patrimonial con influencia, terceros vinculados y administradores, para lo cual el organismo de control efectuará todas las acciones pertinentes.</w:t>
      </w:r>
    </w:p>
    <w:p w:rsidR="00000000" w:rsidRDefault="0018461E">
      <w:pPr>
        <w:divId w:val="2039576245"/>
        <w:rPr>
          <w:rFonts w:eastAsia="Times New Roman"/>
          <w:sz w:val="30"/>
          <w:szCs w:val="30"/>
          <w:lang w:val="es-ES"/>
        </w:rPr>
      </w:pPr>
      <w:r>
        <w:rPr>
          <w:rFonts w:eastAsia="Times New Roman"/>
          <w:sz w:val="30"/>
          <w:szCs w:val="30"/>
          <w:lang w:val="es-ES"/>
        </w:rPr>
        <w:t xml:space="preserve">Art. 295.- </w:t>
      </w:r>
      <w:r>
        <w:rPr>
          <w:rFonts w:eastAsia="Times New Roman"/>
          <w:b/>
          <w:bCs/>
          <w:sz w:val="30"/>
          <w:szCs w:val="30"/>
          <w:lang w:val="es-ES"/>
        </w:rPr>
        <w:t xml:space="preserve">Administrador temporal. </w:t>
      </w:r>
      <w:r>
        <w:rPr>
          <w:rFonts w:eastAsia="Times New Roman"/>
          <w:sz w:val="30"/>
          <w:szCs w:val="30"/>
          <w:lang w:val="es-ES"/>
        </w:rPr>
        <w:t>El administrador temporal asumirá las funciones de los adminis</w:t>
      </w:r>
      <w:r>
        <w:rPr>
          <w:rFonts w:eastAsia="Times New Roman"/>
          <w:sz w:val="30"/>
          <w:szCs w:val="30"/>
          <w:lang w:val="es-ES"/>
        </w:rPr>
        <w:t>tradores y ejercerá la representación legal de la entidad financiera inviable, precautelando sus bienes.</w:t>
      </w:r>
    </w:p>
    <w:p w:rsidR="00000000" w:rsidRDefault="0018461E">
      <w:pPr>
        <w:divId w:val="389810686"/>
        <w:rPr>
          <w:rFonts w:eastAsia="Times New Roman"/>
          <w:sz w:val="30"/>
          <w:szCs w:val="30"/>
          <w:lang w:val="es-ES"/>
        </w:rPr>
      </w:pPr>
      <w:r>
        <w:rPr>
          <w:rFonts w:eastAsia="Times New Roman"/>
          <w:sz w:val="30"/>
          <w:szCs w:val="30"/>
          <w:lang w:val="es-ES"/>
        </w:rPr>
        <w:t xml:space="preserve">Art. 296.- </w:t>
      </w:r>
      <w:r>
        <w:rPr>
          <w:rFonts w:eastAsia="Times New Roman"/>
          <w:b/>
          <w:bCs/>
          <w:sz w:val="30"/>
          <w:szCs w:val="30"/>
          <w:lang w:val="es-ES"/>
        </w:rPr>
        <w:t xml:space="preserve">Proceso de exclusión y transferencia de activos y pasivos. </w:t>
      </w:r>
      <w:r>
        <w:rPr>
          <w:rFonts w:eastAsia="Times New Roman"/>
          <w:sz w:val="30"/>
          <w:szCs w:val="30"/>
          <w:lang w:val="es-ES"/>
        </w:rPr>
        <w:t>Dentro del proceso de exclusión y transferencia de activos y pasivos, el administ</w:t>
      </w:r>
      <w:r>
        <w:rPr>
          <w:rFonts w:eastAsia="Times New Roman"/>
          <w:sz w:val="30"/>
          <w:szCs w:val="30"/>
          <w:lang w:val="es-ES"/>
        </w:rPr>
        <w:t>rador temporal, en coordinación con el organismo de control, ejecutará las siguientes medidas:</w:t>
      </w:r>
      <w:r>
        <w:rPr>
          <w:rFonts w:eastAsia="Times New Roman"/>
          <w:sz w:val="30"/>
          <w:szCs w:val="30"/>
          <w:lang w:val="es-ES"/>
        </w:rPr>
        <w:br/>
      </w:r>
      <w:r>
        <w:rPr>
          <w:rFonts w:eastAsia="Times New Roman"/>
          <w:sz w:val="30"/>
          <w:szCs w:val="30"/>
          <w:lang w:val="es-ES"/>
        </w:rPr>
        <w:lastRenderedPageBreak/>
        <w:br/>
        <w:t>1. Organizar la información de la entidad;</w:t>
      </w:r>
      <w:r>
        <w:rPr>
          <w:rFonts w:eastAsia="Times New Roman"/>
          <w:sz w:val="30"/>
          <w:szCs w:val="30"/>
          <w:lang w:val="es-ES"/>
        </w:rPr>
        <w:br/>
      </w:r>
      <w:r>
        <w:rPr>
          <w:rFonts w:eastAsia="Times New Roman"/>
          <w:sz w:val="30"/>
          <w:szCs w:val="30"/>
          <w:lang w:val="es-ES"/>
        </w:rPr>
        <w:br/>
        <w:t>2. La exclusión total o parcial de activos y/o pasivos de la entidad financiera inviable; y,</w:t>
      </w:r>
      <w:r>
        <w:rPr>
          <w:rFonts w:eastAsia="Times New Roman"/>
          <w:sz w:val="30"/>
          <w:szCs w:val="30"/>
          <w:lang w:val="es-ES"/>
        </w:rPr>
        <w:br/>
      </w:r>
      <w:r>
        <w:rPr>
          <w:rFonts w:eastAsia="Times New Roman"/>
          <w:sz w:val="30"/>
          <w:szCs w:val="30"/>
          <w:lang w:val="es-ES"/>
        </w:rPr>
        <w:br/>
        <w:t>3. La transferencia de</w:t>
      </w:r>
      <w:r>
        <w:rPr>
          <w:rFonts w:eastAsia="Times New Roman"/>
          <w:sz w:val="30"/>
          <w:szCs w:val="30"/>
          <w:lang w:val="es-ES"/>
        </w:rPr>
        <w:t xml:space="preserve"> los activos excluidos a otra entidad financiera viable, junto con pasivos por igual valor. Si no fuere factible la transferencia de los activos excluidos, se podrá aplicar lo dispuesto en el artículo 80 numeral 7.</w:t>
      </w:r>
      <w:r>
        <w:rPr>
          <w:rFonts w:eastAsia="Times New Roman"/>
          <w:sz w:val="30"/>
          <w:szCs w:val="30"/>
          <w:lang w:val="es-ES"/>
        </w:rPr>
        <w:br/>
      </w:r>
      <w:r>
        <w:rPr>
          <w:rFonts w:eastAsia="Times New Roman"/>
          <w:sz w:val="30"/>
          <w:szCs w:val="30"/>
          <w:lang w:val="es-ES"/>
        </w:rPr>
        <w:br/>
        <w:t>El proceso de exclusión y transferencia,</w:t>
      </w:r>
      <w:r>
        <w:rPr>
          <w:rFonts w:eastAsia="Times New Roman"/>
          <w:sz w:val="30"/>
          <w:szCs w:val="30"/>
          <w:lang w:val="es-ES"/>
        </w:rPr>
        <w:t xml:space="preserve"> incluidas la transferencia de activos, pasivos garantías, no requerirá de la aceptación expresa de los clientes y podrá implementarse mediante la constitución de un fideicomiso.</w:t>
      </w:r>
      <w:r>
        <w:rPr>
          <w:rFonts w:eastAsia="Times New Roman"/>
          <w:sz w:val="30"/>
          <w:szCs w:val="30"/>
          <w:lang w:val="es-ES"/>
        </w:rPr>
        <w:br/>
      </w:r>
      <w:r>
        <w:rPr>
          <w:rFonts w:eastAsia="Times New Roman"/>
          <w:sz w:val="30"/>
          <w:szCs w:val="30"/>
          <w:lang w:val="es-ES"/>
        </w:rPr>
        <w:br/>
        <w:t xml:space="preserve">El administrador temporal podrá castigar el precio de los activos con cargo </w:t>
      </w:r>
      <w:r>
        <w:rPr>
          <w:rFonts w:eastAsia="Times New Roman"/>
          <w:sz w:val="30"/>
          <w:szCs w:val="30"/>
          <w:lang w:val="es-ES"/>
        </w:rPr>
        <w:t>al patrimonio de la entidad en liquidación, mientras el valor a obtenerse por su transferencia cubra al menos todas las prelaciones comprendidas en el artículo 315, entre los numerales 2 y 11 inclusive, y el porcentaje que defina la Corporación de Seguro d</w:t>
      </w:r>
      <w:r>
        <w:rPr>
          <w:rFonts w:eastAsia="Times New Roman"/>
          <w:sz w:val="30"/>
          <w:szCs w:val="30"/>
          <w:lang w:val="es-ES"/>
        </w:rPr>
        <w:t>e Depósitos, Fondo de Liquidez y Fondo de Seguros Privados respecto de los depósitos señalados en el numeral 1 del artículo antes citado. La aplicación de este criterio no causará responsabilidad civil al administrador temporal.</w:t>
      </w:r>
      <w:r>
        <w:rPr>
          <w:rFonts w:eastAsia="Times New Roman"/>
          <w:sz w:val="30"/>
          <w:szCs w:val="30"/>
          <w:lang w:val="es-ES"/>
        </w:rPr>
        <w:br/>
      </w:r>
      <w:r>
        <w:rPr>
          <w:rFonts w:eastAsia="Times New Roman"/>
          <w:sz w:val="30"/>
          <w:szCs w:val="30"/>
          <w:lang w:val="es-ES"/>
        </w:rPr>
        <w:br/>
        <w:t>El organismo de control po</w:t>
      </w:r>
      <w:r>
        <w:rPr>
          <w:rFonts w:eastAsia="Times New Roman"/>
          <w:sz w:val="30"/>
          <w:szCs w:val="30"/>
          <w:lang w:val="es-ES"/>
        </w:rPr>
        <w:t>drá otorgar a las entidades receptoras de los activos y pasivos excluidos, excepciones temporales a la aplicación de las normas de carácter general expedidas por la Junta de Política y Regulación Monetaria y Financiera, previo su autorización. Las excepcio</w:t>
      </w:r>
      <w:r>
        <w:rPr>
          <w:rFonts w:eastAsia="Times New Roman"/>
          <w:sz w:val="30"/>
          <w:szCs w:val="30"/>
          <w:lang w:val="es-ES"/>
        </w:rPr>
        <w:t>nes deberán mantener relación con el monto de los activos y pasivos asumidos y evitarán poner en riesgo la liquidez y/o solvencia de la entidad.</w:t>
      </w:r>
      <w:r>
        <w:rPr>
          <w:rFonts w:eastAsia="Times New Roman"/>
          <w:sz w:val="30"/>
          <w:szCs w:val="30"/>
          <w:lang w:val="es-ES"/>
        </w:rPr>
        <w:br/>
      </w:r>
      <w:r>
        <w:rPr>
          <w:rFonts w:eastAsia="Times New Roman"/>
          <w:sz w:val="30"/>
          <w:szCs w:val="30"/>
          <w:lang w:val="es-ES"/>
        </w:rPr>
        <w:br/>
        <w:t xml:space="preserve">Las medidas dispuestas por el administrador temporal, en el proceso de exclusión y transferencia de activos y </w:t>
      </w:r>
      <w:r>
        <w:rPr>
          <w:rFonts w:eastAsia="Times New Roman"/>
          <w:sz w:val="30"/>
          <w:szCs w:val="30"/>
          <w:lang w:val="es-ES"/>
        </w:rPr>
        <w:t>pasivos, bajo cualquier modalidad, están exentas de impuestos.</w:t>
      </w:r>
      <w:r>
        <w:rPr>
          <w:rFonts w:eastAsia="Times New Roman"/>
          <w:sz w:val="30"/>
          <w:szCs w:val="30"/>
          <w:lang w:val="es-ES"/>
        </w:rPr>
        <w:br/>
      </w:r>
      <w:r>
        <w:rPr>
          <w:rFonts w:eastAsia="Times New Roman"/>
          <w:sz w:val="30"/>
          <w:szCs w:val="30"/>
          <w:lang w:val="es-ES"/>
        </w:rPr>
        <w:br/>
        <w:t xml:space="preserve">El proceso de exclusión y transferencia de activos y pasivos será implementado por el administrador temporal dentro del plazo de </w:t>
      </w:r>
      <w:r>
        <w:rPr>
          <w:rFonts w:eastAsia="Times New Roman"/>
          <w:sz w:val="30"/>
          <w:szCs w:val="30"/>
          <w:lang w:val="es-ES"/>
        </w:rPr>
        <w:lastRenderedPageBreak/>
        <w:t>quince días contados a partir de la fecha de la resolución de s</w:t>
      </w:r>
      <w:r>
        <w:rPr>
          <w:rFonts w:eastAsia="Times New Roman"/>
          <w:sz w:val="30"/>
          <w:szCs w:val="30"/>
          <w:lang w:val="es-ES"/>
        </w:rPr>
        <w:t>uspensión de operaciones. Si dentro del plazo indicado no se hubiere concretado los acuerdos del proceso de exclusión y transferencia de activos y pasivos, el organismo de control dispondrá la liquidación forzosa de la entidad financiera inviable y solicit</w:t>
      </w:r>
      <w:r>
        <w:rPr>
          <w:rFonts w:eastAsia="Times New Roman"/>
          <w:sz w:val="30"/>
          <w:szCs w:val="30"/>
          <w:lang w:val="es-ES"/>
        </w:rPr>
        <w:t>ará a la Corporación del Seguro de Depósitos y Fondo de Liquidez el pago de los depósitos asegurados.</w:t>
      </w:r>
      <w:r>
        <w:rPr>
          <w:rFonts w:eastAsia="Times New Roman"/>
          <w:sz w:val="30"/>
          <w:szCs w:val="30"/>
          <w:lang w:val="es-ES"/>
        </w:rPr>
        <w:br/>
      </w:r>
      <w:r>
        <w:rPr>
          <w:rFonts w:eastAsia="Times New Roman"/>
          <w:sz w:val="30"/>
          <w:szCs w:val="30"/>
          <w:lang w:val="es-ES"/>
        </w:rPr>
        <w:br/>
        <w:t>En cualquier caso, el administrador temporal deberá reservar recursos suficientes para la cancelación de los créditos de ventanilla de redescuento y de i</w:t>
      </w:r>
      <w:r>
        <w:rPr>
          <w:rFonts w:eastAsia="Times New Roman"/>
          <w:sz w:val="30"/>
          <w:szCs w:val="30"/>
          <w:lang w:val="es-ES"/>
        </w:rPr>
        <w:t>nversión doméstica de los excedentes de liquidez.</w:t>
      </w:r>
    </w:p>
    <w:p w:rsidR="00000000" w:rsidRDefault="0018461E">
      <w:pPr>
        <w:divId w:val="1541435341"/>
        <w:rPr>
          <w:rFonts w:eastAsia="Times New Roman"/>
          <w:sz w:val="30"/>
          <w:szCs w:val="30"/>
          <w:lang w:val="es-ES"/>
        </w:rPr>
      </w:pPr>
      <w:r>
        <w:rPr>
          <w:rFonts w:eastAsia="Times New Roman"/>
          <w:sz w:val="30"/>
          <w:szCs w:val="30"/>
          <w:lang w:val="es-ES"/>
        </w:rPr>
        <w:t xml:space="preserve">Art. 297.- </w:t>
      </w:r>
      <w:r>
        <w:rPr>
          <w:rFonts w:eastAsia="Times New Roman"/>
          <w:b/>
          <w:bCs/>
          <w:sz w:val="30"/>
          <w:szCs w:val="30"/>
          <w:lang w:val="es-ES"/>
        </w:rPr>
        <w:t xml:space="preserve">Acciones administrativas y judiciales. </w:t>
      </w:r>
      <w:r>
        <w:rPr>
          <w:rFonts w:eastAsia="Times New Roman"/>
          <w:sz w:val="30"/>
          <w:szCs w:val="30"/>
          <w:lang w:val="es-ES"/>
        </w:rPr>
        <w:t xml:space="preserve">No podrán iniciarse o proseguirse acciones administrativas o judiciales sobre los activos de la entidad financiera cuyas operaciones hayan sido suspendidas </w:t>
      </w:r>
      <w:r>
        <w:rPr>
          <w:rFonts w:eastAsia="Times New Roman"/>
          <w:sz w:val="30"/>
          <w:szCs w:val="30"/>
          <w:lang w:val="es-ES"/>
        </w:rPr>
        <w:t>de acuerdo con el artículo 292, como tampoco podrán disponerse ni inscribirse medidas cautelares sobre aquellos. En caso de que se hubieren dispuesto medidas cautelares, el juez correspondiente ordenará su inmediato levantamiento.</w:t>
      </w:r>
      <w:r>
        <w:rPr>
          <w:rFonts w:eastAsia="Times New Roman"/>
          <w:sz w:val="30"/>
          <w:szCs w:val="30"/>
          <w:lang w:val="es-ES"/>
        </w:rPr>
        <w:br/>
      </w:r>
      <w:r>
        <w:rPr>
          <w:rFonts w:eastAsia="Times New Roman"/>
          <w:sz w:val="30"/>
          <w:szCs w:val="30"/>
          <w:lang w:val="es-ES"/>
        </w:rPr>
        <w:br/>
        <w:t>Los actos dispuestos por</w:t>
      </w:r>
      <w:r>
        <w:rPr>
          <w:rFonts w:eastAsia="Times New Roman"/>
          <w:sz w:val="30"/>
          <w:szCs w:val="30"/>
          <w:lang w:val="es-ES"/>
        </w:rPr>
        <w:t xml:space="preserve"> el administrador temporal que impliquen la transferencia de activos y pasivos de la entidad financiera inviable no están sujetos a autorización judicial alguna ni pueden ser considerados ineficaces respecto de los acreedores de la entidad financiera que f</w:t>
      </w:r>
      <w:r>
        <w:rPr>
          <w:rFonts w:eastAsia="Times New Roman"/>
          <w:sz w:val="30"/>
          <w:szCs w:val="30"/>
          <w:lang w:val="es-ES"/>
        </w:rPr>
        <w:t>uera la propietaria de los activos excluidos.</w:t>
      </w:r>
      <w:r>
        <w:rPr>
          <w:rFonts w:eastAsia="Times New Roman"/>
          <w:sz w:val="30"/>
          <w:szCs w:val="30"/>
          <w:lang w:val="es-ES"/>
        </w:rPr>
        <w:br/>
      </w:r>
      <w:r>
        <w:rPr>
          <w:rFonts w:eastAsia="Times New Roman"/>
          <w:sz w:val="30"/>
          <w:szCs w:val="30"/>
          <w:lang w:val="es-ES"/>
        </w:rPr>
        <w:br/>
        <w:t>Los acreedores de la entidad financiera inviable no tendrán acción o derecho alguno contra los adquirentes de los activos enajenados.</w:t>
      </w:r>
    </w:p>
    <w:p w:rsidR="00000000" w:rsidRDefault="0018461E">
      <w:pPr>
        <w:divId w:val="625043298"/>
        <w:rPr>
          <w:rFonts w:eastAsia="Times New Roman"/>
          <w:sz w:val="30"/>
          <w:szCs w:val="30"/>
          <w:lang w:val="es-ES"/>
        </w:rPr>
      </w:pPr>
      <w:r>
        <w:rPr>
          <w:rFonts w:eastAsia="Times New Roman"/>
          <w:sz w:val="30"/>
          <w:szCs w:val="30"/>
          <w:lang w:val="es-ES"/>
        </w:rPr>
        <w:t xml:space="preserve">Art. 298.- </w:t>
      </w:r>
      <w:r>
        <w:rPr>
          <w:rFonts w:eastAsia="Times New Roman"/>
          <w:b/>
          <w:bCs/>
          <w:sz w:val="30"/>
          <w:szCs w:val="30"/>
          <w:lang w:val="es-ES"/>
        </w:rPr>
        <w:t xml:space="preserve">Terminación del proceso de exclusión y transferencia de activos </w:t>
      </w:r>
      <w:r>
        <w:rPr>
          <w:rFonts w:eastAsia="Times New Roman"/>
          <w:b/>
          <w:bCs/>
          <w:sz w:val="30"/>
          <w:szCs w:val="30"/>
          <w:lang w:val="es-ES"/>
        </w:rPr>
        <w:t xml:space="preserve">y pasivos. </w:t>
      </w:r>
      <w:r>
        <w:rPr>
          <w:rFonts w:eastAsia="Times New Roman"/>
          <w:sz w:val="30"/>
          <w:szCs w:val="30"/>
          <w:lang w:val="es-ES"/>
        </w:rPr>
        <w:t>En el caso de que el proceso de exclusión y transferencia de activos y pasivos de una institución financiera inviable haya culminado satisfactoriamente se procederá a la liquidación forzosa de la entidad financiera, así como de sus activos y pas</w:t>
      </w:r>
      <w:r>
        <w:rPr>
          <w:rFonts w:eastAsia="Times New Roman"/>
          <w:sz w:val="30"/>
          <w:szCs w:val="30"/>
          <w:lang w:val="es-ES"/>
        </w:rPr>
        <w:t>ivos no transferidos.</w:t>
      </w:r>
      <w:r>
        <w:rPr>
          <w:rFonts w:eastAsia="Times New Roman"/>
          <w:sz w:val="30"/>
          <w:szCs w:val="30"/>
          <w:lang w:val="es-ES"/>
        </w:rPr>
        <w:br/>
      </w:r>
      <w:r>
        <w:rPr>
          <w:rFonts w:eastAsia="Times New Roman"/>
          <w:sz w:val="30"/>
          <w:szCs w:val="30"/>
          <w:lang w:val="es-ES"/>
        </w:rPr>
        <w:br/>
        <w:t xml:space="preserve">Asimismo, en el caso de que el proceso de exclusión y transferencia de activos y pasivos no haya culminado satisfactoriamente, se procederá a la liquidación forzosa de la entidad financiera, así como de la totalidad de sus activos y </w:t>
      </w:r>
      <w:r>
        <w:rPr>
          <w:rFonts w:eastAsia="Times New Roman"/>
          <w:sz w:val="30"/>
          <w:szCs w:val="30"/>
          <w:lang w:val="es-ES"/>
        </w:rPr>
        <w:t>pasivos.</w:t>
      </w:r>
    </w:p>
    <w:p w:rsidR="00000000" w:rsidRDefault="0018461E">
      <w:pPr>
        <w:jc w:val="center"/>
        <w:rPr>
          <w:rFonts w:eastAsia="Times New Roman"/>
          <w:sz w:val="36"/>
          <w:szCs w:val="36"/>
          <w:lang w:val="es-ES"/>
        </w:rPr>
      </w:pPr>
      <w:r>
        <w:rPr>
          <w:rFonts w:eastAsia="Times New Roman"/>
          <w:b/>
          <w:bCs/>
          <w:sz w:val="36"/>
          <w:szCs w:val="36"/>
          <w:lang w:val="es-ES"/>
        </w:rPr>
        <w:lastRenderedPageBreak/>
        <w:br/>
        <w:t xml:space="preserve">Sección 14 </w:t>
      </w:r>
      <w:r>
        <w:rPr>
          <w:rFonts w:eastAsia="Times New Roman"/>
          <w:b/>
          <w:bCs/>
          <w:sz w:val="36"/>
          <w:szCs w:val="36"/>
          <w:lang w:val="es-ES"/>
        </w:rPr>
        <w:br/>
        <w:t>DE LA LIQUIDACIÓN</w:t>
      </w:r>
    </w:p>
    <w:p w:rsidR="00000000" w:rsidRDefault="0018461E">
      <w:pPr>
        <w:divId w:val="963969427"/>
        <w:rPr>
          <w:rFonts w:eastAsia="Times New Roman"/>
          <w:sz w:val="30"/>
          <w:szCs w:val="30"/>
          <w:lang w:val="es-ES"/>
        </w:rPr>
      </w:pPr>
      <w:r>
        <w:rPr>
          <w:rFonts w:eastAsia="Times New Roman"/>
          <w:sz w:val="30"/>
          <w:szCs w:val="30"/>
          <w:lang w:val="es-ES"/>
        </w:rPr>
        <w:t xml:space="preserve">Art. 299.- </w:t>
      </w:r>
      <w:r>
        <w:rPr>
          <w:rFonts w:eastAsia="Times New Roman"/>
          <w:b/>
          <w:bCs/>
          <w:sz w:val="30"/>
          <w:szCs w:val="30"/>
          <w:lang w:val="es-ES"/>
        </w:rPr>
        <w:t xml:space="preserve">Liquidación. </w:t>
      </w:r>
      <w:r>
        <w:rPr>
          <w:rFonts w:eastAsia="Times New Roman"/>
          <w:sz w:val="30"/>
          <w:szCs w:val="30"/>
          <w:lang w:val="es-ES"/>
        </w:rPr>
        <w:t>Las entidades del sistema financiero nacional se liquidan voluntariamente o de manera forzosa, de conformidad con las disposiciones de este Código.</w:t>
      </w:r>
    </w:p>
    <w:p w:rsidR="00000000" w:rsidRDefault="0018461E">
      <w:pPr>
        <w:divId w:val="1670400628"/>
        <w:rPr>
          <w:rFonts w:eastAsia="Times New Roman"/>
          <w:sz w:val="30"/>
          <w:szCs w:val="30"/>
          <w:lang w:val="es-ES"/>
        </w:rPr>
      </w:pPr>
      <w:r>
        <w:rPr>
          <w:rFonts w:eastAsia="Times New Roman"/>
          <w:sz w:val="30"/>
          <w:szCs w:val="30"/>
          <w:lang w:val="es-ES"/>
        </w:rPr>
        <w:t xml:space="preserve">Art. 300.- </w:t>
      </w:r>
      <w:r>
        <w:rPr>
          <w:rFonts w:eastAsia="Times New Roman"/>
          <w:b/>
          <w:bCs/>
          <w:sz w:val="30"/>
          <w:szCs w:val="30"/>
          <w:lang w:val="es-ES"/>
        </w:rPr>
        <w:t xml:space="preserve">Transferencia de activos. </w:t>
      </w:r>
      <w:r>
        <w:rPr>
          <w:rFonts w:eastAsia="Times New Roman"/>
          <w:sz w:val="30"/>
          <w:szCs w:val="30"/>
          <w:lang w:val="es-ES"/>
        </w:rPr>
        <w:t xml:space="preserve">Cuando </w:t>
      </w:r>
      <w:r>
        <w:rPr>
          <w:rFonts w:eastAsia="Times New Roman"/>
          <w:sz w:val="30"/>
          <w:szCs w:val="30"/>
          <w:lang w:val="es-ES"/>
        </w:rPr>
        <w:t>una entidad del sistema financiero nacional que se encuentre en liquidación forzosa o cuya junta general de accionistas u organismo que haga sus veces haya acordado su disolución voluntaria, enajenase la totalidad de sus activos o una parte sustancial de e</w:t>
      </w:r>
      <w:r>
        <w:rPr>
          <w:rFonts w:eastAsia="Times New Roman"/>
          <w:sz w:val="30"/>
          <w:szCs w:val="30"/>
          <w:lang w:val="es-ES"/>
        </w:rPr>
        <w:t>llos a otra entidad financiera, dicha transferencia se efectuará mediante escritura pública en la cual se señalen, por su monto y partida, los bienes que se transfieren de acuerdo al balance respectivo.</w:t>
      </w:r>
      <w:r>
        <w:rPr>
          <w:rFonts w:eastAsia="Times New Roman"/>
          <w:sz w:val="30"/>
          <w:szCs w:val="30"/>
          <w:lang w:val="es-ES"/>
        </w:rPr>
        <w:br/>
      </w:r>
      <w:r>
        <w:rPr>
          <w:rFonts w:eastAsia="Times New Roman"/>
          <w:sz w:val="30"/>
          <w:szCs w:val="30"/>
          <w:lang w:val="es-ES"/>
        </w:rPr>
        <w:br/>
        <w:t>En los casos contemplados en el párrafo que antecede</w:t>
      </w:r>
      <w:r>
        <w:rPr>
          <w:rFonts w:eastAsia="Times New Roman"/>
          <w:sz w:val="30"/>
          <w:szCs w:val="30"/>
          <w:lang w:val="es-ES"/>
        </w:rPr>
        <w:t>, así como en cualquier otro caso de cesión, la tradición de los bienes y sus correspondientes garantías y derechos accesorios operará de pleno derecho, sin necesidad de endosos, notificaciones ni inscripciones, salvo en el caso de los bienes raíces. El só</w:t>
      </w:r>
      <w:r>
        <w:rPr>
          <w:rFonts w:eastAsia="Times New Roman"/>
          <w:sz w:val="30"/>
          <w:szCs w:val="30"/>
          <w:lang w:val="es-ES"/>
        </w:rPr>
        <w:t>lo mérito del instrumento público de cesión permitirá inscribir las garantías, cuando corresponda, o ejercer en juicio los derechos de acreedor.</w:t>
      </w:r>
      <w:r>
        <w:rPr>
          <w:rFonts w:eastAsia="Times New Roman"/>
          <w:sz w:val="30"/>
          <w:szCs w:val="30"/>
          <w:lang w:val="es-ES"/>
        </w:rPr>
        <w:br/>
      </w:r>
      <w:r>
        <w:rPr>
          <w:rFonts w:eastAsia="Times New Roman"/>
          <w:sz w:val="30"/>
          <w:szCs w:val="30"/>
          <w:lang w:val="es-ES"/>
        </w:rPr>
        <w:br/>
        <w:t>Los registradores de la propiedad y mercantil estarán obligados a efectuar de forma expedita los registros e i</w:t>
      </w:r>
      <w:r>
        <w:rPr>
          <w:rFonts w:eastAsia="Times New Roman"/>
          <w:sz w:val="30"/>
          <w:szCs w:val="30"/>
          <w:lang w:val="es-ES"/>
        </w:rPr>
        <w:t>nscripciones correspondientes.</w:t>
      </w:r>
    </w:p>
    <w:p w:rsidR="00000000" w:rsidRDefault="0018461E">
      <w:pPr>
        <w:divId w:val="1578199428"/>
        <w:rPr>
          <w:rFonts w:eastAsia="Times New Roman"/>
          <w:sz w:val="30"/>
          <w:szCs w:val="30"/>
          <w:lang w:val="es-ES"/>
        </w:rPr>
      </w:pPr>
      <w:r>
        <w:rPr>
          <w:rFonts w:eastAsia="Times New Roman"/>
          <w:sz w:val="30"/>
          <w:szCs w:val="30"/>
          <w:lang w:val="es-ES"/>
        </w:rPr>
        <w:t xml:space="preserve">Art. 301.- </w:t>
      </w:r>
      <w:r>
        <w:rPr>
          <w:rFonts w:eastAsia="Times New Roman"/>
          <w:b/>
          <w:bCs/>
          <w:sz w:val="30"/>
          <w:szCs w:val="30"/>
          <w:lang w:val="es-ES"/>
        </w:rPr>
        <w:t xml:space="preserve">Causales de liquidación voluntaria. </w:t>
      </w:r>
      <w:r>
        <w:rPr>
          <w:rFonts w:eastAsia="Times New Roman"/>
          <w:sz w:val="30"/>
          <w:szCs w:val="30"/>
          <w:lang w:val="es-ES"/>
        </w:rPr>
        <w:t>Las entidades del sistema financiero nacional se liquidan de forma voluntaria, cuando no estén incursas en causales de liquidación forzosa, por las siguientes causales:</w:t>
      </w:r>
      <w:r>
        <w:rPr>
          <w:rFonts w:eastAsia="Times New Roman"/>
          <w:sz w:val="30"/>
          <w:szCs w:val="30"/>
          <w:lang w:val="es-ES"/>
        </w:rPr>
        <w:br/>
      </w:r>
      <w:r>
        <w:rPr>
          <w:rFonts w:eastAsia="Times New Roman"/>
          <w:sz w:val="30"/>
          <w:szCs w:val="30"/>
          <w:lang w:val="es-ES"/>
        </w:rPr>
        <w:br/>
        <w:t>1. Por v</w:t>
      </w:r>
      <w:r>
        <w:rPr>
          <w:rFonts w:eastAsia="Times New Roman"/>
          <w:sz w:val="30"/>
          <w:szCs w:val="30"/>
          <w:lang w:val="es-ES"/>
        </w:rPr>
        <w:t>encimiento del plazo de duración fijado en el estatuto social;</w:t>
      </w:r>
      <w:r>
        <w:rPr>
          <w:rFonts w:eastAsia="Times New Roman"/>
          <w:sz w:val="30"/>
          <w:szCs w:val="30"/>
          <w:lang w:val="es-ES"/>
        </w:rPr>
        <w:br/>
      </w:r>
      <w:r>
        <w:rPr>
          <w:rFonts w:eastAsia="Times New Roman"/>
          <w:sz w:val="30"/>
          <w:szCs w:val="30"/>
          <w:lang w:val="es-ES"/>
        </w:rPr>
        <w:br/>
        <w:t>2. Por fusión;</w:t>
      </w:r>
      <w:r>
        <w:rPr>
          <w:rFonts w:eastAsia="Times New Roman"/>
          <w:sz w:val="30"/>
          <w:szCs w:val="30"/>
          <w:lang w:val="es-ES"/>
        </w:rPr>
        <w:br/>
      </w:r>
      <w:r>
        <w:rPr>
          <w:rFonts w:eastAsia="Times New Roman"/>
          <w:sz w:val="30"/>
          <w:szCs w:val="30"/>
          <w:lang w:val="es-ES"/>
        </w:rPr>
        <w:br/>
        <w:t>3. Por conclusión de las actividades para las cuales se formaron; y</w:t>
      </w:r>
      <w:r>
        <w:rPr>
          <w:rFonts w:eastAsia="Times New Roman"/>
          <w:sz w:val="30"/>
          <w:szCs w:val="30"/>
          <w:lang w:val="es-ES"/>
        </w:rPr>
        <w:br/>
      </w:r>
      <w:r>
        <w:rPr>
          <w:rFonts w:eastAsia="Times New Roman"/>
          <w:sz w:val="30"/>
          <w:szCs w:val="30"/>
          <w:lang w:val="es-ES"/>
        </w:rPr>
        <w:br/>
        <w:t>4. Por traslado del domicilio principal al extranjero.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entidades de los sectores financieros privado y</w:t>
      </w:r>
      <w:r>
        <w:rPr>
          <w:rFonts w:eastAsia="Times New Roman"/>
          <w:sz w:val="30"/>
          <w:szCs w:val="30"/>
          <w:lang w:val="es-ES"/>
        </w:rPr>
        <w:t xml:space="preserve"> popular y solidario también se liquidarán por acuerdo de los accionistas o socios, según el caso.</w:t>
      </w:r>
      <w:r>
        <w:rPr>
          <w:rFonts w:eastAsia="Times New Roman"/>
          <w:sz w:val="30"/>
          <w:szCs w:val="30"/>
          <w:lang w:val="es-ES"/>
        </w:rPr>
        <w:br/>
      </w:r>
      <w:r>
        <w:rPr>
          <w:rFonts w:eastAsia="Times New Roman"/>
          <w:sz w:val="30"/>
          <w:szCs w:val="30"/>
          <w:lang w:val="es-ES"/>
        </w:rPr>
        <w:br/>
        <w:t>Las entidades del sector financiero público se liquidarán también por razones de interés público dispuestas por el Presidente de la República.</w:t>
      </w:r>
    </w:p>
    <w:p w:rsidR="00000000" w:rsidRDefault="0018461E">
      <w:pPr>
        <w:divId w:val="408891370"/>
        <w:rPr>
          <w:rFonts w:eastAsia="Times New Roman"/>
          <w:sz w:val="30"/>
          <w:szCs w:val="30"/>
          <w:lang w:val="es-ES"/>
        </w:rPr>
      </w:pPr>
      <w:r>
        <w:rPr>
          <w:rFonts w:eastAsia="Times New Roman"/>
          <w:sz w:val="30"/>
          <w:szCs w:val="30"/>
          <w:lang w:val="es-ES"/>
        </w:rPr>
        <w:t xml:space="preserve">Art. 302.- </w:t>
      </w:r>
      <w:r>
        <w:rPr>
          <w:rFonts w:eastAsia="Times New Roman"/>
          <w:b/>
          <w:bCs/>
          <w:sz w:val="30"/>
          <w:szCs w:val="30"/>
          <w:lang w:val="es-ES"/>
        </w:rPr>
        <w:t>Re</w:t>
      </w:r>
      <w:r>
        <w:rPr>
          <w:rFonts w:eastAsia="Times New Roman"/>
          <w:b/>
          <w:bCs/>
          <w:sz w:val="30"/>
          <w:szCs w:val="30"/>
          <w:lang w:val="es-ES"/>
        </w:rPr>
        <w:t xml:space="preserve">solución de liquidación voluntaria. </w:t>
      </w:r>
      <w:r>
        <w:rPr>
          <w:rFonts w:eastAsia="Times New Roman"/>
          <w:sz w:val="30"/>
          <w:szCs w:val="30"/>
          <w:lang w:val="es-ES"/>
        </w:rPr>
        <w:t>La decisión de liquidar una entidad del sistema financiero nacional de manera voluntaria, por cualquiera de las causas determinadas en este Código, será puesta en conocimiento del organismo de control para su aprobación.</w:t>
      </w:r>
      <w:r>
        <w:rPr>
          <w:rFonts w:eastAsia="Times New Roman"/>
          <w:sz w:val="30"/>
          <w:szCs w:val="30"/>
          <w:lang w:val="es-ES"/>
        </w:rPr>
        <w:t xml:space="preserve"> El organismo de control, previa verificación de que la entidad financiera no se encuentre incursa en ninguna de las causales de liquidación forzosa, que disponga de los recursos necesarios para atender todas sus obligaciones financieras y no financieras y</w:t>
      </w:r>
      <w:r>
        <w:rPr>
          <w:rFonts w:eastAsia="Times New Roman"/>
          <w:sz w:val="30"/>
          <w:szCs w:val="30"/>
          <w:lang w:val="es-ES"/>
        </w:rPr>
        <w:t xml:space="preserve"> que su liquidación no genere efectos negativos en la funcionalidad del sistema financiero nacional o en la gestión macroeconómica del país, podrá aprobar o negar la liquidación voluntaria, mediante la expedición del correspondiente acto administrativo.</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i la entidad financiera se encuentra en causal de liquidación forzosa o no cuenta con los recursos suficientes para atender todas sus obligaciones financieras y no financieras, se negará la liquidación voluntaria y dispondrá las acciones administrativas co</w:t>
      </w:r>
      <w:r>
        <w:rPr>
          <w:rFonts w:eastAsia="Times New Roman"/>
          <w:sz w:val="30"/>
          <w:szCs w:val="30"/>
          <w:lang w:val="es-ES"/>
        </w:rPr>
        <w:t>rrespondientes.</w:t>
      </w:r>
    </w:p>
    <w:p w:rsidR="00000000" w:rsidRDefault="0018461E">
      <w:pPr>
        <w:divId w:val="1049500459"/>
        <w:rPr>
          <w:rFonts w:eastAsia="Times New Roman"/>
          <w:sz w:val="30"/>
          <w:szCs w:val="30"/>
          <w:lang w:val="es-ES"/>
        </w:rPr>
      </w:pPr>
      <w:r>
        <w:rPr>
          <w:rFonts w:eastAsia="Times New Roman"/>
          <w:sz w:val="30"/>
          <w:szCs w:val="30"/>
          <w:lang w:val="es-ES"/>
        </w:rPr>
        <w:t xml:space="preserve">Art. 303.- </w:t>
      </w:r>
      <w:r>
        <w:rPr>
          <w:rFonts w:eastAsia="Times New Roman"/>
          <w:b/>
          <w:bCs/>
          <w:sz w:val="30"/>
          <w:szCs w:val="30"/>
          <w:lang w:val="es-ES"/>
        </w:rPr>
        <w:t xml:space="preserve">Causales de liquidación forzosa. </w:t>
      </w:r>
      <w:r>
        <w:rPr>
          <w:rFonts w:eastAsia="Times New Roman"/>
          <w:sz w:val="30"/>
          <w:szCs w:val="30"/>
          <w:lang w:val="es-ES"/>
        </w:rPr>
        <w:t>Las entidades del sistema financiero nacional se liquidan de manera forzosa, por las siguientes causas:</w:t>
      </w:r>
      <w:r>
        <w:rPr>
          <w:rFonts w:eastAsia="Times New Roman"/>
          <w:sz w:val="30"/>
          <w:szCs w:val="30"/>
          <w:lang w:val="es-ES"/>
        </w:rPr>
        <w:br/>
      </w:r>
      <w:r>
        <w:rPr>
          <w:rFonts w:eastAsia="Times New Roman"/>
          <w:sz w:val="30"/>
          <w:szCs w:val="30"/>
          <w:lang w:val="es-ES"/>
        </w:rPr>
        <w:br/>
        <w:t>1. Por la revocatoria de una o varias de las autorizaciones de actividades financieras, cua</w:t>
      </w:r>
      <w:r>
        <w:rPr>
          <w:rFonts w:eastAsia="Times New Roman"/>
          <w:sz w:val="30"/>
          <w:szCs w:val="30"/>
          <w:lang w:val="es-ES"/>
        </w:rPr>
        <w:t>ndo a criterio del organismo de control éstas afecten la viabilidad económico- financiera de la entidad;</w:t>
      </w:r>
      <w:r>
        <w:rPr>
          <w:rFonts w:eastAsia="Times New Roman"/>
          <w:sz w:val="30"/>
          <w:szCs w:val="30"/>
          <w:lang w:val="es-ES"/>
        </w:rPr>
        <w:br/>
      </w:r>
      <w:r>
        <w:rPr>
          <w:rFonts w:eastAsia="Times New Roman"/>
          <w:sz w:val="30"/>
          <w:szCs w:val="30"/>
          <w:lang w:val="es-ES"/>
        </w:rPr>
        <w:br/>
        <w:t>2. Por incumplimiento sustancial del programa de supervisión intensiva;</w:t>
      </w:r>
      <w:r>
        <w:rPr>
          <w:rFonts w:eastAsia="Times New Roman"/>
          <w:sz w:val="30"/>
          <w:szCs w:val="30"/>
          <w:lang w:val="es-ES"/>
        </w:rPr>
        <w:br/>
      </w:r>
      <w:r>
        <w:rPr>
          <w:rFonts w:eastAsia="Times New Roman"/>
          <w:sz w:val="30"/>
          <w:szCs w:val="30"/>
          <w:lang w:val="es-ES"/>
        </w:rPr>
        <w:br/>
        <w:t>3. Por no cubrir las deficiencias de patrimonio técnico de conformidad con lo</w:t>
      </w:r>
      <w:r>
        <w:rPr>
          <w:rFonts w:eastAsia="Times New Roman"/>
          <w:sz w:val="30"/>
          <w:szCs w:val="30"/>
          <w:lang w:val="es-ES"/>
        </w:rPr>
        <w:t xml:space="preserve"> establecido en el artículo 192;</w:t>
      </w:r>
      <w:r>
        <w:rPr>
          <w:rFonts w:eastAsia="Times New Roman"/>
          <w:sz w:val="30"/>
          <w:szCs w:val="30"/>
          <w:lang w:val="es-ES"/>
        </w:rPr>
        <w:br/>
      </w:r>
      <w:r>
        <w:rPr>
          <w:rFonts w:eastAsia="Times New Roman"/>
          <w:sz w:val="30"/>
          <w:szCs w:val="30"/>
          <w:lang w:val="es-ES"/>
        </w:rPr>
        <w:br/>
        <w:t>4. Por no elevar el capital social o el capital suscrito y pagado a los mínimos establecidos en este Código;</w:t>
      </w:r>
      <w:r>
        <w:rPr>
          <w:rFonts w:eastAsia="Times New Roman"/>
          <w:sz w:val="30"/>
          <w:szCs w:val="30"/>
          <w:lang w:val="es-ES"/>
        </w:rPr>
        <w:br/>
      </w:r>
      <w:r>
        <w:rPr>
          <w:rFonts w:eastAsia="Times New Roman"/>
          <w:sz w:val="30"/>
          <w:szCs w:val="30"/>
          <w:lang w:val="es-ES"/>
        </w:rPr>
        <w:lastRenderedPageBreak/>
        <w:br/>
        <w:t>5. Por pérdidas del 50% o más del capital social o el capital suscrito y pagado, que no pudieran ser cubiertas c</w:t>
      </w:r>
      <w:r>
        <w:rPr>
          <w:rFonts w:eastAsia="Times New Roman"/>
          <w:sz w:val="30"/>
          <w:szCs w:val="30"/>
          <w:lang w:val="es-ES"/>
        </w:rPr>
        <w:t>on las reservas de la entidad;</w:t>
      </w:r>
      <w:r>
        <w:rPr>
          <w:rFonts w:eastAsia="Times New Roman"/>
          <w:sz w:val="30"/>
          <w:szCs w:val="30"/>
          <w:lang w:val="es-ES"/>
        </w:rPr>
        <w:br/>
      </w:r>
      <w:r>
        <w:rPr>
          <w:rFonts w:eastAsia="Times New Roman"/>
          <w:sz w:val="30"/>
          <w:szCs w:val="30"/>
          <w:lang w:val="es-ES"/>
        </w:rPr>
        <w:br/>
        <w:t>6. Por no pagar cualquiera de sus obligaciones, especialmente con los depositantes, en la cámara de compensación o el incumplimiento en la restitución de las operaciones de inversión doméstica o ventanilla de redescuento, cu</w:t>
      </w:r>
      <w:r>
        <w:rPr>
          <w:rFonts w:eastAsia="Times New Roman"/>
          <w:sz w:val="30"/>
          <w:szCs w:val="30"/>
          <w:lang w:val="es-ES"/>
        </w:rPr>
        <w:t>ando el fondo de liquidez no alcance a cubrir dichas operaciones. En el caso de las entidades del Sector Financiero Popular y Solidario, excepto las del segmento 1, que geográficamente se encuentre localizadas en zonas de difícil acceso, esta causal de liq</w:t>
      </w:r>
      <w:r>
        <w:rPr>
          <w:rFonts w:eastAsia="Times New Roman"/>
          <w:sz w:val="30"/>
          <w:szCs w:val="30"/>
          <w:lang w:val="es-ES"/>
        </w:rPr>
        <w:t>uidación forzosa se configura si dentro de setenta y dos horas de requerido el pago de obligaciones, estas no fueran satisfechas;</w:t>
      </w:r>
      <w:r>
        <w:rPr>
          <w:rFonts w:eastAsia="Times New Roman"/>
          <w:sz w:val="30"/>
          <w:szCs w:val="30"/>
          <w:lang w:val="es-ES"/>
        </w:rPr>
        <w:br/>
      </w:r>
      <w:r>
        <w:rPr>
          <w:rFonts w:eastAsia="Times New Roman"/>
          <w:sz w:val="30"/>
          <w:szCs w:val="30"/>
          <w:lang w:val="es-ES"/>
        </w:rPr>
        <w:br/>
        <w:t>7. Cuando cualquiera de los indicadores de solvencia sea inferior al cincuenta por ciento (50%) del nivel mínimo requerido;</w:t>
      </w:r>
      <w:r>
        <w:rPr>
          <w:rFonts w:eastAsia="Times New Roman"/>
          <w:sz w:val="30"/>
          <w:szCs w:val="30"/>
          <w:lang w:val="es-ES"/>
        </w:rPr>
        <w:br/>
      </w:r>
      <w:r>
        <w:rPr>
          <w:rFonts w:eastAsia="Times New Roman"/>
          <w:sz w:val="30"/>
          <w:szCs w:val="30"/>
          <w:lang w:val="es-ES"/>
        </w:rPr>
        <w:br/>
      </w:r>
      <w:r>
        <w:rPr>
          <w:rFonts w:eastAsia="Times New Roman"/>
          <w:sz w:val="30"/>
          <w:szCs w:val="30"/>
          <w:lang w:val="es-ES"/>
        </w:rPr>
        <w:t>8. Por acumular dos meses de incumplimiento en el pago de aportes y contribuciones al Seguro de Depósitos y/o Fondo de Liquidez;</w:t>
      </w:r>
      <w:r>
        <w:rPr>
          <w:rFonts w:eastAsia="Times New Roman"/>
          <w:sz w:val="30"/>
          <w:szCs w:val="30"/>
          <w:lang w:val="es-ES"/>
        </w:rPr>
        <w:br/>
      </w:r>
      <w:r>
        <w:rPr>
          <w:rFonts w:eastAsia="Times New Roman"/>
          <w:sz w:val="30"/>
          <w:szCs w:val="30"/>
          <w:lang w:val="es-ES"/>
        </w:rPr>
        <w:br/>
        <w:t>9. Por terminación del proceso de exclusión y transferencia de activos y pasivos referido en el artículo 296; y,</w:t>
      </w:r>
      <w:r>
        <w:rPr>
          <w:rFonts w:eastAsia="Times New Roman"/>
          <w:sz w:val="30"/>
          <w:szCs w:val="30"/>
          <w:lang w:val="es-ES"/>
        </w:rPr>
        <w:br/>
      </w:r>
      <w:r>
        <w:rPr>
          <w:rFonts w:eastAsia="Times New Roman"/>
          <w:sz w:val="30"/>
          <w:szCs w:val="30"/>
          <w:lang w:val="es-ES"/>
        </w:rPr>
        <w:br/>
        <w:t>10. Por cual</w:t>
      </w:r>
      <w:r>
        <w:rPr>
          <w:rFonts w:eastAsia="Times New Roman"/>
          <w:sz w:val="30"/>
          <w:szCs w:val="30"/>
          <w:lang w:val="es-ES"/>
        </w:rPr>
        <w:t>quier otra causa determinada en este Código.</w:t>
      </w:r>
      <w:r>
        <w:rPr>
          <w:rFonts w:eastAsia="Times New Roman"/>
          <w:sz w:val="30"/>
          <w:szCs w:val="30"/>
          <w:lang w:val="es-ES"/>
        </w:rPr>
        <w:br/>
      </w:r>
      <w:r>
        <w:rPr>
          <w:rFonts w:eastAsia="Times New Roman"/>
          <w:sz w:val="30"/>
          <w:szCs w:val="30"/>
          <w:lang w:val="es-ES"/>
        </w:rPr>
        <w:br/>
        <w:t>Las entidades que conforman los sectores financieros privado y popular y solidario se liquidarán de manera forzosa, adicionalmente, por las siguientes causas:</w:t>
      </w:r>
      <w:r>
        <w:rPr>
          <w:rFonts w:eastAsia="Times New Roman"/>
          <w:sz w:val="30"/>
          <w:szCs w:val="30"/>
          <w:lang w:val="es-ES"/>
        </w:rPr>
        <w:br/>
      </w:r>
      <w:r>
        <w:rPr>
          <w:rFonts w:eastAsia="Times New Roman"/>
          <w:sz w:val="30"/>
          <w:szCs w:val="30"/>
          <w:lang w:val="es-ES"/>
        </w:rPr>
        <w:br/>
        <w:t>11. Por imposibilidad manifiesta de cumplir el obj</w:t>
      </w:r>
      <w:r>
        <w:rPr>
          <w:rFonts w:eastAsia="Times New Roman"/>
          <w:sz w:val="30"/>
          <w:szCs w:val="30"/>
          <w:lang w:val="es-ES"/>
        </w:rPr>
        <w:t>eto social;</w:t>
      </w:r>
      <w:r>
        <w:rPr>
          <w:rFonts w:eastAsia="Times New Roman"/>
          <w:sz w:val="30"/>
          <w:szCs w:val="30"/>
          <w:lang w:val="es-ES"/>
        </w:rPr>
        <w:br/>
      </w:r>
      <w:r>
        <w:rPr>
          <w:rFonts w:eastAsia="Times New Roman"/>
          <w:sz w:val="30"/>
          <w:szCs w:val="30"/>
          <w:lang w:val="es-ES"/>
        </w:rPr>
        <w:br/>
        <w:t>12. Cuando los administradores de la entidad abandonen sus cargos y no sea posible designar sus reemplazos en un plazo no mayor de treinta días;</w:t>
      </w:r>
      <w:r>
        <w:rPr>
          <w:rFonts w:eastAsia="Times New Roman"/>
          <w:sz w:val="30"/>
          <w:szCs w:val="30"/>
          <w:lang w:val="es-ES"/>
        </w:rPr>
        <w:br/>
      </w:r>
      <w:r>
        <w:rPr>
          <w:rFonts w:eastAsia="Times New Roman"/>
          <w:sz w:val="30"/>
          <w:szCs w:val="30"/>
          <w:lang w:val="es-ES"/>
        </w:rPr>
        <w:br/>
        <w:t>13. Por la reducción del número mínimo legal de accionistas y por disminución del número de sus s</w:t>
      </w:r>
      <w:r>
        <w:rPr>
          <w:rFonts w:eastAsia="Times New Roman"/>
          <w:sz w:val="30"/>
          <w:szCs w:val="30"/>
          <w:lang w:val="es-ES"/>
        </w:rPr>
        <w:t>ocios por debajo del mínimo legal establecido; y,</w:t>
      </w:r>
      <w:r>
        <w:rPr>
          <w:rFonts w:eastAsia="Times New Roman"/>
          <w:sz w:val="30"/>
          <w:szCs w:val="30"/>
          <w:lang w:val="es-ES"/>
        </w:rPr>
        <w:br/>
      </w:r>
      <w:r>
        <w:rPr>
          <w:rFonts w:eastAsia="Times New Roman"/>
          <w:sz w:val="30"/>
          <w:szCs w:val="30"/>
          <w:lang w:val="es-ES"/>
        </w:rPr>
        <w:br/>
        <w:t xml:space="preserve">14. Por no modificar sus procedimientos, por la inoperancia del </w:t>
      </w:r>
      <w:r>
        <w:rPr>
          <w:rFonts w:eastAsia="Times New Roman"/>
          <w:sz w:val="30"/>
          <w:szCs w:val="30"/>
          <w:lang w:val="es-ES"/>
        </w:rPr>
        <w:lastRenderedPageBreak/>
        <w:t>directorio o por la no adopción de los acuerdos determinados en el último inciso del artículo 412.</w:t>
      </w:r>
      <w:r>
        <w:rPr>
          <w:rFonts w:eastAsia="Times New Roman"/>
          <w:sz w:val="30"/>
          <w:szCs w:val="30"/>
          <w:lang w:val="es-ES"/>
        </w:rPr>
        <w:br/>
      </w:r>
      <w:r>
        <w:rPr>
          <w:rFonts w:eastAsia="Times New Roman"/>
          <w:sz w:val="30"/>
          <w:szCs w:val="30"/>
          <w:lang w:val="es-ES"/>
        </w:rPr>
        <w:br/>
        <w:t>La resolución de suspensión de operacione</w:t>
      </w:r>
      <w:r>
        <w:rPr>
          <w:rFonts w:eastAsia="Times New Roman"/>
          <w:sz w:val="30"/>
          <w:szCs w:val="30"/>
          <w:lang w:val="es-ES"/>
        </w:rPr>
        <w:t>s dispuesta en el artículo 292 causará la pérdida de la propiedad de las acciones de todos los accionistas y de las participaciones de los socios.</w:t>
      </w:r>
    </w:p>
    <w:p w:rsidR="00000000" w:rsidRDefault="0018461E">
      <w:pPr>
        <w:divId w:val="1211575469"/>
        <w:rPr>
          <w:rFonts w:eastAsia="Times New Roman"/>
          <w:sz w:val="30"/>
          <w:szCs w:val="30"/>
          <w:lang w:val="es-ES"/>
        </w:rPr>
      </w:pPr>
      <w:r>
        <w:rPr>
          <w:rFonts w:eastAsia="Times New Roman"/>
          <w:sz w:val="30"/>
          <w:szCs w:val="30"/>
          <w:lang w:val="es-ES"/>
        </w:rPr>
        <w:t xml:space="preserve">Art. 304.- </w:t>
      </w:r>
      <w:r>
        <w:rPr>
          <w:rFonts w:eastAsia="Times New Roman"/>
          <w:b/>
          <w:bCs/>
          <w:sz w:val="30"/>
          <w:szCs w:val="30"/>
          <w:lang w:val="es-ES"/>
        </w:rPr>
        <w:t xml:space="preserve">Resolución de liquidación forzosa. </w:t>
      </w:r>
      <w:r>
        <w:rPr>
          <w:rFonts w:eastAsia="Times New Roman"/>
          <w:sz w:val="30"/>
          <w:szCs w:val="30"/>
          <w:lang w:val="es-ES"/>
        </w:rPr>
        <w:t>Cuando el organismo de control llegase a determinar que la enti</w:t>
      </w:r>
      <w:r>
        <w:rPr>
          <w:rFonts w:eastAsia="Times New Roman"/>
          <w:sz w:val="30"/>
          <w:szCs w:val="30"/>
          <w:lang w:val="es-ES"/>
        </w:rPr>
        <w:t>dad financiera está incursa en una o varias causales de liquidación forzosa, y no fuera posible o factible implementar un proceso de exclusión y transferencia de activos y pasivos, procederá a emitir la resolución de liquidación forzosa de la entidad.</w:t>
      </w:r>
    </w:p>
    <w:p w:rsidR="00000000" w:rsidRDefault="0018461E">
      <w:pPr>
        <w:divId w:val="118113383"/>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305.- </w:t>
      </w:r>
      <w:r>
        <w:rPr>
          <w:rFonts w:eastAsia="Times New Roman"/>
          <w:b/>
          <w:bCs/>
          <w:sz w:val="30"/>
          <w:szCs w:val="30"/>
          <w:lang w:val="es-ES"/>
        </w:rPr>
        <w:t xml:space="preserve">Presunción de quiebra fraudulenta. </w:t>
      </w:r>
      <w:r>
        <w:rPr>
          <w:rFonts w:eastAsia="Times New Roman"/>
          <w:sz w:val="30"/>
          <w:szCs w:val="30"/>
          <w:lang w:val="es-ES"/>
        </w:rPr>
        <w:t xml:space="preserve">Cuando una entidad financiera sea puesta en liquidación forzosa, se presumirá que es consecuencia de actos dolosos cometidos por los administradores, funcionarios o empleados que hubiesen participado en cualquiera </w:t>
      </w:r>
      <w:r>
        <w:rPr>
          <w:rFonts w:eastAsia="Times New Roman"/>
          <w:sz w:val="30"/>
          <w:szCs w:val="30"/>
          <w:lang w:val="es-ES"/>
        </w:rPr>
        <w:t>de los actos señalados por el Código Orgánico Integral Penal.</w:t>
      </w:r>
    </w:p>
    <w:p w:rsidR="00000000" w:rsidRDefault="0018461E">
      <w:pPr>
        <w:divId w:val="1389453565"/>
        <w:rPr>
          <w:rFonts w:eastAsia="Times New Roman"/>
          <w:sz w:val="30"/>
          <w:szCs w:val="30"/>
          <w:lang w:val="es-ES"/>
        </w:rPr>
      </w:pPr>
      <w:r>
        <w:rPr>
          <w:rFonts w:eastAsia="Times New Roman"/>
          <w:sz w:val="30"/>
          <w:szCs w:val="30"/>
          <w:lang w:val="es-ES"/>
        </w:rPr>
        <w:t xml:space="preserve">Art. 306.- </w:t>
      </w:r>
      <w:r>
        <w:rPr>
          <w:rFonts w:eastAsia="Times New Roman"/>
          <w:b/>
          <w:bCs/>
          <w:sz w:val="30"/>
          <w:szCs w:val="30"/>
          <w:lang w:val="es-ES"/>
        </w:rPr>
        <w:t xml:space="preserve">Denuncia. </w:t>
      </w:r>
      <w:r>
        <w:rPr>
          <w:rFonts w:eastAsia="Times New Roman"/>
          <w:sz w:val="30"/>
          <w:szCs w:val="30"/>
          <w:lang w:val="es-ES"/>
        </w:rPr>
        <w:t>En caso de que se resuelva la suspensión de operaciones o la liquidación forzosa de una entidad financiera, el organismo de control está obligado a presentar de inmediato la denuncia correspondiente ante la Fiscalía General del Estado, de conformidad con e</w:t>
      </w:r>
      <w:r>
        <w:rPr>
          <w:rFonts w:eastAsia="Times New Roman"/>
          <w:sz w:val="30"/>
          <w:szCs w:val="30"/>
          <w:lang w:val="es-ES"/>
        </w:rPr>
        <w:t>l Código Orgánico Integral Penal, con el propósito de que se establezcan las responsabilidades penales a que hubiere lugar.</w:t>
      </w:r>
    </w:p>
    <w:p w:rsidR="00000000" w:rsidRDefault="0018461E">
      <w:pPr>
        <w:divId w:val="1541359510"/>
        <w:rPr>
          <w:rFonts w:eastAsia="Times New Roman"/>
          <w:sz w:val="30"/>
          <w:szCs w:val="30"/>
          <w:lang w:val="es-ES"/>
        </w:rPr>
      </w:pPr>
      <w:r>
        <w:rPr>
          <w:rFonts w:eastAsia="Times New Roman"/>
          <w:sz w:val="30"/>
          <w:szCs w:val="30"/>
          <w:lang w:val="es-ES"/>
        </w:rPr>
        <w:t xml:space="preserve">Art. 307.- </w:t>
      </w:r>
      <w:r>
        <w:rPr>
          <w:rFonts w:eastAsia="Times New Roman"/>
          <w:b/>
          <w:bCs/>
          <w:sz w:val="30"/>
          <w:szCs w:val="30"/>
          <w:lang w:val="es-ES"/>
        </w:rPr>
        <w:t xml:space="preserve">Contenido de la resolución de liquidación. </w:t>
      </w:r>
      <w:r>
        <w:rPr>
          <w:rFonts w:eastAsia="Times New Roman"/>
          <w:sz w:val="30"/>
          <w:szCs w:val="30"/>
          <w:lang w:val="es-ES"/>
        </w:rPr>
        <w:t>En la resolución de liquidación voluntaria o forzosa se dispondrá, al menos, l</w:t>
      </w:r>
      <w:r>
        <w:rPr>
          <w:rFonts w:eastAsia="Times New Roman"/>
          <w:sz w:val="30"/>
          <w:szCs w:val="30"/>
          <w:lang w:val="es-ES"/>
        </w:rPr>
        <w:t>o siguiente:</w:t>
      </w:r>
      <w:r>
        <w:rPr>
          <w:rFonts w:eastAsia="Times New Roman"/>
          <w:sz w:val="30"/>
          <w:szCs w:val="30"/>
          <w:lang w:val="es-ES"/>
        </w:rPr>
        <w:br/>
      </w:r>
      <w:r>
        <w:rPr>
          <w:rFonts w:eastAsia="Times New Roman"/>
          <w:sz w:val="30"/>
          <w:szCs w:val="30"/>
          <w:lang w:val="es-ES"/>
        </w:rPr>
        <w:br/>
        <w:t>1. La liquidación de la entidad financiera;</w:t>
      </w:r>
      <w:r>
        <w:rPr>
          <w:rFonts w:eastAsia="Times New Roman"/>
          <w:sz w:val="30"/>
          <w:szCs w:val="30"/>
          <w:lang w:val="es-ES"/>
        </w:rPr>
        <w:br/>
      </w:r>
      <w:r>
        <w:rPr>
          <w:rFonts w:eastAsia="Times New Roman"/>
          <w:sz w:val="30"/>
          <w:szCs w:val="30"/>
          <w:lang w:val="es-ES"/>
        </w:rPr>
        <w:br/>
        <w:t>2. La revocatoria de las autorizaciones para realizar actividades financieras;</w:t>
      </w:r>
      <w:r>
        <w:rPr>
          <w:rFonts w:eastAsia="Times New Roman"/>
          <w:sz w:val="30"/>
          <w:szCs w:val="30"/>
          <w:lang w:val="es-ES"/>
        </w:rPr>
        <w:br/>
      </w:r>
      <w:r>
        <w:rPr>
          <w:rFonts w:eastAsia="Times New Roman"/>
          <w:sz w:val="30"/>
          <w:szCs w:val="30"/>
          <w:lang w:val="es-ES"/>
        </w:rPr>
        <w:br/>
        <w:t>3. El retiro de los permisos de funcionamiento;</w:t>
      </w:r>
      <w:r>
        <w:rPr>
          <w:rFonts w:eastAsia="Times New Roman"/>
          <w:sz w:val="30"/>
          <w:szCs w:val="30"/>
          <w:lang w:val="es-ES"/>
        </w:rPr>
        <w:br/>
      </w:r>
      <w:r>
        <w:rPr>
          <w:rFonts w:eastAsia="Times New Roman"/>
          <w:sz w:val="30"/>
          <w:szCs w:val="30"/>
          <w:lang w:val="es-ES"/>
        </w:rPr>
        <w:br/>
        <w:t>4. El plazo para la liquidación, que en ningún caso podrá superar lo</w:t>
      </w:r>
      <w:r>
        <w:rPr>
          <w:rFonts w:eastAsia="Times New Roman"/>
          <w:sz w:val="30"/>
          <w:szCs w:val="30"/>
          <w:lang w:val="es-ES"/>
        </w:rPr>
        <w:t>s dos años;</w:t>
      </w:r>
      <w:r>
        <w:rPr>
          <w:rFonts w:eastAsia="Times New Roman"/>
          <w:sz w:val="30"/>
          <w:szCs w:val="30"/>
          <w:lang w:val="es-ES"/>
        </w:rPr>
        <w:br/>
      </w:r>
      <w:r>
        <w:rPr>
          <w:rFonts w:eastAsia="Times New Roman"/>
          <w:sz w:val="30"/>
          <w:szCs w:val="30"/>
          <w:lang w:val="es-ES"/>
        </w:rPr>
        <w:br/>
        <w:t>5. Designación del liquidador;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La cesación de funciones del administrador temporal.</w:t>
      </w:r>
      <w:r>
        <w:rPr>
          <w:rFonts w:eastAsia="Times New Roman"/>
          <w:sz w:val="30"/>
          <w:szCs w:val="30"/>
          <w:lang w:val="es-ES"/>
        </w:rPr>
        <w:br/>
      </w:r>
      <w:r>
        <w:rPr>
          <w:rFonts w:eastAsia="Times New Roman"/>
          <w:sz w:val="30"/>
          <w:szCs w:val="30"/>
          <w:lang w:val="es-ES"/>
        </w:rPr>
        <w:br/>
        <w:t>En el caso de liquidación forzosa, en la resolución se solicitará que la Corporación del Seguro de Depósitos, Fondo de Liquidez y Fondo de Seguros Priv</w:t>
      </w:r>
      <w:r>
        <w:rPr>
          <w:rFonts w:eastAsia="Times New Roman"/>
          <w:sz w:val="30"/>
          <w:szCs w:val="30"/>
          <w:lang w:val="es-ES"/>
        </w:rPr>
        <w:t>ados pague el seguro a los depositantes.</w:t>
      </w:r>
      <w:r>
        <w:rPr>
          <w:rFonts w:eastAsia="Times New Roman"/>
          <w:sz w:val="30"/>
          <w:szCs w:val="30"/>
          <w:lang w:val="es-ES"/>
        </w:rPr>
        <w:br/>
      </w:r>
      <w:r>
        <w:rPr>
          <w:rFonts w:eastAsia="Times New Roman"/>
          <w:sz w:val="30"/>
          <w:szCs w:val="30"/>
          <w:lang w:val="es-ES"/>
        </w:rPr>
        <w:br/>
        <w:t>La resolución de liquidación de una entidad financiera será motivada, suscrita por el titular del correspondiente organismo de control, gozará de la presunción de legitimidad y debe cumplirse desde la fecha de su e</w:t>
      </w:r>
      <w:r>
        <w:rPr>
          <w:rFonts w:eastAsia="Times New Roman"/>
          <w:sz w:val="30"/>
          <w:szCs w:val="30"/>
          <w:lang w:val="es-ES"/>
        </w:rPr>
        <w:t>xpedición.</w:t>
      </w:r>
      <w:r>
        <w:rPr>
          <w:rFonts w:eastAsia="Times New Roman"/>
          <w:sz w:val="30"/>
          <w:szCs w:val="30"/>
          <w:lang w:val="es-ES"/>
        </w:rPr>
        <w:br/>
      </w:r>
      <w:r>
        <w:rPr>
          <w:rFonts w:eastAsia="Times New Roman"/>
          <w:sz w:val="30"/>
          <w:szCs w:val="30"/>
          <w:lang w:val="es-ES"/>
        </w:rPr>
        <w:br/>
        <w:t>La resolución de liquidación deberá inscribirse en los registros correspondientes.</w:t>
      </w:r>
      <w:r>
        <w:rPr>
          <w:rFonts w:eastAsia="Times New Roman"/>
          <w:sz w:val="30"/>
          <w:szCs w:val="30"/>
          <w:lang w:val="es-ES"/>
        </w:rPr>
        <w:br/>
      </w:r>
      <w:r>
        <w:rPr>
          <w:rFonts w:eastAsia="Times New Roman"/>
          <w:sz w:val="30"/>
          <w:szCs w:val="30"/>
          <w:lang w:val="es-ES"/>
        </w:rPr>
        <w:br/>
        <w:t>El organismo de control supervisará la gestión integral del liquidador.</w:t>
      </w:r>
    </w:p>
    <w:p w:rsidR="00000000" w:rsidRDefault="0018461E">
      <w:pPr>
        <w:divId w:val="1768232251"/>
        <w:rPr>
          <w:rFonts w:eastAsia="Times New Roman"/>
          <w:sz w:val="30"/>
          <w:szCs w:val="30"/>
          <w:lang w:val="es-ES"/>
        </w:rPr>
      </w:pPr>
      <w:r>
        <w:rPr>
          <w:rFonts w:eastAsia="Times New Roman"/>
          <w:sz w:val="30"/>
          <w:szCs w:val="30"/>
          <w:lang w:val="es-ES"/>
        </w:rPr>
        <w:t xml:space="preserve">Art. 308.- </w:t>
      </w:r>
      <w:r>
        <w:rPr>
          <w:rFonts w:eastAsia="Times New Roman"/>
          <w:b/>
          <w:bCs/>
          <w:sz w:val="30"/>
          <w:szCs w:val="30"/>
          <w:lang w:val="es-ES"/>
        </w:rPr>
        <w:t xml:space="preserve">Vigencia. </w:t>
      </w:r>
      <w:r>
        <w:rPr>
          <w:rFonts w:eastAsia="Times New Roman"/>
          <w:sz w:val="30"/>
          <w:szCs w:val="30"/>
          <w:lang w:val="es-ES"/>
        </w:rPr>
        <w:t>La resolución de liquidación regirá a partir de la fecha de su expe</w:t>
      </w:r>
      <w:r>
        <w:rPr>
          <w:rFonts w:eastAsia="Times New Roman"/>
          <w:sz w:val="30"/>
          <w:szCs w:val="30"/>
          <w:lang w:val="es-ES"/>
        </w:rPr>
        <w:t>dición, sin perjuicio de su publicación en el Registro Oficial.</w:t>
      </w:r>
    </w:p>
    <w:p w:rsidR="00000000" w:rsidRDefault="0018461E">
      <w:pPr>
        <w:divId w:val="2143502137"/>
        <w:rPr>
          <w:rFonts w:eastAsia="Times New Roman"/>
          <w:sz w:val="30"/>
          <w:szCs w:val="30"/>
          <w:lang w:val="es-ES"/>
        </w:rPr>
      </w:pPr>
      <w:r>
        <w:rPr>
          <w:rFonts w:eastAsia="Times New Roman"/>
          <w:sz w:val="30"/>
          <w:szCs w:val="30"/>
          <w:lang w:val="es-ES"/>
        </w:rPr>
        <w:t xml:space="preserve">Art. 309.- </w:t>
      </w:r>
      <w:r>
        <w:rPr>
          <w:rFonts w:eastAsia="Times New Roman"/>
          <w:b/>
          <w:bCs/>
          <w:sz w:val="30"/>
          <w:szCs w:val="30"/>
          <w:lang w:val="es-ES"/>
        </w:rPr>
        <w:t xml:space="preserve">Publicidad. </w:t>
      </w:r>
      <w:r>
        <w:rPr>
          <w:rFonts w:eastAsia="Times New Roman"/>
          <w:sz w:val="30"/>
          <w:szCs w:val="30"/>
          <w:lang w:val="es-ES"/>
        </w:rPr>
        <w:t xml:space="preserve">La resolución de liquidación de una entidad financiera deberá ser publicada, por una sola vez, en un periódico de circulación del lugar de domicilio de la institución y </w:t>
      </w:r>
      <w:r>
        <w:rPr>
          <w:rFonts w:eastAsia="Times New Roman"/>
          <w:sz w:val="30"/>
          <w:szCs w:val="30"/>
          <w:lang w:val="es-ES"/>
        </w:rPr>
        <w:t>en el Registro Oficial, sin perjuicio de su publicidad en otros medios.</w:t>
      </w:r>
    </w:p>
    <w:p w:rsidR="00000000" w:rsidRDefault="0018461E">
      <w:pPr>
        <w:divId w:val="88351267"/>
        <w:rPr>
          <w:rFonts w:eastAsia="Times New Roman"/>
          <w:sz w:val="30"/>
          <w:szCs w:val="30"/>
          <w:lang w:val="es-ES"/>
        </w:rPr>
      </w:pPr>
      <w:r>
        <w:rPr>
          <w:rFonts w:eastAsia="Times New Roman"/>
          <w:sz w:val="30"/>
          <w:szCs w:val="30"/>
          <w:lang w:val="es-ES"/>
        </w:rPr>
        <w:t xml:space="preserve">Art. 310.- </w:t>
      </w:r>
      <w:r>
        <w:rPr>
          <w:rFonts w:eastAsia="Times New Roman"/>
          <w:b/>
          <w:bCs/>
          <w:sz w:val="30"/>
          <w:szCs w:val="30"/>
          <w:lang w:val="es-ES"/>
        </w:rPr>
        <w:t xml:space="preserve">Impugnación. </w:t>
      </w:r>
      <w:r>
        <w:rPr>
          <w:rFonts w:eastAsia="Times New Roman"/>
          <w:sz w:val="30"/>
          <w:szCs w:val="30"/>
          <w:lang w:val="es-ES"/>
        </w:rPr>
        <w:t>El acto de liquidación de una entidad financiera podrá ser impugnado en sede administrativa o judicial. La impugnación en sede administrativa se hará de conform</w:t>
      </w:r>
      <w:r>
        <w:rPr>
          <w:rFonts w:eastAsia="Times New Roman"/>
          <w:sz w:val="30"/>
          <w:szCs w:val="30"/>
          <w:lang w:val="es-ES"/>
        </w:rPr>
        <w:t>idad con las normas que dicte el organismo de control. La impugnación en sede judicial se la efectuará ante la respectiva sala de lo contencioso administrativo.</w:t>
      </w:r>
      <w:r>
        <w:rPr>
          <w:rFonts w:eastAsia="Times New Roman"/>
          <w:sz w:val="30"/>
          <w:szCs w:val="30"/>
          <w:lang w:val="es-ES"/>
        </w:rPr>
        <w:br/>
      </w:r>
      <w:r>
        <w:rPr>
          <w:rFonts w:eastAsia="Times New Roman"/>
          <w:sz w:val="30"/>
          <w:szCs w:val="30"/>
          <w:lang w:val="es-ES"/>
        </w:rPr>
        <w:br/>
        <w:t>La interposición de un recurso o acción no suspenderá los efectos del acto de liquidación de u</w:t>
      </w:r>
      <w:r>
        <w:rPr>
          <w:rFonts w:eastAsia="Times New Roman"/>
          <w:sz w:val="30"/>
          <w:szCs w:val="30"/>
          <w:lang w:val="es-ES"/>
        </w:rPr>
        <w:t>na entidad financiera.</w:t>
      </w:r>
      <w:r>
        <w:rPr>
          <w:rFonts w:eastAsia="Times New Roman"/>
          <w:sz w:val="30"/>
          <w:szCs w:val="30"/>
          <w:lang w:val="es-ES"/>
        </w:rPr>
        <w:br/>
      </w:r>
      <w:r>
        <w:rPr>
          <w:rFonts w:eastAsia="Times New Roman"/>
          <w:sz w:val="30"/>
          <w:szCs w:val="30"/>
          <w:lang w:val="es-ES"/>
        </w:rPr>
        <w:br/>
        <w:t>Si la impugnación es aceptada, ya sea en sede administrativa o judicial de última instancia, y se dejase sin efecto el acto de liquidación de una entidad financiera, se procederá de acuerdo con los términos de la resolución o senten</w:t>
      </w:r>
      <w:r>
        <w:rPr>
          <w:rFonts w:eastAsia="Times New Roman"/>
          <w:sz w:val="30"/>
          <w:szCs w:val="30"/>
          <w:lang w:val="es-ES"/>
        </w:rPr>
        <w:t>cia, según el caso.</w:t>
      </w:r>
      <w:r>
        <w:rPr>
          <w:rFonts w:eastAsia="Times New Roman"/>
          <w:sz w:val="30"/>
          <w:szCs w:val="30"/>
          <w:lang w:val="es-ES"/>
        </w:rPr>
        <w:br/>
      </w:r>
      <w:r>
        <w:rPr>
          <w:rFonts w:eastAsia="Times New Roman"/>
          <w:sz w:val="30"/>
          <w:szCs w:val="30"/>
          <w:lang w:val="es-ES"/>
        </w:rPr>
        <w:br/>
        <w:t>Todos los actos celebrados por el liquidador en el ejercicio de sus funciones serán válidos, excepto que se comprobase judicialmente dolo, en cuyo caso se aplicarán las normas correspondientes.</w:t>
      </w:r>
    </w:p>
    <w:p w:rsidR="00000000" w:rsidRDefault="0018461E">
      <w:pPr>
        <w:divId w:val="810899965"/>
        <w:rPr>
          <w:rFonts w:eastAsia="Times New Roman"/>
          <w:sz w:val="30"/>
          <w:szCs w:val="30"/>
          <w:lang w:val="es-ES"/>
        </w:rPr>
      </w:pPr>
      <w:r>
        <w:rPr>
          <w:rFonts w:eastAsia="Times New Roman"/>
          <w:sz w:val="30"/>
          <w:szCs w:val="30"/>
          <w:lang w:val="es-ES"/>
        </w:rPr>
        <w:lastRenderedPageBreak/>
        <w:t xml:space="preserve">Art. 311.- </w:t>
      </w:r>
      <w:r>
        <w:rPr>
          <w:rFonts w:eastAsia="Times New Roman"/>
          <w:b/>
          <w:bCs/>
          <w:sz w:val="30"/>
          <w:szCs w:val="30"/>
          <w:lang w:val="es-ES"/>
        </w:rPr>
        <w:t>Recursos para el pago de la li</w:t>
      </w:r>
      <w:r>
        <w:rPr>
          <w:rFonts w:eastAsia="Times New Roman"/>
          <w:b/>
          <w:bCs/>
          <w:sz w:val="30"/>
          <w:szCs w:val="30"/>
          <w:lang w:val="es-ES"/>
        </w:rPr>
        <w:t xml:space="preserve">quidación. </w:t>
      </w:r>
      <w:r>
        <w:rPr>
          <w:rFonts w:eastAsia="Times New Roman"/>
          <w:sz w:val="30"/>
          <w:szCs w:val="30"/>
          <w:lang w:val="es-ES"/>
        </w:rPr>
        <w:t>Cuando una entidad se encuentre en proceso de liquidación, deberán acopiarse todos los recursos sobre los cuales tenga derecho, con la finalidad de pagar las obligaciones de la entidad, excepto aquellas cuya disponibilidad esté restringida por u</w:t>
      </w:r>
      <w:r>
        <w:rPr>
          <w:rFonts w:eastAsia="Times New Roman"/>
          <w:sz w:val="30"/>
          <w:szCs w:val="30"/>
          <w:lang w:val="es-ES"/>
        </w:rPr>
        <w:t>na medida judicial dictada en forma previa a la suspensión de operaciones.</w:t>
      </w:r>
    </w:p>
    <w:p w:rsidR="00000000" w:rsidRDefault="0018461E">
      <w:pPr>
        <w:divId w:val="1638141145"/>
        <w:rPr>
          <w:rFonts w:eastAsia="Times New Roman"/>
          <w:sz w:val="30"/>
          <w:szCs w:val="30"/>
          <w:lang w:val="es-ES"/>
        </w:rPr>
      </w:pPr>
      <w:r>
        <w:rPr>
          <w:rFonts w:eastAsia="Times New Roman"/>
          <w:sz w:val="30"/>
          <w:szCs w:val="30"/>
          <w:lang w:val="es-ES"/>
        </w:rPr>
        <w:t xml:space="preserve">Art. 312.- </w:t>
      </w:r>
      <w:r>
        <w:rPr>
          <w:rFonts w:eastAsia="Times New Roman"/>
          <w:b/>
          <w:bCs/>
          <w:sz w:val="30"/>
          <w:szCs w:val="30"/>
          <w:lang w:val="es-ES"/>
        </w:rPr>
        <w:t xml:space="preserve">Funciones del liquidador. </w:t>
      </w:r>
      <w:r>
        <w:rPr>
          <w:rFonts w:eastAsia="Times New Roman"/>
          <w:sz w:val="30"/>
          <w:szCs w:val="30"/>
          <w:lang w:val="es-ES"/>
        </w:rPr>
        <w:t>El liquidador deberá efectuar todas las actividades conducentes a realizar los activos de la entidad financiera en liquidación, con el fin de ca</w:t>
      </w:r>
      <w:r>
        <w:rPr>
          <w:rFonts w:eastAsia="Times New Roman"/>
          <w:sz w:val="30"/>
          <w:szCs w:val="30"/>
          <w:lang w:val="es-ES"/>
        </w:rPr>
        <w:t>ncelar los pasivos existentes. Para el efecto, el liquidador ejercerá la jurisdicción coactiva.</w:t>
      </w:r>
      <w:r>
        <w:rPr>
          <w:rFonts w:eastAsia="Times New Roman"/>
          <w:sz w:val="30"/>
          <w:szCs w:val="30"/>
          <w:lang w:val="es-ES"/>
        </w:rPr>
        <w:br/>
      </w:r>
      <w:r>
        <w:rPr>
          <w:rFonts w:eastAsia="Times New Roman"/>
          <w:sz w:val="30"/>
          <w:szCs w:val="30"/>
          <w:lang w:val="es-ES"/>
        </w:rPr>
        <w:br/>
        <w:t>Las principales funciones del liquidador son:</w:t>
      </w:r>
      <w:r>
        <w:rPr>
          <w:rFonts w:eastAsia="Times New Roman"/>
          <w:sz w:val="30"/>
          <w:szCs w:val="30"/>
          <w:lang w:val="es-ES"/>
        </w:rPr>
        <w:br/>
      </w:r>
      <w:r>
        <w:rPr>
          <w:rFonts w:eastAsia="Times New Roman"/>
          <w:sz w:val="30"/>
          <w:szCs w:val="30"/>
          <w:lang w:val="es-ES"/>
        </w:rPr>
        <w:br/>
        <w:t>1. Representar a la entidad, judicial y extrajudicialmente;</w:t>
      </w:r>
      <w:r>
        <w:rPr>
          <w:rFonts w:eastAsia="Times New Roman"/>
          <w:sz w:val="30"/>
          <w:szCs w:val="30"/>
          <w:lang w:val="es-ES"/>
        </w:rPr>
        <w:br/>
      </w:r>
      <w:r>
        <w:rPr>
          <w:rFonts w:eastAsia="Times New Roman"/>
          <w:sz w:val="30"/>
          <w:szCs w:val="30"/>
          <w:lang w:val="es-ES"/>
        </w:rPr>
        <w:br/>
        <w:t>2. Iniciar las acciones judiciales que correspondan</w:t>
      </w:r>
      <w:r>
        <w:rPr>
          <w:rFonts w:eastAsia="Times New Roman"/>
          <w:sz w:val="30"/>
          <w:szCs w:val="30"/>
          <w:lang w:val="es-ES"/>
        </w:rPr>
        <w:t xml:space="preserve"> en contra de cualquier persona que pudiese resultar responsable de la liquidación;</w:t>
      </w:r>
      <w:r>
        <w:rPr>
          <w:rFonts w:eastAsia="Times New Roman"/>
          <w:sz w:val="30"/>
          <w:szCs w:val="30"/>
          <w:lang w:val="es-ES"/>
        </w:rPr>
        <w:br/>
      </w:r>
      <w:r>
        <w:rPr>
          <w:rFonts w:eastAsia="Times New Roman"/>
          <w:sz w:val="30"/>
          <w:szCs w:val="30"/>
          <w:lang w:val="es-ES"/>
        </w:rPr>
        <w:br/>
        <w:t>3. Tomar a su cargo la administración de los bienes que integran el patrimonio de la entidad;</w:t>
      </w:r>
      <w:r>
        <w:rPr>
          <w:rFonts w:eastAsia="Times New Roman"/>
          <w:sz w:val="30"/>
          <w:szCs w:val="30"/>
          <w:lang w:val="es-ES"/>
        </w:rPr>
        <w:br/>
      </w:r>
      <w:r>
        <w:rPr>
          <w:rFonts w:eastAsia="Times New Roman"/>
          <w:sz w:val="30"/>
          <w:szCs w:val="30"/>
          <w:lang w:val="es-ES"/>
        </w:rPr>
        <w:br/>
        <w:t>4. Cumplir con lo establecido en el artículo 306;</w:t>
      </w:r>
      <w:r>
        <w:rPr>
          <w:rFonts w:eastAsia="Times New Roman"/>
          <w:sz w:val="30"/>
          <w:szCs w:val="30"/>
          <w:lang w:val="es-ES"/>
        </w:rPr>
        <w:br/>
      </w:r>
      <w:r>
        <w:rPr>
          <w:rFonts w:eastAsia="Times New Roman"/>
          <w:sz w:val="30"/>
          <w:szCs w:val="30"/>
          <w:lang w:val="es-ES"/>
        </w:rPr>
        <w:br/>
        <w:t>5. Contratar créditos, pa</w:t>
      </w:r>
      <w:r>
        <w:rPr>
          <w:rFonts w:eastAsia="Times New Roman"/>
          <w:sz w:val="30"/>
          <w:szCs w:val="30"/>
          <w:lang w:val="es-ES"/>
        </w:rPr>
        <w:t>ra cuyo efecto podrá entregar en garantía los activos de la entidad en liquidación. Estos créditos gozarán de privilegio por sobre cualquier otra acreencia;</w:t>
      </w:r>
      <w:r>
        <w:rPr>
          <w:rFonts w:eastAsia="Times New Roman"/>
          <w:sz w:val="30"/>
          <w:szCs w:val="30"/>
          <w:lang w:val="es-ES"/>
        </w:rPr>
        <w:br/>
      </w:r>
      <w:r>
        <w:rPr>
          <w:rFonts w:eastAsia="Times New Roman"/>
          <w:sz w:val="30"/>
          <w:szCs w:val="30"/>
          <w:lang w:val="es-ES"/>
        </w:rPr>
        <w:br/>
        <w:t>6. Enajenar los bienes sociales;</w:t>
      </w:r>
      <w:r>
        <w:rPr>
          <w:rFonts w:eastAsia="Times New Roman"/>
          <w:sz w:val="30"/>
          <w:szCs w:val="30"/>
          <w:lang w:val="es-ES"/>
        </w:rPr>
        <w:br/>
      </w:r>
      <w:r>
        <w:rPr>
          <w:rFonts w:eastAsia="Times New Roman"/>
          <w:sz w:val="30"/>
          <w:szCs w:val="30"/>
          <w:lang w:val="es-ES"/>
        </w:rPr>
        <w:br/>
        <w:t xml:space="preserve">7. Cobrar y percibir el importe de los créditos de la entidad y </w:t>
      </w:r>
      <w:r>
        <w:rPr>
          <w:rFonts w:eastAsia="Times New Roman"/>
          <w:sz w:val="30"/>
          <w:szCs w:val="30"/>
          <w:lang w:val="es-ES"/>
        </w:rPr>
        <w:t>los saldos adeudados por los accionistas, otorgando los correspondientes recibos o finiquitos;</w:t>
      </w:r>
      <w:r>
        <w:rPr>
          <w:rFonts w:eastAsia="Times New Roman"/>
          <w:sz w:val="30"/>
          <w:szCs w:val="30"/>
          <w:lang w:val="es-ES"/>
        </w:rPr>
        <w:br/>
      </w:r>
      <w:r>
        <w:rPr>
          <w:rFonts w:eastAsia="Times New Roman"/>
          <w:sz w:val="30"/>
          <w:szCs w:val="30"/>
          <w:lang w:val="es-ES"/>
        </w:rPr>
        <w:br/>
        <w:t>8. Pagar a los acreedores;</w:t>
      </w:r>
      <w:r>
        <w:rPr>
          <w:rFonts w:eastAsia="Times New Roman"/>
          <w:sz w:val="30"/>
          <w:szCs w:val="30"/>
          <w:lang w:val="es-ES"/>
        </w:rPr>
        <w:br/>
      </w:r>
      <w:r>
        <w:rPr>
          <w:rFonts w:eastAsia="Times New Roman"/>
          <w:sz w:val="30"/>
          <w:szCs w:val="30"/>
          <w:lang w:val="es-ES"/>
        </w:rPr>
        <w:br/>
        <w:t>9. Presentar estados de liquidación;</w:t>
      </w:r>
      <w:r>
        <w:rPr>
          <w:rFonts w:eastAsia="Times New Roman"/>
          <w:sz w:val="30"/>
          <w:szCs w:val="30"/>
          <w:lang w:val="es-ES"/>
        </w:rPr>
        <w:br/>
      </w:r>
      <w:r>
        <w:rPr>
          <w:rFonts w:eastAsia="Times New Roman"/>
          <w:sz w:val="30"/>
          <w:szCs w:val="30"/>
          <w:lang w:val="es-ES"/>
        </w:rPr>
        <w:br/>
        <w:t>10. Informar a los organismos de control;</w:t>
      </w:r>
      <w:r>
        <w:rPr>
          <w:rFonts w:eastAsia="Times New Roman"/>
          <w:sz w:val="30"/>
          <w:szCs w:val="30"/>
          <w:lang w:val="es-ES"/>
        </w:rPr>
        <w:br/>
      </w:r>
      <w:r>
        <w:rPr>
          <w:rFonts w:eastAsia="Times New Roman"/>
          <w:sz w:val="30"/>
          <w:szCs w:val="30"/>
          <w:lang w:val="es-ES"/>
        </w:rPr>
        <w:br/>
        <w:t>11. Presentar a los organismos de control los infor</w:t>
      </w:r>
      <w:r>
        <w:rPr>
          <w:rFonts w:eastAsia="Times New Roman"/>
          <w:sz w:val="30"/>
          <w:szCs w:val="30"/>
          <w:lang w:val="es-ES"/>
        </w:rPr>
        <w:t xml:space="preserve">mes </w:t>
      </w:r>
      <w:r>
        <w:rPr>
          <w:rFonts w:eastAsia="Times New Roman"/>
          <w:sz w:val="30"/>
          <w:szCs w:val="30"/>
          <w:lang w:val="es-ES"/>
        </w:rPr>
        <w:lastRenderedPageBreak/>
        <w:t>correspondientes a la recuperación de las deudas, con la periodicidad establecida para tales efectos;</w:t>
      </w:r>
      <w:r>
        <w:rPr>
          <w:rFonts w:eastAsia="Times New Roman"/>
          <w:sz w:val="30"/>
          <w:szCs w:val="30"/>
          <w:lang w:val="es-ES"/>
        </w:rPr>
        <w:br/>
      </w:r>
      <w:r>
        <w:rPr>
          <w:rFonts w:eastAsia="Times New Roman"/>
          <w:sz w:val="30"/>
          <w:szCs w:val="30"/>
          <w:lang w:val="es-ES"/>
        </w:rPr>
        <w:br/>
        <w:t xml:space="preserve">12. Recibir, llevar y custodiar los libros y correspondencia de la entidad y velar por la integridad de su patrimonio, formular los balances mensual </w:t>
      </w:r>
      <w:r>
        <w:rPr>
          <w:rFonts w:eastAsia="Times New Roman"/>
          <w:sz w:val="30"/>
          <w:szCs w:val="30"/>
          <w:lang w:val="es-ES"/>
        </w:rPr>
        <w:t>y anual, y una memoria sobre el desarrollo de la liquidación, rendir cuenta detallada de su administración y elaborar el balance final de liquidación o suscribir el acta de carencia de patrimonio;</w:t>
      </w:r>
      <w:r>
        <w:rPr>
          <w:rFonts w:eastAsia="Times New Roman"/>
          <w:sz w:val="30"/>
          <w:szCs w:val="30"/>
          <w:lang w:val="es-ES"/>
        </w:rPr>
        <w:br/>
      </w:r>
      <w:r>
        <w:rPr>
          <w:rFonts w:eastAsia="Times New Roman"/>
          <w:sz w:val="30"/>
          <w:szCs w:val="30"/>
          <w:lang w:val="es-ES"/>
        </w:rPr>
        <w:br/>
        <w:t>13. Negociar o rebajar de las deudas malas o dudosas y tra</w:t>
      </w:r>
      <w:r>
        <w:rPr>
          <w:rFonts w:eastAsia="Times New Roman"/>
          <w:sz w:val="30"/>
          <w:szCs w:val="30"/>
          <w:lang w:val="es-ES"/>
        </w:rPr>
        <w:t>nsigir sobre reclamaciones contra la entidad; y,</w:t>
      </w:r>
      <w:r>
        <w:rPr>
          <w:rFonts w:eastAsia="Times New Roman"/>
          <w:sz w:val="30"/>
          <w:szCs w:val="30"/>
          <w:lang w:val="es-ES"/>
        </w:rPr>
        <w:br/>
      </w:r>
      <w:r>
        <w:rPr>
          <w:rFonts w:eastAsia="Times New Roman"/>
          <w:sz w:val="30"/>
          <w:szCs w:val="30"/>
          <w:lang w:val="es-ES"/>
        </w:rPr>
        <w:br/>
        <w:t>14. Distribuir entre los accionistas el remanente del haber social, en caso de haberlo; caso contrario, deberá emitir las notas de crédito por las diferencias.</w:t>
      </w:r>
      <w:r>
        <w:rPr>
          <w:rFonts w:eastAsia="Times New Roman"/>
          <w:sz w:val="30"/>
          <w:szCs w:val="30"/>
          <w:lang w:val="es-ES"/>
        </w:rPr>
        <w:br/>
      </w:r>
      <w:r>
        <w:rPr>
          <w:rFonts w:eastAsia="Times New Roman"/>
          <w:sz w:val="30"/>
          <w:szCs w:val="30"/>
          <w:lang w:val="es-ES"/>
        </w:rPr>
        <w:br/>
        <w:t>El organismo de control determinará las funci</w:t>
      </w:r>
      <w:r>
        <w:rPr>
          <w:rFonts w:eastAsia="Times New Roman"/>
          <w:sz w:val="30"/>
          <w:szCs w:val="30"/>
          <w:lang w:val="es-ES"/>
        </w:rPr>
        <w:t>ones adicionales que deba cumplir el liquidador, según el caso.</w:t>
      </w:r>
      <w:r>
        <w:rPr>
          <w:rFonts w:eastAsia="Times New Roman"/>
          <w:sz w:val="30"/>
          <w:szCs w:val="30"/>
          <w:lang w:val="es-ES"/>
        </w:rPr>
        <w:br/>
      </w:r>
      <w:r>
        <w:rPr>
          <w:rFonts w:eastAsia="Times New Roman"/>
          <w:sz w:val="30"/>
          <w:szCs w:val="30"/>
          <w:lang w:val="es-ES"/>
        </w:rPr>
        <w:br/>
        <w:t xml:space="preserve">Los activos, pasivos, patrimonio y otras obligaciones que no pudieren ser liquidados de acuerdo con lo dispuesto en este artículo, podrán ser transferidos a un fideicomiso cuyo constituyente </w:t>
      </w:r>
      <w:r>
        <w:rPr>
          <w:rFonts w:eastAsia="Times New Roman"/>
          <w:sz w:val="30"/>
          <w:szCs w:val="30"/>
          <w:lang w:val="es-ES"/>
        </w:rPr>
        <w:t>será el liquidador de la entidad, con el objeto de enajenar los remanentes.</w:t>
      </w:r>
      <w:r>
        <w:rPr>
          <w:rFonts w:eastAsia="Times New Roman"/>
          <w:sz w:val="30"/>
          <w:szCs w:val="30"/>
          <w:lang w:val="es-ES"/>
        </w:rPr>
        <w:br/>
      </w:r>
      <w:r>
        <w:rPr>
          <w:rFonts w:eastAsia="Times New Roman"/>
          <w:sz w:val="30"/>
          <w:szCs w:val="30"/>
          <w:lang w:val="es-ES"/>
        </w:rPr>
        <w:br/>
        <w:t>El liquidador no podrá realizar nuevas actividades financieras relativas al objeto social de la entidad, así como tampoco adquirir, directa o indirectamente, los bienes de la enti</w:t>
      </w:r>
      <w:r>
        <w:rPr>
          <w:rFonts w:eastAsia="Times New Roman"/>
          <w:sz w:val="30"/>
          <w:szCs w:val="30"/>
          <w:lang w:val="es-ES"/>
        </w:rPr>
        <w:t>dad financiera en liquidación. Esta prohibición se extiende al cónyuge, conviviente y parientes dentro del cuarto grado de consanguinidad o segundo de afinidad.</w:t>
      </w:r>
    </w:p>
    <w:p w:rsidR="00000000" w:rsidRDefault="0018461E">
      <w:pPr>
        <w:divId w:val="1957060744"/>
        <w:rPr>
          <w:rFonts w:eastAsia="Times New Roman"/>
          <w:sz w:val="30"/>
          <w:szCs w:val="30"/>
          <w:lang w:val="es-ES"/>
        </w:rPr>
      </w:pPr>
      <w:r>
        <w:rPr>
          <w:rFonts w:eastAsia="Times New Roman"/>
          <w:sz w:val="30"/>
          <w:szCs w:val="30"/>
          <w:lang w:val="es-ES"/>
        </w:rPr>
        <w:t xml:space="preserve">Art. 313.- </w:t>
      </w:r>
      <w:r>
        <w:rPr>
          <w:rFonts w:eastAsia="Times New Roman"/>
          <w:b/>
          <w:bCs/>
          <w:sz w:val="30"/>
          <w:szCs w:val="30"/>
          <w:lang w:val="es-ES"/>
        </w:rPr>
        <w:t xml:space="preserve">Acciones judiciales. </w:t>
      </w:r>
      <w:r>
        <w:rPr>
          <w:rFonts w:eastAsia="Times New Roman"/>
          <w:sz w:val="30"/>
          <w:szCs w:val="30"/>
          <w:lang w:val="es-ES"/>
        </w:rPr>
        <w:t xml:space="preserve">Resuelta la suspensión de operaciones dispuesta en el artículo </w:t>
      </w:r>
      <w:r>
        <w:rPr>
          <w:rFonts w:eastAsia="Times New Roman"/>
          <w:sz w:val="30"/>
          <w:szCs w:val="30"/>
          <w:lang w:val="es-ES"/>
        </w:rPr>
        <w:t xml:space="preserve">292 o la liquidación forzosa de la entidad financiera, no podrá iniciarse procesos judiciales ni administrativos contra dicha entidad, ni decretarse embargos o gravámenes, ni dictarse otras medidas sobre sus bienes, ni seguirse procedimientos de ejecución </w:t>
      </w:r>
      <w:r>
        <w:rPr>
          <w:rFonts w:eastAsia="Times New Roman"/>
          <w:sz w:val="30"/>
          <w:szCs w:val="30"/>
          <w:lang w:val="es-ES"/>
        </w:rPr>
        <w:t>de sentencias en razón de fallos judiciales o administrativos, a causa de las obligaciones contraídas con anterioridad a la fecha en que se resolvió la suspensión de operaciones a esa entidad financiera y mientras tal situación continúe en vigor, excepto l</w:t>
      </w:r>
      <w:r>
        <w:rPr>
          <w:rFonts w:eastAsia="Times New Roman"/>
          <w:sz w:val="30"/>
          <w:szCs w:val="30"/>
          <w:lang w:val="es-ES"/>
        </w:rPr>
        <w:t xml:space="preserve">as hipotecas constituidas por la institución financiera a favor de terceros, en </w:t>
      </w:r>
      <w:r>
        <w:rPr>
          <w:rFonts w:eastAsia="Times New Roman"/>
          <w:sz w:val="30"/>
          <w:szCs w:val="30"/>
          <w:lang w:val="es-ES"/>
        </w:rPr>
        <w:lastRenderedPageBreak/>
        <w:t>garantía de operaciones hasta por el monto, por persona natural o jurídica, equivalente a doscientos salarios básicos unificados, las que se regirán por el artículo 2381 del Có</w:t>
      </w:r>
      <w:r>
        <w:rPr>
          <w:rFonts w:eastAsia="Times New Roman"/>
          <w:sz w:val="30"/>
          <w:szCs w:val="30"/>
          <w:lang w:val="es-ES"/>
        </w:rPr>
        <w:t>digo Civil.</w:t>
      </w:r>
      <w:r>
        <w:rPr>
          <w:rFonts w:eastAsia="Times New Roman"/>
          <w:sz w:val="30"/>
          <w:szCs w:val="30"/>
          <w:lang w:val="es-ES"/>
        </w:rPr>
        <w:br/>
      </w:r>
      <w:r>
        <w:rPr>
          <w:rFonts w:eastAsia="Times New Roman"/>
          <w:sz w:val="30"/>
          <w:szCs w:val="30"/>
          <w:lang w:val="es-ES"/>
        </w:rPr>
        <w:br/>
        <w:t>Las sumas que adeuden, por cualquier concepto, la o las empresas de propiedad de aquellos accionistas o administradores de las entidades financieras de que trata este artículo, inclusive aquellas que no fueren exigibles a la fecha de suspensió</w:t>
      </w:r>
      <w:r>
        <w:rPr>
          <w:rFonts w:eastAsia="Times New Roman"/>
          <w:sz w:val="30"/>
          <w:szCs w:val="30"/>
          <w:lang w:val="es-ES"/>
        </w:rPr>
        <w:t>n de operaciones, para estos efectos, se entenderán de plazo vencido, y por tanto constituirán, a favor de la entidad suspendida que las tome en administración, crédito privilegiado de primera clase aun con preferencia a los créditos hipotecarios, los estr</w:t>
      </w:r>
      <w:r>
        <w:rPr>
          <w:rFonts w:eastAsia="Times New Roman"/>
          <w:sz w:val="30"/>
          <w:szCs w:val="30"/>
          <w:lang w:val="es-ES"/>
        </w:rPr>
        <w:t>ucturados en fideicomisos o cualquier otro de diversa naturaleza que no sean los haberes que se deban a los trabajadores o a las instituciones del Estado, incluido el Instituto Ecuatoriano de Seguridad Social. Para el cobro de tales haberes, la entidad del</w:t>
      </w:r>
      <w:r>
        <w:rPr>
          <w:rFonts w:eastAsia="Times New Roman"/>
          <w:sz w:val="30"/>
          <w:szCs w:val="30"/>
          <w:lang w:val="es-ES"/>
        </w:rPr>
        <w:t xml:space="preserve"> Sistema Financiero Nacional suspendida iniciará las coactivas sobre la base de la determinación que se practique fundamentadamente, y dispondrá las medidas cautelares y apremios que quepan, incluso de carácter real sobre bienes que se encuentren sujetos a</w:t>
      </w:r>
      <w:r>
        <w:rPr>
          <w:rFonts w:eastAsia="Times New Roman"/>
          <w:sz w:val="30"/>
          <w:szCs w:val="30"/>
          <w:lang w:val="es-ES"/>
        </w:rPr>
        <w:t xml:space="preserve"> gravamen de cualquier tipo o aportados a fideicomisos, los cuales serán cancelados por el administrador temporal o el liquidador de la entidad, a fin de cobrar lo que se adeude, para que con su producto, respetando la prelación determinada en el presente </w:t>
      </w:r>
      <w:r>
        <w:rPr>
          <w:rFonts w:eastAsia="Times New Roman"/>
          <w:sz w:val="30"/>
          <w:szCs w:val="30"/>
          <w:lang w:val="es-ES"/>
        </w:rPr>
        <w:t>inciso, se cubran las acreencias conforme al artículo 315.</w:t>
      </w:r>
      <w:r>
        <w:rPr>
          <w:rFonts w:eastAsia="Times New Roman"/>
          <w:sz w:val="30"/>
          <w:szCs w:val="30"/>
          <w:lang w:val="es-ES"/>
        </w:rPr>
        <w:br/>
      </w:r>
      <w:r>
        <w:rPr>
          <w:rFonts w:eastAsia="Times New Roman"/>
          <w:sz w:val="30"/>
          <w:szCs w:val="30"/>
          <w:lang w:val="es-ES"/>
        </w:rPr>
        <w:br/>
        <w:t>Los organismos de control, a pedido justificado del liquidador, podrán ordenar la cancelación en el Registro de la Propiedad de la inscripción de compraventas, daciones en pago o cualquier otro tí</w:t>
      </w:r>
      <w:r>
        <w:rPr>
          <w:rFonts w:eastAsia="Times New Roman"/>
          <w:sz w:val="30"/>
          <w:szCs w:val="30"/>
          <w:lang w:val="es-ES"/>
        </w:rPr>
        <w:t>tulo traslaticio o limitativo de dominio, incluidos los aportes a patrimonios autónomos, respecto de aquellos bienes de las empresas vinculadas a las personas con propiedad patrimonial con influencia o administradores, celebrados con posterioridad a la sus</w:t>
      </w:r>
      <w:r>
        <w:rPr>
          <w:rFonts w:eastAsia="Times New Roman"/>
          <w:sz w:val="30"/>
          <w:szCs w:val="30"/>
          <w:lang w:val="es-ES"/>
        </w:rPr>
        <w:t>pensión de operaciones de la entidad financiera, a fin de que esos bienes sirvan para cobrar lo que se adeude de acuerdo a lo preceptuado y al procedimiento determinado en el inciso que precede.</w:t>
      </w:r>
      <w:r>
        <w:rPr>
          <w:rFonts w:eastAsia="Times New Roman"/>
          <w:sz w:val="30"/>
          <w:szCs w:val="30"/>
          <w:lang w:val="es-ES"/>
        </w:rPr>
        <w:br/>
      </w:r>
      <w:r>
        <w:rPr>
          <w:rFonts w:eastAsia="Times New Roman"/>
          <w:sz w:val="30"/>
          <w:szCs w:val="30"/>
          <w:lang w:val="es-ES"/>
        </w:rPr>
        <w:br/>
        <w:t>Los terceros de buena fe que puedan resultar afectados por l</w:t>
      </w:r>
      <w:r>
        <w:rPr>
          <w:rFonts w:eastAsia="Times New Roman"/>
          <w:sz w:val="30"/>
          <w:szCs w:val="30"/>
          <w:lang w:val="es-ES"/>
        </w:rPr>
        <w:t>a cancelación de la transferencia, tendrán acción de daños y perjuicios exclusivamente contra quienes hayan transferido la propiedad luego de ordenada la suspensión de operaciones de la entidad financiera.</w:t>
      </w:r>
    </w:p>
    <w:p w:rsidR="00000000" w:rsidRDefault="0018461E">
      <w:pPr>
        <w:divId w:val="1534339820"/>
        <w:rPr>
          <w:rFonts w:eastAsia="Times New Roman"/>
          <w:sz w:val="30"/>
          <w:szCs w:val="30"/>
          <w:lang w:val="es-ES"/>
        </w:rPr>
      </w:pPr>
      <w:r>
        <w:rPr>
          <w:rFonts w:eastAsia="Times New Roman"/>
          <w:sz w:val="30"/>
          <w:szCs w:val="30"/>
          <w:lang w:val="es-ES"/>
        </w:rPr>
        <w:lastRenderedPageBreak/>
        <w:t xml:space="preserve">Art. 314.- </w:t>
      </w:r>
      <w:r>
        <w:rPr>
          <w:rFonts w:eastAsia="Times New Roman"/>
          <w:b/>
          <w:bCs/>
          <w:sz w:val="30"/>
          <w:szCs w:val="30"/>
          <w:lang w:val="es-ES"/>
        </w:rPr>
        <w:t>Intereses y plazos de créditos concedid</w:t>
      </w:r>
      <w:r>
        <w:rPr>
          <w:rFonts w:eastAsia="Times New Roman"/>
          <w:b/>
          <w:bCs/>
          <w:sz w:val="30"/>
          <w:szCs w:val="30"/>
          <w:lang w:val="es-ES"/>
        </w:rPr>
        <w:t xml:space="preserve">os. </w:t>
      </w:r>
      <w:r>
        <w:rPr>
          <w:rFonts w:eastAsia="Times New Roman"/>
          <w:sz w:val="30"/>
          <w:szCs w:val="30"/>
          <w:lang w:val="es-ES"/>
        </w:rPr>
        <w:t>Todos los depósitos, deudas y demás obligaciones de una entidad financiera en favor de terceros, a partir de la fecha de su liquidación forzosa, no devengarán intereses frente a la masa de acreedores, salvo lo dispuesto en el artículo siguiente.</w:t>
      </w:r>
      <w:r>
        <w:rPr>
          <w:rFonts w:eastAsia="Times New Roman"/>
          <w:sz w:val="30"/>
          <w:szCs w:val="30"/>
          <w:lang w:val="es-ES"/>
        </w:rPr>
        <w:br/>
      </w:r>
      <w:r>
        <w:rPr>
          <w:rFonts w:eastAsia="Times New Roman"/>
          <w:sz w:val="30"/>
          <w:szCs w:val="30"/>
          <w:lang w:val="es-ES"/>
        </w:rPr>
        <w:br/>
        <w:t>Los c</w:t>
      </w:r>
      <w:r>
        <w:rPr>
          <w:rFonts w:eastAsia="Times New Roman"/>
          <w:sz w:val="30"/>
          <w:szCs w:val="30"/>
          <w:lang w:val="es-ES"/>
        </w:rPr>
        <w:t>réditos concedidos por una entidad financiera en proceso de liquidación forzosa mantendrán los plazos y condiciones pactados originalmente. Sin embargo, los créditos que tengan la calidad de vinculados se entenderán de plazo vencido.</w:t>
      </w:r>
    </w:p>
    <w:p w:rsidR="00000000" w:rsidRDefault="0018461E">
      <w:pPr>
        <w:divId w:val="1186403345"/>
        <w:rPr>
          <w:rFonts w:eastAsia="Times New Roman"/>
          <w:sz w:val="30"/>
          <w:szCs w:val="30"/>
          <w:lang w:val="es-ES"/>
        </w:rPr>
      </w:pPr>
      <w:r>
        <w:rPr>
          <w:rFonts w:eastAsia="Times New Roman"/>
          <w:sz w:val="30"/>
          <w:szCs w:val="30"/>
          <w:lang w:val="es-ES"/>
        </w:rPr>
        <w:t xml:space="preserve">Art. 315.- </w:t>
      </w:r>
      <w:r>
        <w:rPr>
          <w:rFonts w:eastAsia="Times New Roman"/>
          <w:b/>
          <w:bCs/>
          <w:sz w:val="30"/>
          <w:szCs w:val="30"/>
          <w:lang w:val="es-ES"/>
        </w:rPr>
        <w:t xml:space="preserve">Prelación de pagos en la liquidación forzosa. </w:t>
      </w:r>
      <w:r>
        <w:rPr>
          <w:rFonts w:eastAsia="Times New Roman"/>
          <w:sz w:val="30"/>
          <w:szCs w:val="30"/>
          <w:lang w:val="es-ES"/>
        </w:rPr>
        <w:t>Los pagos derivados de la liquidación forzosa de una entidad financiera se efectuarán en el siguiente orden:</w:t>
      </w:r>
      <w:r>
        <w:rPr>
          <w:rFonts w:eastAsia="Times New Roman"/>
          <w:sz w:val="30"/>
          <w:szCs w:val="30"/>
          <w:lang w:val="es-ES"/>
        </w:rPr>
        <w:br/>
      </w:r>
      <w:r>
        <w:rPr>
          <w:rFonts w:eastAsia="Times New Roman"/>
          <w:sz w:val="30"/>
          <w:szCs w:val="30"/>
          <w:lang w:val="es-ES"/>
        </w:rPr>
        <w:br/>
        <w:t>1. Los depósitos hasta por el monto legalmente asegurado con cargo al seguro de depósitos;</w:t>
      </w:r>
      <w:r>
        <w:rPr>
          <w:rFonts w:eastAsia="Times New Roman"/>
          <w:sz w:val="30"/>
          <w:szCs w:val="30"/>
          <w:lang w:val="es-ES"/>
        </w:rPr>
        <w:br/>
      </w:r>
      <w:r>
        <w:rPr>
          <w:rFonts w:eastAsia="Times New Roman"/>
          <w:sz w:val="30"/>
          <w:szCs w:val="30"/>
          <w:lang w:val="es-ES"/>
        </w:rPr>
        <w:br/>
        <w:t>2. Los q</w:t>
      </w:r>
      <w:r>
        <w:rPr>
          <w:rFonts w:eastAsia="Times New Roman"/>
          <w:sz w:val="30"/>
          <w:szCs w:val="30"/>
          <w:lang w:val="es-ES"/>
        </w:rPr>
        <w:t xml:space="preserve">ue se adeuden a los trabajadores por remuneraciones, indemnizaciones, utilidades, fondos de reserva y pensiones jubilares con cargo al empleador, hasta por el monto de las liquidaciones que se practiquen en los términos de la legislación que les ampare, y </w:t>
      </w:r>
      <w:r>
        <w:rPr>
          <w:rFonts w:eastAsia="Times New Roman"/>
          <w:sz w:val="30"/>
          <w:szCs w:val="30"/>
          <w:lang w:val="es-ES"/>
        </w:rPr>
        <w:t>las obligaciones para con el Instituto Ecuatoriano de Seguridad Social derivadas de las relaciones laborales;</w:t>
      </w:r>
      <w:r>
        <w:rPr>
          <w:rFonts w:eastAsia="Times New Roman"/>
          <w:sz w:val="30"/>
          <w:szCs w:val="30"/>
          <w:lang w:val="es-ES"/>
        </w:rPr>
        <w:br/>
      </w:r>
      <w:r>
        <w:rPr>
          <w:rFonts w:eastAsia="Times New Roman"/>
          <w:sz w:val="30"/>
          <w:szCs w:val="30"/>
          <w:lang w:val="es-ES"/>
        </w:rPr>
        <w:br/>
        <w:t>3. Los créditos otorgados por ventanilla de redescuento e inversión doméstica de los excedentes de liquidez;</w:t>
      </w:r>
      <w:r>
        <w:rPr>
          <w:rFonts w:eastAsia="Times New Roman"/>
          <w:sz w:val="30"/>
          <w:szCs w:val="30"/>
          <w:lang w:val="es-ES"/>
        </w:rPr>
        <w:br/>
      </w:r>
      <w:r>
        <w:rPr>
          <w:rFonts w:eastAsia="Times New Roman"/>
          <w:sz w:val="30"/>
          <w:szCs w:val="30"/>
          <w:lang w:val="es-ES"/>
        </w:rPr>
        <w:br/>
        <w:t>4. Los depósitos por los montos que</w:t>
      </w:r>
      <w:r>
        <w:rPr>
          <w:rFonts w:eastAsia="Times New Roman"/>
          <w:sz w:val="30"/>
          <w:szCs w:val="30"/>
          <w:lang w:val="es-ES"/>
        </w:rPr>
        <w:t xml:space="preserve"> excedan el valor asegurado de los grupos de atención prioritaria, hasta por un valor equivalente al (50%) adicional al valor asegurado;</w:t>
      </w:r>
      <w:r>
        <w:rPr>
          <w:rFonts w:eastAsia="Times New Roman"/>
          <w:sz w:val="30"/>
          <w:szCs w:val="30"/>
          <w:lang w:val="es-ES"/>
        </w:rPr>
        <w:br/>
      </w:r>
      <w:r>
        <w:rPr>
          <w:rFonts w:eastAsia="Times New Roman"/>
          <w:sz w:val="30"/>
          <w:szCs w:val="30"/>
          <w:lang w:val="es-ES"/>
        </w:rPr>
        <w:br/>
        <w:t>5. Los demás depósitos por los montos que excedan el valor asegurado, de conformidad con las normas que dicte la Junta</w:t>
      </w:r>
      <w:r>
        <w:rPr>
          <w:rFonts w:eastAsia="Times New Roman"/>
          <w:sz w:val="30"/>
          <w:szCs w:val="30"/>
          <w:lang w:val="es-ES"/>
        </w:rPr>
        <w:t xml:space="preserve"> de Política y Regulación Monetaria y Financiera, en el siguiente orden:</w:t>
      </w:r>
      <w:r>
        <w:rPr>
          <w:rFonts w:eastAsia="Times New Roman"/>
          <w:sz w:val="30"/>
          <w:szCs w:val="30"/>
          <w:lang w:val="es-ES"/>
        </w:rPr>
        <w:br/>
      </w:r>
      <w:r>
        <w:rPr>
          <w:rFonts w:eastAsia="Times New Roman"/>
          <w:sz w:val="30"/>
          <w:szCs w:val="30"/>
          <w:lang w:val="es-ES"/>
        </w:rPr>
        <w:br/>
        <w:t>a. Al menos el 90% de las personas naturales depositantes con menores depósitos; y,</w:t>
      </w:r>
      <w:r>
        <w:rPr>
          <w:rFonts w:eastAsia="Times New Roman"/>
          <w:sz w:val="30"/>
          <w:szCs w:val="30"/>
          <w:lang w:val="es-ES"/>
        </w:rPr>
        <w:br/>
      </w:r>
      <w:r>
        <w:rPr>
          <w:rFonts w:eastAsia="Times New Roman"/>
          <w:sz w:val="30"/>
          <w:szCs w:val="30"/>
          <w:lang w:val="es-ES"/>
        </w:rPr>
        <w:br/>
        <w:t>b. Al menos el 90 % de las personas jurídicas depositantes con menores depósitos.</w:t>
      </w:r>
      <w:r>
        <w:rPr>
          <w:rFonts w:eastAsia="Times New Roman"/>
          <w:sz w:val="30"/>
          <w:szCs w:val="30"/>
          <w:lang w:val="es-ES"/>
        </w:rPr>
        <w:br/>
      </w:r>
      <w:r>
        <w:rPr>
          <w:rFonts w:eastAsia="Times New Roman"/>
          <w:sz w:val="30"/>
          <w:szCs w:val="30"/>
          <w:lang w:val="es-ES"/>
        </w:rPr>
        <w:lastRenderedPageBreak/>
        <w:br/>
        <w:t>6. Los demás d</w:t>
      </w:r>
      <w:r>
        <w:rPr>
          <w:rFonts w:eastAsia="Times New Roman"/>
          <w:sz w:val="30"/>
          <w:szCs w:val="30"/>
          <w:lang w:val="es-ES"/>
        </w:rPr>
        <w:t>epósitos por los montos que excedan el valor asegurado, de conformidad con la normas que dicte la Junta de Política y Regulación Monetaria y Financiera, en el siguiente orden:</w:t>
      </w:r>
      <w:r>
        <w:rPr>
          <w:rFonts w:eastAsia="Times New Roman"/>
          <w:sz w:val="30"/>
          <w:szCs w:val="30"/>
          <w:lang w:val="es-ES"/>
        </w:rPr>
        <w:br/>
      </w:r>
      <w:r>
        <w:rPr>
          <w:rFonts w:eastAsia="Times New Roman"/>
          <w:sz w:val="30"/>
          <w:szCs w:val="30"/>
          <w:lang w:val="es-ES"/>
        </w:rPr>
        <w:br/>
        <w:t>a. Las restantes personas naturales depositantes con menores depósitos; y,</w:t>
      </w:r>
      <w:r>
        <w:rPr>
          <w:rFonts w:eastAsia="Times New Roman"/>
          <w:sz w:val="30"/>
          <w:szCs w:val="30"/>
          <w:lang w:val="es-ES"/>
        </w:rPr>
        <w:br/>
      </w:r>
      <w:r>
        <w:rPr>
          <w:rFonts w:eastAsia="Times New Roman"/>
          <w:sz w:val="30"/>
          <w:szCs w:val="30"/>
          <w:lang w:val="es-ES"/>
        </w:rPr>
        <w:br/>
        <w:t xml:space="preserve">b. </w:t>
      </w:r>
      <w:r>
        <w:rPr>
          <w:rFonts w:eastAsia="Times New Roman"/>
          <w:sz w:val="30"/>
          <w:szCs w:val="30"/>
          <w:lang w:val="es-ES"/>
        </w:rPr>
        <w:t>Las restantes personas jurídicas depositantes con menores depósitos.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w:t>
      </w:r>
      <w:r>
        <w:rPr>
          <w:rFonts w:eastAsia="Times New Roman"/>
          <w:i/>
          <w:iCs/>
          <w:sz w:val="30"/>
          <w:szCs w:val="30"/>
          <w:lang w:val="es-ES"/>
        </w:rPr>
        <w:t xml:space="preserve"> </w:t>
      </w:r>
      <w:r>
        <w:rPr>
          <w:rFonts w:eastAsia="Times New Roman"/>
          <w:i/>
          <w:iCs/>
          <w:sz w:val="30"/>
          <w:szCs w:val="30"/>
          <w:lang w:val="es-ES"/>
        </w:rPr>
        <w:t xml:space="preserve">004-2014-F, publicada en el Suplemento del Registro Oficial 365 de 30 de octubre de 2014, se emitieron las Normas para la aplicación de los Numerales 5 y 6 del </w:t>
      </w:r>
      <w:r>
        <w:rPr>
          <w:rFonts w:eastAsia="Times New Roman"/>
          <w:i/>
          <w:iCs/>
          <w:sz w:val="30"/>
          <w:szCs w:val="30"/>
          <w:lang w:val="es-ES"/>
        </w:rPr>
        <w:t>artículo 315 del Código Orgánico Monetario y Financiero en los Procesos de liquidación forzosa de entidades del Sector Financiero Popular y Solidario.</w:t>
      </w:r>
      <w:r>
        <w:rPr>
          <w:rFonts w:eastAsia="Times New Roman"/>
          <w:sz w:val="30"/>
          <w:szCs w:val="30"/>
          <w:lang w:val="es-ES"/>
        </w:rPr>
        <w:br/>
      </w:r>
      <w:r>
        <w:rPr>
          <w:rFonts w:eastAsia="Times New Roman"/>
          <w:sz w:val="30"/>
          <w:szCs w:val="30"/>
          <w:lang w:val="es-ES"/>
        </w:rPr>
        <w:br/>
        <w:t>7. El resto de los pasivos por fondos captados por la entidad financiera bajo modalidades no cubiertas p</w:t>
      </w:r>
      <w:r>
        <w:rPr>
          <w:rFonts w:eastAsia="Times New Roman"/>
          <w:sz w:val="30"/>
          <w:szCs w:val="30"/>
          <w:lang w:val="es-ES"/>
        </w:rPr>
        <w:t>or los numerales anteriores, con excepción de los depósitos de quienes tengan créditos u otros activos vinculados en la entidad en liquidación;</w:t>
      </w:r>
      <w:r>
        <w:rPr>
          <w:rFonts w:eastAsia="Times New Roman"/>
          <w:sz w:val="30"/>
          <w:szCs w:val="30"/>
          <w:lang w:val="es-ES"/>
        </w:rPr>
        <w:br/>
      </w:r>
      <w:r>
        <w:rPr>
          <w:rFonts w:eastAsia="Times New Roman"/>
          <w:sz w:val="30"/>
          <w:szCs w:val="30"/>
          <w:lang w:val="es-ES"/>
        </w:rPr>
        <w:br/>
        <w:t>8. Los valores pagados por la Corporación del Seguro de Depósitos y Fondo de Liquidez;</w:t>
      </w:r>
      <w:r>
        <w:rPr>
          <w:rFonts w:eastAsia="Times New Roman"/>
          <w:sz w:val="30"/>
          <w:szCs w:val="30"/>
          <w:lang w:val="es-ES"/>
        </w:rPr>
        <w:br/>
      </w:r>
      <w:r>
        <w:rPr>
          <w:rFonts w:eastAsia="Times New Roman"/>
          <w:sz w:val="30"/>
          <w:szCs w:val="30"/>
          <w:lang w:val="es-ES"/>
        </w:rPr>
        <w:br/>
        <w:t>9. Los que se adeuden p</w:t>
      </w:r>
      <w:r>
        <w:rPr>
          <w:rFonts w:eastAsia="Times New Roman"/>
          <w:sz w:val="30"/>
          <w:szCs w:val="30"/>
          <w:lang w:val="es-ES"/>
        </w:rPr>
        <w:t>or impuestos, tasas y contribuciones;</w:t>
      </w:r>
      <w:r>
        <w:rPr>
          <w:rFonts w:eastAsia="Times New Roman"/>
          <w:sz w:val="30"/>
          <w:szCs w:val="30"/>
          <w:lang w:val="es-ES"/>
        </w:rPr>
        <w:br/>
      </w:r>
      <w:r>
        <w:rPr>
          <w:rFonts w:eastAsia="Times New Roman"/>
          <w:sz w:val="30"/>
          <w:szCs w:val="30"/>
          <w:lang w:val="es-ES"/>
        </w:rPr>
        <w:br/>
        <w:t>10. Las costas judiciales que se causen en interés común de los acreedores;</w:t>
      </w:r>
      <w:r>
        <w:rPr>
          <w:rFonts w:eastAsia="Times New Roman"/>
          <w:sz w:val="30"/>
          <w:szCs w:val="30"/>
          <w:lang w:val="es-ES"/>
        </w:rPr>
        <w:br/>
      </w:r>
      <w:r>
        <w:rPr>
          <w:rFonts w:eastAsia="Times New Roman"/>
          <w:sz w:val="30"/>
          <w:szCs w:val="30"/>
          <w:lang w:val="es-ES"/>
        </w:rPr>
        <w:br/>
        <w:t>11. Los proveedores de la entidad financiera, hasta por el monto equivalente al seguro de depósito; y,</w:t>
      </w:r>
      <w:r>
        <w:rPr>
          <w:rFonts w:eastAsia="Times New Roman"/>
          <w:sz w:val="30"/>
          <w:szCs w:val="30"/>
          <w:lang w:val="es-ES"/>
        </w:rPr>
        <w:br/>
      </w:r>
      <w:r>
        <w:rPr>
          <w:rFonts w:eastAsia="Times New Roman"/>
          <w:sz w:val="30"/>
          <w:szCs w:val="30"/>
          <w:lang w:val="es-ES"/>
        </w:rPr>
        <w:br/>
        <w:t>12. Otros pasivos, de acuerdo al ord</w:t>
      </w:r>
      <w:r>
        <w:rPr>
          <w:rFonts w:eastAsia="Times New Roman"/>
          <w:sz w:val="30"/>
          <w:szCs w:val="30"/>
          <w:lang w:val="es-ES"/>
        </w:rPr>
        <w:t>en y forma determinados en el Código Civil, y los valores no reclamados de los numerales anteriores, dentro de los tres meses de notificado el llamado a cobro.</w:t>
      </w:r>
      <w:r>
        <w:rPr>
          <w:rFonts w:eastAsia="Times New Roman"/>
          <w:sz w:val="30"/>
          <w:szCs w:val="30"/>
          <w:lang w:val="es-ES"/>
        </w:rPr>
        <w:br/>
      </w:r>
      <w:r>
        <w:rPr>
          <w:rFonts w:eastAsia="Times New Roman"/>
          <w:sz w:val="30"/>
          <w:szCs w:val="30"/>
          <w:lang w:val="es-ES"/>
        </w:rPr>
        <w:br/>
        <w:t xml:space="preserve">Los remanentes de las entidades financieras privadas y de las </w:t>
      </w:r>
      <w:r>
        <w:rPr>
          <w:rFonts w:eastAsia="Times New Roman"/>
          <w:sz w:val="30"/>
          <w:szCs w:val="30"/>
          <w:lang w:val="es-ES"/>
        </w:rPr>
        <w:lastRenderedPageBreak/>
        <w:t>entidades del sector financiero p</w:t>
      </w:r>
      <w:r>
        <w:rPr>
          <w:rFonts w:eastAsia="Times New Roman"/>
          <w:sz w:val="30"/>
          <w:szCs w:val="30"/>
          <w:lang w:val="es-ES"/>
        </w:rPr>
        <w:t>opular y solidario, en caso de haberlos, luego de descontado el gasto administrativo incurrido por el Estado, los intereses generados sobre los pasivos a los que hace referencia el artículo precedente de este Código y las sanciones correspondientes, a part</w:t>
      </w:r>
      <w:r>
        <w:rPr>
          <w:rFonts w:eastAsia="Times New Roman"/>
          <w:sz w:val="30"/>
          <w:szCs w:val="30"/>
          <w:lang w:val="es-ES"/>
        </w:rPr>
        <w:t>ir de la fecha de la resolución de liquidación forzosa, serán entregados a los accionistas o socios, administradores, personas naturales y jurídicas vinculadas, tanto por sus acciones como por cualquier otro tipo de acreencia.</w:t>
      </w:r>
      <w:r>
        <w:rPr>
          <w:rFonts w:eastAsia="Times New Roman"/>
          <w:sz w:val="30"/>
          <w:szCs w:val="30"/>
          <w:lang w:val="es-ES"/>
        </w:rPr>
        <w:br/>
      </w:r>
      <w:r>
        <w:rPr>
          <w:rFonts w:eastAsia="Times New Roman"/>
          <w:sz w:val="30"/>
          <w:szCs w:val="30"/>
          <w:lang w:val="es-ES"/>
        </w:rPr>
        <w:br/>
        <w:t>El orden de prelación de pag</w:t>
      </w:r>
      <w:r>
        <w:rPr>
          <w:rFonts w:eastAsia="Times New Roman"/>
          <w:sz w:val="30"/>
          <w:szCs w:val="30"/>
          <w:lang w:val="es-ES"/>
        </w:rPr>
        <w:t>os dispuesto en este artículo no podrá ser modificado de manera alguna, bajo pena de peculado en los términos del artículo 278 del Código Orgánico Integral Penal.</w:t>
      </w:r>
    </w:p>
    <w:p w:rsidR="00000000" w:rsidRDefault="0018461E">
      <w:pPr>
        <w:divId w:val="1348025968"/>
        <w:rPr>
          <w:rFonts w:eastAsia="Times New Roman"/>
          <w:sz w:val="30"/>
          <w:szCs w:val="30"/>
          <w:lang w:val="es-ES"/>
        </w:rPr>
      </w:pPr>
      <w:r>
        <w:rPr>
          <w:rFonts w:eastAsia="Times New Roman"/>
          <w:sz w:val="30"/>
          <w:szCs w:val="30"/>
          <w:lang w:val="es-ES"/>
        </w:rPr>
        <w:t xml:space="preserve">Art. 316.- </w:t>
      </w:r>
      <w:r>
        <w:rPr>
          <w:rFonts w:eastAsia="Times New Roman"/>
          <w:b/>
          <w:bCs/>
          <w:sz w:val="30"/>
          <w:szCs w:val="30"/>
          <w:lang w:val="es-ES"/>
        </w:rPr>
        <w:t xml:space="preserve">Valores no reclamados durante la liquidación. </w:t>
      </w:r>
      <w:r>
        <w:rPr>
          <w:rFonts w:eastAsia="Times New Roman"/>
          <w:sz w:val="30"/>
          <w:szCs w:val="30"/>
          <w:lang w:val="es-ES"/>
        </w:rPr>
        <w:t>Los valores que no han sido reclamad</w:t>
      </w:r>
      <w:r>
        <w:rPr>
          <w:rFonts w:eastAsia="Times New Roman"/>
          <w:sz w:val="30"/>
          <w:szCs w:val="30"/>
          <w:lang w:val="es-ES"/>
        </w:rPr>
        <w:t>os dentro del plazo fijado en el proceso de liquidación de una entidad financiera, podrán ser utilizados para el pago de las acreencias en el orden fijado en el artículo anterior.</w:t>
      </w:r>
    </w:p>
    <w:p w:rsidR="00000000" w:rsidRDefault="0018461E">
      <w:pPr>
        <w:divId w:val="2056924663"/>
        <w:rPr>
          <w:rFonts w:eastAsia="Times New Roman"/>
          <w:sz w:val="30"/>
          <w:szCs w:val="30"/>
          <w:lang w:val="es-ES"/>
        </w:rPr>
      </w:pPr>
      <w:r>
        <w:rPr>
          <w:rFonts w:eastAsia="Times New Roman"/>
          <w:sz w:val="30"/>
          <w:szCs w:val="30"/>
          <w:lang w:val="es-ES"/>
        </w:rPr>
        <w:t xml:space="preserve">Art. 317.- </w:t>
      </w:r>
      <w:r>
        <w:rPr>
          <w:rFonts w:eastAsia="Times New Roman"/>
          <w:b/>
          <w:bCs/>
          <w:sz w:val="30"/>
          <w:szCs w:val="30"/>
          <w:lang w:val="es-ES"/>
        </w:rPr>
        <w:t xml:space="preserve">Valores no reclamados finalizada la liquidación. </w:t>
      </w:r>
      <w:r>
        <w:rPr>
          <w:rFonts w:eastAsia="Times New Roman"/>
          <w:sz w:val="30"/>
          <w:szCs w:val="30"/>
          <w:lang w:val="es-ES"/>
        </w:rPr>
        <w:t>Los valores mone</w:t>
      </w:r>
      <w:r>
        <w:rPr>
          <w:rFonts w:eastAsia="Times New Roman"/>
          <w:sz w:val="30"/>
          <w:szCs w:val="30"/>
          <w:lang w:val="es-ES"/>
        </w:rPr>
        <w:t>tarios que no han sido reclamados concluida la liquidación, deberán ser depositados por el liquidador en la Cuenta Única del Tesoro Nacional. El resto de activos se transferirán a la entidad que se encarga de la gestión inmobiliaria del Estado, para su dis</w:t>
      </w:r>
      <w:r>
        <w:rPr>
          <w:rFonts w:eastAsia="Times New Roman"/>
          <w:sz w:val="30"/>
          <w:szCs w:val="30"/>
          <w:lang w:val="es-ES"/>
        </w:rPr>
        <w:t>posición.</w:t>
      </w:r>
    </w:p>
    <w:p w:rsidR="00000000" w:rsidRDefault="0018461E">
      <w:pPr>
        <w:divId w:val="2326106"/>
        <w:rPr>
          <w:rFonts w:eastAsia="Times New Roman"/>
          <w:sz w:val="30"/>
          <w:szCs w:val="30"/>
          <w:lang w:val="es-ES"/>
        </w:rPr>
      </w:pPr>
      <w:r>
        <w:rPr>
          <w:rFonts w:eastAsia="Times New Roman"/>
          <w:sz w:val="30"/>
          <w:szCs w:val="30"/>
          <w:lang w:val="es-ES"/>
        </w:rPr>
        <w:t xml:space="preserve">Art. 318.- </w:t>
      </w:r>
      <w:r>
        <w:rPr>
          <w:rFonts w:eastAsia="Times New Roman"/>
          <w:b/>
          <w:bCs/>
          <w:sz w:val="30"/>
          <w:szCs w:val="30"/>
          <w:lang w:val="es-ES"/>
        </w:rPr>
        <w:t xml:space="preserve">Cierre de la liquidación. </w:t>
      </w:r>
      <w:r>
        <w:rPr>
          <w:rFonts w:eastAsia="Times New Roman"/>
          <w:sz w:val="30"/>
          <w:szCs w:val="30"/>
          <w:lang w:val="es-ES"/>
        </w:rPr>
        <w:t>Concluido el proceso de liquidación, el liquidador efectuará la conciliación de cuentas y cierre contable del balance de liquidación, así como el informe final de la liquidación, los cuales serán presentados a</w:t>
      </w:r>
      <w:r>
        <w:rPr>
          <w:rFonts w:eastAsia="Times New Roman"/>
          <w:sz w:val="30"/>
          <w:szCs w:val="30"/>
          <w:lang w:val="es-ES"/>
        </w:rPr>
        <w:t>l organismo de control y dados a conocer a los accionistas y/o socios pendientes de pago, de conformidad con las normas que expida el organismo de control.</w:t>
      </w:r>
      <w:r>
        <w:rPr>
          <w:rFonts w:eastAsia="Times New Roman"/>
          <w:sz w:val="30"/>
          <w:szCs w:val="30"/>
          <w:lang w:val="es-ES"/>
        </w:rPr>
        <w:br/>
      </w:r>
      <w:r>
        <w:rPr>
          <w:rFonts w:eastAsia="Times New Roman"/>
          <w:sz w:val="30"/>
          <w:szCs w:val="30"/>
          <w:lang w:val="es-ES"/>
        </w:rPr>
        <w:br/>
        <w:t>Al cierre de la liquidación el organismo de control dispondrá la extinción de la entidad y excluirá</w:t>
      </w:r>
      <w:r>
        <w:rPr>
          <w:rFonts w:eastAsia="Times New Roman"/>
          <w:sz w:val="30"/>
          <w:szCs w:val="30"/>
          <w:lang w:val="es-ES"/>
        </w:rPr>
        <w:t xml:space="preserve"> a la entidad financiera del Catastro Público.</w:t>
      </w:r>
    </w:p>
    <w:p w:rsidR="00000000" w:rsidRDefault="0018461E">
      <w:pPr>
        <w:jc w:val="center"/>
        <w:rPr>
          <w:rFonts w:eastAsia="Times New Roman"/>
          <w:sz w:val="36"/>
          <w:szCs w:val="36"/>
          <w:lang w:val="es-ES"/>
        </w:rPr>
      </w:pPr>
      <w:r>
        <w:rPr>
          <w:rFonts w:eastAsia="Times New Roman"/>
          <w:b/>
          <w:bCs/>
          <w:sz w:val="36"/>
          <w:szCs w:val="36"/>
          <w:lang w:val="es-ES"/>
        </w:rPr>
        <w:br/>
        <w:t>Sección 15</w:t>
      </w:r>
      <w:r>
        <w:rPr>
          <w:rFonts w:eastAsia="Times New Roman"/>
          <w:b/>
          <w:bCs/>
          <w:sz w:val="36"/>
          <w:szCs w:val="36"/>
          <w:lang w:val="es-ES"/>
        </w:rPr>
        <w:br/>
        <w:t>DEL SEGURO DE DEPÓSITOS, FONDO DE LIQUIDEZ Y FONDO DE SEGUROS PRIVADOS</w:t>
      </w:r>
    </w:p>
    <w:p w:rsidR="00000000" w:rsidRDefault="0018461E">
      <w:pPr>
        <w:divId w:val="1934969066"/>
        <w:rPr>
          <w:rFonts w:eastAsia="Times New Roman"/>
          <w:sz w:val="30"/>
          <w:szCs w:val="30"/>
          <w:lang w:val="es-ES"/>
        </w:rPr>
      </w:pPr>
      <w:r>
        <w:rPr>
          <w:rFonts w:eastAsia="Times New Roman"/>
          <w:sz w:val="30"/>
          <w:szCs w:val="30"/>
          <w:lang w:val="es-ES"/>
        </w:rPr>
        <w:t xml:space="preserve">Art. 319.- </w:t>
      </w:r>
      <w:r>
        <w:rPr>
          <w:rFonts w:eastAsia="Times New Roman"/>
          <w:b/>
          <w:bCs/>
          <w:sz w:val="30"/>
          <w:szCs w:val="30"/>
          <w:lang w:val="es-ES"/>
        </w:rPr>
        <w:t xml:space="preserve">Administración. </w:t>
      </w:r>
      <w:r>
        <w:rPr>
          <w:rFonts w:eastAsia="Times New Roman"/>
          <w:sz w:val="30"/>
          <w:szCs w:val="30"/>
          <w:lang w:val="es-ES"/>
        </w:rPr>
        <w:t>El Seguro de Depósitos de los sectores financieros privado y popular y solidario, será administrado</w:t>
      </w:r>
      <w:r>
        <w:rPr>
          <w:rFonts w:eastAsia="Times New Roman"/>
          <w:sz w:val="30"/>
          <w:szCs w:val="30"/>
          <w:lang w:val="es-ES"/>
        </w:rPr>
        <w:t xml:space="preserve"> por la </w:t>
      </w:r>
      <w:r>
        <w:rPr>
          <w:rFonts w:eastAsia="Times New Roman"/>
          <w:sz w:val="30"/>
          <w:szCs w:val="30"/>
          <w:lang w:val="es-ES"/>
        </w:rPr>
        <w:lastRenderedPageBreak/>
        <w:t>Corporación del Seguro de Depósitos, Fondo de Liquidez y Fondo de Seguros Privados.</w:t>
      </w:r>
    </w:p>
    <w:p w:rsidR="00000000" w:rsidRDefault="0018461E">
      <w:pPr>
        <w:divId w:val="1526285812"/>
        <w:rPr>
          <w:rFonts w:eastAsia="Times New Roman"/>
          <w:sz w:val="30"/>
          <w:szCs w:val="30"/>
          <w:lang w:val="es-ES"/>
        </w:rPr>
      </w:pPr>
      <w:r>
        <w:rPr>
          <w:rFonts w:eastAsia="Times New Roman"/>
          <w:sz w:val="30"/>
          <w:szCs w:val="30"/>
          <w:lang w:val="es-ES"/>
        </w:rPr>
        <w:t xml:space="preserve">Art. 320.- </w:t>
      </w:r>
      <w:r>
        <w:rPr>
          <w:rFonts w:eastAsia="Times New Roman"/>
          <w:b/>
          <w:bCs/>
          <w:sz w:val="30"/>
          <w:szCs w:val="30"/>
          <w:lang w:val="es-ES"/>
        </w:rPr>
        <w:t xml:space="preserve">Obligación. </w:t>
      </w:r>
      <w:r>
        <w:rPr>
          <w:rFonts w:eastAsia="Times New Roman"/>
          <w:sz w:val="30"/>
          <w:szCs w:val="30"/>
          <w:lang w:val="es-ES"/>
        </w:rPr>
        <w:t>Las entidades de los sectores financieros privado y popular y solidario están obligadas a participar con las contribuciones y aportes al Segu</w:t>
      </w:r>
      <w:r>
        <w:rPr>
          <w:rFonts w:eastAsia="Times New Roman"/>
          <w:sz w:val="30"/>
          <w:szCs w:val="30"/>
          <w:lang w:val="es-ES"/>
        </w:rPr>
        <w:t>ro de Depósitos y Fondo de Liquidez y con los mecanismos de garantía.</w:t>
      </w:r>
    </w:p>
    <w:p w:rsidR="00000000" w:rsidRDefault="0018461E">
      <w:pPr>
        <w:divId w:val="1038437873"/>
        <w:rPr>
          <w:rFonts w:eastAsia="Times New Roman"/>
          <w:sz w:val="30"/>
          <w:szCs w:val="30"/>
          <w:lang w:val="es-ES"/>
        </w:rPr>
      </w:pPr>
      <w:r>
        <w:rPr>
          <w:rFonts w:eastAsia="Times New Roman"/>
          <w:sz w:val="30"/>
          <w:szCs w:val="30"/>
          <w:lang w:val="es-ES"/>
        </w:rPr>
        <w:t xml:space="preserve">Art. 321.- </w:t>
      </w:r>
      <w:r>
        <w:rPr>
          <w:rFonts w:eastAsia="Times New Roman"/>
          <w:b/>
          <w:bCs/>
          <w:sz w:val="30"/>
          <w:szCs w:val="30"/>
          <w:lang w:val="es-ES"/>
        </w:rPr>
        <w:t xml:space="preserve">Gestión de recursos. </w:t>
      </w:r>
      <w:r>
        <w:rPr>
          <w:rFonts w:eastAsia="Times New Roman"/>
          <w:sz w:val="30"/>
          <w:szCs w:val="30"/>
          <w:lang w:val="es-ES"/>
        </w:rPr>
        <w:t>Los recursos del Seguro de Depósitos se gestionarán a través de fideicomisos independientes administrados por el Banco Central del Ecuador, cuyo constituy</w:t>
      </w:r>
      <w:r>
        <w:rPr>
          <w:rFonts w:eastAsia="Times New Roman"/>
          <w:sz w:val="30"/>
          <w:szCs w:val="30"/>
          <w:lang w:val="es-ES"/>
        </w:rPr>
        <w:t>ente será la Corporación del Seguro de Depósitos, Fondo de Liquidez y Fondo de Seguros Privados.</w:t>
      </w:r>
    </w:p>
    <w:p w:rsidR="00000000" w:rsidRDefault="0018461E">
      <w:pPr>
        <w:divId w:val="1125193318"/>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Seguro de depósitos. </w:t>
      </w:r>
      <w:r>
        <w:rPr>
          <w:rFonts w:eastAsia="Times New Roman"/>
          <w:sz w:val="30"/>
          <w:szCs w:val="30"/>
          <w:lang w:val="es-ES"/>
        </w:rPr>
        <w:t>El Seguro de Depósitos protegerá de forma limitada los depósitos efectuados en las entidades de los sectores financieros privad</w:t>
      </w:r>
      <w:r>
        <w:rPr>
          <w:rFonts w:eastAsia="Times New Roman"/>
          <w:sz w:val="30"/>
          <w:szCs w:val="30"/>
          <w:lang w:val="es-ES"/>
        </w:rPr>
        <w:t>o y popular y solidario autorizadas por los respectivos organismos de control, bajo la forma de cuentas corrientes, de ahorros, depósitos a plazo fijo u otras modalidades legalmente aceptadas, de acuerdo con las condiciones que establece este Código para e</w:t>
      </w:r>
      <w:r>
        <w:rPr>
          <w:rFonts w:eastAsia="Times New Roman"/>
          <w:sz w:val="30"/>
          <w:szCs w:val="30"/>
          <w:lang w:val="es-ES"/>
        </w:rPr>
        <w:t>l pago del seguro.</w:t>
      </w:r>
    </w:p>
    <w:p w:rsidR="00000000" w:rsidRDefault="0018461E">
      <w:pPr>
        <w:divId w:val="1227834384"/>
        <w:rPr>
          <w:rFonts w:eastAsia="Times New Roman"/>
          <w:sz w:val="30"/>
          <w:szCs w:val="30"/>
          <w:lang w:val="es-ES"/>
        </w:rPr>
      </w:pPr>
      <w:r>
        <w:rPr>
          <w:rFonts w:eastAsia="Times New Roman"/>
          <w:sz w:val="30"/>
          <w:szCs w:val="30"/>
          <w:lang w:val="es-ES"/>
        </w:rPr>
        <w:t xml:space="preserve">Art. 323.- </w:t>
      </w:r>
      <w:r>
        <w:rPr>
          <w:rFonts w:eastAsia="Times New Roman"/>
          <w:b/>
          <w:bCs/>
          <w:sz w:val="30"/>
          <w:szCs w:val="30"/>
          <w:lang w:val="es-ES"/>
        </w:rPr>
        <w:t xml:space="preserve">Exclusión del seguro. </w:t>
      </w:r>
      <w:r>
        <w:rPr>
          <w:rFonts w:eastAsia="Times New Roman"/>
          <w:sz w:val="30"/>
          <w:szCs w:val="30"/>
          <w:lang w:val="es-ES"/>
        </w:rPr>
        <w:t>No estarán protegidos por el Seguro de Depósitos:</w:t>
      </w:r>
      <w:r>
        <w:rPr>
          <w:rFonts w:eastAsia="Times New Roman"/>
          <w:sz w:val="30"/>
          <w:szCs w:val="30"/>
          <w:lang w:val="es-ES"/>
        </w:rPr>
        <w:br/>
      </w:r>
      <w:r>
        <w:rPr>
          <w:rFonts w:eastAsia="Times New Roman"/>
          <w:sz w:val="30"/>
          <w:szCs w:val="30"/>
          <w:lang w:val="es-ES"/>
        </w:rPr>
        <w:br/>
        <w:t>1. Los depósitos efectuados por personas vinculadas directa o indirectamente a la entidad financiera, según lo establecido por este Código;</w:t>
      </w:r>
      <w:r>
        <w:rPr>
          <w:rFonts w:eastAsia="Times New Roman"/>
          <w:sz w:val="30"/>
          <w:szCs w:val="30"/>
          <w:lang w:val="es-ES"/>
        </w:rPr>
        <w:br/>
      </w:r>
      <w:r>
        <w:rPr>
          <w:rFonts w:eastAsia="Times New Roman"/>
          <w:sz w:val="30"/>
          <w:szCs w:val="30"/>
          <w:lang w:val="es-ES"/>
        </w:rPr>
        <w:br/>
        <w:t>2. Los depós</w:t>
      </w:r>
      <w:r>
        <w:rPr>
          <w:rFonts w:eastAsia="Times New Roman"/>
          <w:sz w:val="30"/>
          <w:szCs w:val="30"/>
          <w:lang w:val="es-ES"/>
        </w:rPr>
        <w:t>itos en la misma entidad de los accionistas, administradores y miembros del consejo de vigilancia de una entidad financiera popular o solidaria;</w:t>
      </w:r>
      <w:r>
        <w:rPr>
          <w:rFonts w:eastAsia="Times New Roman"/>
          <w:sz w:val="30"/>
          <w:szCs w:val="30"/>
          <w:lang w:val="es-ES"/>
        </w:rPr>
        <w:br/>
      </w:r>
      <w:r>
        <w:rPr>
          <w:rFonts w:eastAsia="Times New Roman"/>
          <w:sz w:val="30"/>
          <w:szCs w:val="30"/>
          <w:lang w:val="es-ES"/>
        </w:rPr>
        <w:br/>
        <w:t>3. El exceso del monto protegido;</w:t>
      </w:r>
      <w:r>
        <w:rPr>
          <w:rFonts w:eastAsia="Times New Roman"/>
          <w:sz w:val="30"/>
          <w:szCs w:val="30"/>
          <w:lang w:val="es-ES"/>
        </w:rPr>
        <w:br/>
      </w:r>
      <w:r>
        <w:rPr>
          <w:rFonts w:eastAsia="Times New Roman"/>
          <w:sz w:val="30"/>
          <w:szCs w:val="30"/>
          <w:lang w:val="es-ES"/>
        </w:rPr>
        <w:br/>
        <w:t>4. Los depósitos en oficinas en el exterior;</w:t>
      </w:r>
      <w:r>
        <w:rPr>
          <w:rFonts w:eastAsia="Times New Roman"/>
          <w:sz w:val="30"/>
          <w:szCs w:val="30"/>
          <w:lang w:val="es-ES"/>
        </w:rPr>
        <w:br/>
      </w:r>
      <w:r>
        <w:rPr>
          <w:rFonts w:eastAsia="Times New Roman"/>
          <w:sz w:val="30"/>
          <w:szCs w:val="30"/>
          <w:lang w:val="es-ES"/>
        </w:rPr>
        <w:br/>
        <w:t xml:space="preserve">5. Las obligaciones emitidas </w:t>
      </w:r>
      <w:r>
        <w:rPr>
          <w:rFonts w:eastAsia="Times New Roman"/>
          <w:sz w:val="30"/>
          <w:szCs w:val="30"/>
          <w:lang w:val="es-ES"/>
        </w:rPr>
        <w:t>por las entidades financieras al amparo de lo previsto en la Ley de Mercado de Valores; y,</w:t>
      </w:r>
      <w:r>
        <w:rPr>
          <w:rFonts w:eastAsia="Times New Roman"/>
          <w:sz w:val="30"/>
          <w:szCs w:val="30"/>
          <w:lang w:val="es-ES"/>
        </w:rPr>
        <w:br/>
      </w:r>
      <w:r>
        <w:rPr>
          <w:rFonts w:eastAsia="Times New Roman"/>
          <w:sz w:val="30"/>
          <w:szCs w:val="30"/>
          <w:lang w:val="es-ES"/>
        </w:rPr>
        <w:br/>
        <w:t>6. Los depósitos que no cumplan las condiciones determinadas en este Código.</w:t>
      </w:r>
    </w:p>
    <w:p w:rsidR="00000000" w:rsidRDefault="0018461E">
      <w:pPr>
        <w:divId w:val="784546344"/>
        <w:rPr>
          <w:rFonts w:eastAsia="Times New Roman"/>
          <w:sz w:val="30"/>
          <w:szCs w:val="30"/>
          <w:lang w:val="es-ES"/>
        </w:rPr>
      </w:pPr>
      <w:r>
        <w:rPr>
          <w:rFonts w:eastAsia="Times New Roman"/>
          <w:sz w:val="30"/>
          <w:szCs w:val="30"/>
          <w:lang w:val="es-ES"/>
        </w:rPr>
        <w:t xml:space="preserve">Art. 324.- </w:t>
      </w:r>
      <w:r>
        <w:rPr>
          <w:rFonts w:eastAsia="Times New Roman"/>
          <w:b/>
          <w:bCs/>
          <w:sz w:val="30"/>
          <w:szCs w:val="30"/>
          <w:lang w:val="es-ES"/>
        </w:rPr>
        <w:t xml:space="preserve">Fideicomisos del Seguro de Depósitos: </w:t>
      </w:r>
      <w:r>
        <w:rPr>
          <w:rFonts w:eastAsia="Times New Roman"/>
          <w:sz w:val="30"/>
          <w:szCs w:val="30"/>
          <w:lang w:val="es-ES"/>
        </w:rPr>
        <w:t>La Corporación del Seguro de Depósitos</w:t>
      </w:r>
      <w:r>
        <w:rPr>
          <w:rFonts w:eastAsia="Times New Roman"/>
          <w:sz w:val="30"/>
          <w:szCs w:val="30"/>
          <w:lang w:val="es-ES"/>
        </w:rPr>
        <w:t xml:space="preserve">, Fondo de Liquidez y Fondo de Seguros </w:t>
      </w:r>
      <w:r>
        <w:rPr>
          <w:rFonts w:eastAsia="Times New Roman"/>
          <w:sz w:val="30"/>
          <w:szCs w:val="30"/>
          <w:lang w:val="es-ES"/>
        </w:rPr>
        <w:lastRenderedPageBreak/>
        <w:t>Privados constituirá los siguientes fideicomisos independientes, en el Banco Central del Ecuador, con los recursos que contribuyan las entidades de cada sector:</w:t>
      </w:r>
      <w:r>
        <w:rPr>
          <w:rFonts w:eastAsia="Times New Roman"/>
          <w:sz w:val="30"/>
          <w:szCs w:val="30"/>
          <w:lang w:val="es-ES"/>
        </w:rPr>
        <w:br/>
      </w:r>
      <w:r>
        <w:rPr>
          <w:rFonts w:eastAsia="Times New Roman"/>
          <w:sz w:val="30"/>
          <w:szCs w:val="30"/>
          <w:lang w:val="es-ES"/>
        </w:rPr>
        <w:br/>
        <w:t>1. Fideicomiso del Seguro de Depósitos de las entidades</w:t>
      </w:r>
      <w:r>
        <w:rPr>
          <w:rFonts w:eastAsia="Times New Roman"/>
          <w:sz w:val="30"/>
          <w:szCs w:val="30"/>
          <w:lang w:val="es-ES"/>
        </w:rPr>
        <w:t xml:space="preserve"> del Sector Financiero Privado; y,</w:t>
      </w:r>
      <w:r>
        <w:rPr>
          <w:rFonts w:eastAsia="Times New Roman"/>
          <w:sz w:val="30"/>
          <w:szCs w:val="30"/>
          <w:lang w:val="es-ES"/>
        </w:rPr>
        <w:br/>
      </w:r>
      <w:r>
        <w:rPr>
          <w:rFonts w:eastAsia="Times New Roman"/>
          <w:sz w:val="30"/>
          <w:szCs w:val="30"/>
          <w:lang w:val="es-ES"/>
        </w:rPr>
        <w:br/>
        <w:t>2. Fideicomiso del Seguro de Depósitos de las entidades del Sector Financiero Popular y Solidario.</w:t>
      </w:r>
    </w:p>
    <w:p w:rsidR="00000000" w:rsidRDefault="0018461E">
      <w:pPr>
        <w:divId w:val="535581529"/>
        <w:rPr>
          <w:rFonts w:eastAsia="Times New Roman"/>
          <w:sz w:val="30"/>
          <w:szCs w:val="30"/>
          <w:lang w:val="es-ES"/>
        </w:rPr>
      </w:pPr>
      <w:r>
        <w:rPr>
          <w:rFonts w:eastAsia="Times New Roman"/>
          <w:sz w:val="30"/>
          <w:szCs w:val="30"/>
          <w:lang w:val="es-ES"/>
        </w:rPr>
        <w:t xml:space="preserve">Art. 325.- </w:t>
      </w:r>
      <w:r>
        <w:rPr>
          <w:rFonts w:eastAsia="Times New Roman"/>
          <w:b/>
          <w:bCs/>
          <w:sz w:val="30"/>
          <w:szCs w:val="30"/>
          <w:lang w:val="es-ES"/>
        </w:rPr>
        <w:t xml:space="preserve">Recursos del Seguro de Depósitos. </w:t>
      </w:r>
      <w:r>
        <w:rPr>
          <w:rFonts w:eastAsia="Times New Roman"/>
          <w:sz w:val="30"/>
          <w:szCs w:val="30"/>
          <w:lang w:val="es-ES"/>
        </w:rPr>
        <w:t>El Seguro de Depósitos se nutrirá con los siguientes recursos, en lo que a c</w:t>
      </w:r>
      <w:r>
        <w:rPr>
          <w:rFonts w:eastAsia="Times New Roman"/>
          <w:sz w:val="30"/>
          <w:szCs w:val="30"/>
          <w:lang w:val="es-ES"/>
        </w:rPr>
        <w:t>ada sector financiero corresponda:</w:t>
      </w:r>
      <w:r>
        <w:rPr>
          <w:rFonts w:eastAsia="Times New Roman"/>
          <w:sz w:val="30"/>
          <w:szCs w:val="30"/>
          <w:lang w:val="es-ES"/>
        </w:rPr>
        <w:br/>
      </w:r>
      <w:r>
        <w:rPr>
          <w:rFonts w:eastAsia="Times New Roman"/>
          <w:sz w:val="30"/>
          <w:szCs w:val="30"/>
          <w:lang w:val="es-ES"/>
        </w:rPr>
        <w:br/>
        <w:t>1. Las contribuciones que realizarán las entidades de los sectores financieros privado y popular y solidario, de conformidad con lo previsto en este Código;</w:t>
      </w:r>
      <w:r>
        <w:rPr>
          <w:rFonts w:eastAsia="Times New Roman"/>
          <w:sz w:val="30"/>
          <w:szCs w:val="30"/>
          <w:lang w:val="es-ES"/>
        </w:rPr>
        <w:br/>
      </w:r>
      <w:r>
        <w:rPr>
          <w:rFonts w:eastAsia="Times New Roman"/>
          <w:sz w:val="30"/>
          <w:szCs w:val="30"/>
          <w:lang w:val="es-ES"/>
        </w:rPr>
        <w:br/>
        <w:t>2. El rendimiento de las inversiones y las utilidades líquidas</w:t>
      </w:r>
      <w:r>
        <w:rPr>
          <w:rFonts w:eastAsia="Times New Roman"/>
          <w:sz w:val="30"/>
          <w:szCs w:val="30"/>
          <w:lang w:val="es-ES"/>
        </w:rPr>
        <w:t xml:space="preserve"> de cada ejercicio anual del Seguro de Depósitos;</w:t>
      </w:r>
      <w:r>
        <w:rPr>
          <w:rFonts w:eastAsia="Times New Roman"/>
          <w:sz w:val="30"/>
          <w:szCs w:val="30"/>
          <w:lang w:val="es-ES"/>
        </w:rPr>
        <w:br/>
      </w:r>
      <w:r>
        <w:rPr>
          <w:rFonts w:eastAsia="Times New Roman"/>
          <w:sz w:val="30"/>
          <w:szCs w:val="30"/>
          <w:lang w:val="es-ES"/>
        </w:rPr>
        <w:br/>
        <w:t>3. Las donaciones que reciban;</w:t>
      </w:r>
      <w:r>
        <w:rPr>
          <w:rFonts w:eastAsia="Times New Roman"/>
          <w:sz w:val="30"/>
          <w:szCs w:val="30"/>
          <w:lang w:val="es-ES"/>
        </w:rPr>
        <w:br/>
      </w:r>
      <w:r>
        <w:rPr>
          <w:rFonts w:eastAsia="Times New Roman"/>
          <w:sz w:val="30"/>
          <w:szCs w:val="30"/>
          <w:lang w:val="es-ES"/>
        </w:rPr>
        <w:br/>
        <w:t>4. Los provenientes de préstamos o líneas contingentes obtenidos para el financiamiento de sus actividades;</w:t>
      </w:r>
      <w:r>
        <w:rPr>
          <w:rFonts w:eastAsia="Times New Roman"/>
          <w:sz w:val="30"/>
          <w:szCs w:val="30"/>
          <w:lang w:val="es-ES"/>
        </w:rPr>
        <w:br/>
      </w:r>
      <w:r>
        <w:rPr>
          <w:rFonts w:eastAsia="Times New Roman"/>
          <w:sz w:val="30"/>
          <w:szCs w:val="30"/>
          <w:lang w:val="es-ES"/>
        </w:rPr>
        <w:br/>
        <w:t>5. Los provenientes de préstamos entre los fideicomisos del segu</w:t>
      </w:r>
      <w:r>
        <w:rPr>
          <w:rFonts w:eastAsia="Times New Roman"/>
          <w:sz w:val="30"/>
          <w:szCs w:val="30"/>
          <w:lang w:val="es-ES"/>
        </w:rPr>
        <w:t>ro de depósitos; y,</w:t>
      </w:r>
      <w:r>
        <w:rPr>
          <w:rFonts w:eastAsia="Times New Roman"/>
          <w:sz w:val="30"/>
          <w:szCs w:val="30"/>
          <w:lang w:val="es-ES"/>
        </w:rPr>
        <w:br/>
      </w:r>
      <w:r>
        <w:rPr>
          <w:rFonts w:eastAsia="Times New Roman"/>
          <w:sz w:val="30"/>
          <w:szCs w:val="30"/>
          <w:lang w:val="es-ES"/>
        </w:rPr>
        <w:br/>
        <w:t>6. Los remanentes a los que hace referencia el artículo 315.</w:t>
      </w:r>
      <w:r>
        <w:rPr>
          <w:rFonts w:eastAsia="Times New Roman"/>
          <w:sz w:val="30"/>
          <w:szCs w:val="30"/>
          <w:lang w:val="es-ES"/>
        </w:rPr>
        <w:br/>
      </w:r>
      <w:r>
        <w:rPr>
          <w:rFonts w:eastAsia="Times New Roman"/>
          <w:sz w:val="30"/>
          <w:szCs w:val="30"/>
          <w:lang w:val="es-ES"/>
        </w:rPr>
        <w:br/>
        <w:t>Los recursos del Seguro de Depósitos son de naturaleza pública, no forman parte del Presupuesto General del Estado, son inembargables y no podrán ser afectados por las oblig</w:t>
      </w:r>
      <w:r>
        <w:rPr>
          <w:rFonts w:eastAsia="Times New Roman"/>
          <w:sz w:val="30"/>
          <w:szCs w:val="30"/>
          <w:lang w:val="es-ES"/>
        </w:rPr>
        <w:t>aciones de los contribuyentes. La operación de sus fideicomisos estará exenta de toda clase de tributos. Los acreedores por préstamos o líneas contingentes no podrán hacer efectivos sus créditos contra los contribuyentes, cuya responsabilidad se limita a s</w:t>
      </w:r>
      <w:r>
        <w:rPr>
          <w:rFonts w:eastAsia="Times New Roman"/>
          <w:sz w:val="30"/>
          <w:szCs w:val="30"/>
          <w:lang w:val="es-ES"/>
        </w:rPr>
        <w:t>us contribuciones.</w:t>
      </w:r>
    </w:p>
    <w:p w:rsidR="00000000" w:rsidRDefault="0018461E">
      <w:pPr>
        <w:divId w:val="826555350"/>
        <w:rPr>
          <w:rFonts w:eastAsia="Times New Roman"/>
          <w:sz w:val="30"/>
          <w:szCs w:val="30"/>
          <w:lang w:val="es-ES"/>
        </w:rPr>
      </w:pPr>
      <w:r>
        <w:rPr>
          <w:rFonts w:eastAsia="Times New Roman"/>
          <w:sz w:val="30"/>
          <w:szCs w:val="30"/>
          <w:lang w:val="es-ES"/>
        </w:rPr>
        <w:t xml:space="preserve">Art. 326.- </w:t>
      </w:r>
      <w:r>
        <w:rPr>
          <w:rFonts w:eastAsia="Times New Roman"/>
          <w:b/>
          <w:bCs/>
          <w:sz w:val="30"/>
          <w:szCs w:val="30"/>
          <w:lang w:val="es-ES"/>
        </w:rPr>
        <w:t xml:space="preserve">Contribuciones. </w:t>
      </w:r>
      <w:r>
        <w:rPr>
          <w:rFonts w:eastAsia="Times New Roman"/>
          <w:sz w:val="30"/>
          <w:szCs w:val="30"/>
          <w:lang w:val="es-ES"/>
        </w:rPr>
        <w:t xml:space="preserve">Las contribuciones al Seguro de Depósitos y la periodicidad de su pago por parte de las entidades de los sectores financieros privado y popular y solidario, serán determinadas por la </w:t>
      </w:r>
      <w:r>
        <w:rPr>
          <w:rFonts w:eastAsia="Times New Roman"/>
          <w:sz w:val="30"/>
          <w:szCs w:val="30"/>
          <w:lang w:val="es-ES"/>
        </w:rPr>
        <w:lastRenderedPageBreak/>
        <w:t>Junta de Política y Regulac</w:t>
      </w:r>
      <w:r>
        <w:rPr>
          <w:rFonts w:eastAsia="Times New Roman"/>
          <w:sz w:val="30"/>
          <w:szCs w:val="30"/>
          <w:lang w:val="es-ES"/>
        </w:rPr>
        <w:t>ión Monetaria y Financiera.</w:t>
      </w:r>
      <w:r>
        <w:rPr>
          <w:rFonts w:eastAsia="Times New Roman"/>
          <w:sz w:val="30"/>
          <w:szCs w:val="30"/>
          <w:lang w:val="es-ES"/>
        </w:rPr>
        <w:br/>
      </w:r>
      <w:r>
        <w:rPr>
          <w:rFonts w:eastAsia="Times New Roman"/>
          <w:sz w:val="30"/>
          <w:szCs w:val="30"/>
          <w:lang w:val="es-ES"/>
        </w:rPr>
        <w:br/>
        <w:t>Las contribuciones podrán ser diferenciadas por cada sector financiero y entidad, y se compondrán de una prima fija y una prima variable, diferenciadas por el riesgo de la entidad.</w:t>
      </w:r>
    </w:p>
    <w:p w:rsidR="00000000" w:rsidRDefault="0018461E">
      <w:pPr>
        <w:divId w:val="591353262"/>
        <w:rPr>
          <w:rFonts w:eastAsia="Times New Roman"/>
          <w:sz w:val="30"/>
          <w:szCs w:val="30"/>
          <w:lang w:val="es-ES"/>
        </w:rPr>
      </w:pPr>
      <w:r>
        <w:rPr>
          <w:rFonts w:eastAsia="Times New Roman"/>
          <w:sz w:val="30"/>
          <w:szCs w:val="30"/>
          <w:lang w:val="es-ES"/>
        </w:rPr>
        <w:t xml:space="preserve">Art. 327.- </w:t>
      </w:r>
      <w:r>
        <w:rPr>
          <w:rFonts w:eastAsia="Times New Roman"/>
          <w:b/>
          <w:bCs/>
          <w:sz w:val="30"/>
          <w:szCs w:val="30"/>
          <w:lang w:val="es-ES"/>
        </w:rPr>
        <w:t xml:space="preserve">Inversiones. </w:t>
      </w:r>
      <w:r>
        <w:rPr>
          <w:rFonts w:eastAsia="Times New Roman"/>
          <w:sz w:val="30"/>
          <w:szCs w:val="30"/>
          <w:lang w:val="es-ES"/>
        </w:rPr>
        <w:t>Los recursos del Segur</w:t>
      </w:r>
      <w:r>
        <w:rPr>
          <w:rFonts w:eastAsia="Times New Roman"/>
          <w:sz w:val="30"/>
          <w:szCs w:val="30"/>
          <w:lang w:val="es-ES"/>
        </w:rPr>
        <w:t>o de Depósitos deberán invertirse observando los principios de seguridad, liquidez, diversificación y rentabilidad, con sujeción a las políticas de inversión aprobadas por la Junta de Política y Regulación Monetaria y Financiera.</w:t>
      </w:r>
    </w:p>
    <w:p w:rsidR="00000000" w:rsidRDefault="0018461E">
      <w:pPr>
        <w:divId w:val="301497674"/>
        <w:rPr>
          <w:rFonts w:eastAsia="Times New Roman"/>
          <w:sz w:val="30"/>
          <w:szCs w:val="30"/>
          <w:lang w:val="es-ES"/>
        </w:rPr>
      </w:pPr>
      <w:r>
        <w:rPr>
          <w:rFonts w:eastAsia="Times New Roman"/>
          <w:sz w:val="30"/>
          <w:szCs w:val="30"/>
          <w:lang w:val="es-ES"/>
        </w:rPr>
        <w:t>Art. 328.-</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7" name="Imagen 7"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 xml:space="preserve">Monto protegido. </w:t>
      </w:r>
      <w:r>
        <w:rPr>
          <w:rFonts w:eastAsia="Times New Roman"/>
          <w:sz w:val="30"/>
          <w:szCs w:val="30"/>
          <w:lang w:val="es-ES"/>
        </w:rPr>
        <w:t>(Reformado por el num. 6 de la Disposción Reformatoria Segunda de la Ley s/n, R.O. 986-S, 18-IV-2017).- El monto protegido por el Seguro de Depósitos para cada persona natural o jurídica, será diferenciado por cada uno de los sectores financieros asegurado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El monto asegurado de los depósitos en las entidades financieras privadas y populares y solidarias, segmento 1, será igual a dos veces la fracción básica exenta vigente del impuesto a la renta, pero en ningún caso inferior a USD 32.000,00 (treinta y do</w:t>
      </w:r>
      <w:r>
        <w:rPr>
          <w:rFonts w:eastAsia="Times New Roman"/>
          <w:sz w:val="30"/>
          <w:szCs w:val="30"/>
          <w:lang w:val="es-ES"/>
        </w:rPr>
        <w:t>s mil dólares de los Estados Unidos de América).</w:t>
      </w:r>
      <w:r>
        <w:rPr>
          <w:rFonts w:eastAsia="Times New Roman"/>
          <w:sz w:val="30"/>
          <w:szCs w:val="30"/>
          <w:lang w:val="es-ES"/>
        </w:rPr>
        <w:br/>
      </w:r>
      <w:r>
        <w:rPr>
          <w:rFonts w:eastAsia="Times New Roman"/>
          <w:sz w:val="30"/>
          <w:szCs w:val="30"/>
          <w:lang w:val="es-ES"/>
        </w:rPr>
        <w:br/>
        <w:t xml:space="preserve">Los montos asegurados de los depósitos en el resto de segmentos del sector fi nanciero popular y solidario serán defi nidos por la Junta de Política y Regulación Monetaria y Financiera, sobre la base de la </w:t>
      </w:r>
      <w:r>
        <w:rPr>
          <w:rFonts w:eastAsia="Times New Roman"/>
          <w:sz w:val="30"/>
          <w:szCs w:val="30"/>
          <w:lang w:val="es-ES"/>
        </w:rPr>
        <w:t>propuesta que para el efecto remita la Corporación del Seguro de Depósitos, Fondo de Liquidez y Fondo de Seguros Privados. Los montos definidos en ningún caso podrán ser superiores al monto asegurado de los depósitos en las entidades financieras privadas y</w:t>
      </w:r>
      <w:r>
        <w:rPr>
          <w:rFonts w:eastAsia="Times New Roman"/>
          <w:sz w:val="30"/>
          <w:szCs w:val="30"/>
          <w:lang w:val="es-ES"/>
        </w:rPr>
        <w:t xml:space="preserve"> las del segmento uno (1) del sector fi nanciero popular y solidario.</w:t>
      </w:r>
      <w:r>
        <w:rPr>
          <w:rFonts w:eastAsia="Times New Roman"/>
          <w:sz w:val="30"/>
          <w:szCs w:val="30"/>
          <w:lang w:val="es-ES"/>
        </w:rPr>
        <w:br/>
      </w:r>
      <w:r>
        <w:rPr>
          <w:rFonts w:eastAsia="Times New Roman"/>
          <w:sz w:val="30"/>
          <w:szCs w:val="30"/>
          <w:lang w:val="es-ES"/>
        </w:rPr>
        <w:br/>
        <w:t>El monto total a pagar por el Seguro de Depósitos en cada sector no podrá superar el total de patrimonio del respectivo fideicomiso.</w:t>
      </w:r>
    </w:p>
    <w:p w:rsidR="00000000" w:rsidRDefault="0018461E">
      <w:pPr>
        <w:divId w:val="610627669"/>
        <w:rPr>
          <w:rFonts w:eastAsia="Times New Roman"/>
          <w:sz w:val="30"/>
          <w:szCs w:val="30"/>
          <w:lang w:val="es-ES"/>
        </w:rPr>
      </w:pPr>
      <w:r>
        <w:rPr>
          <w:rFonts w:eastAsia="Times New Roman"/>
          <w:sz w:val="30"/>
          <w:szCs w:val="30"/>
          <w:lang w:val="es-ES"/>
        </w:rPr>
        <w:t xml:space="preserve">Art. 329.- </w:t>
      </w:r>
      <w:r>
        <w:rPr>
          <w:rFonts w:eastAsia="Times New Roman"/>
          <w:b/>
          <w:bCs/>
          <w:sz w:val="30"/>
          <w:szCs w:val="30"/>
          <w:lang w:val="es-ES"/>
        </w:rPr>
        <w:t xml:space="preserve">Ejecución. </w:t>
      </w:r>
      <w:r>
        <w:rPr>
          <w:rFonts w:eastAsia="Times New Roman"/>
          <w:sz w:val="30"/>
          <w:szCs w:val="30"/>
          <w:lang w:val="es-ES"/>
        </w:rPr>
        <w:t xml:space="preserve">El derecho al pago del Seguro </w:t>
      </w:r>
      <w:r>
        <w:rPr>
          <w:rFonts w:eastAsia="Times New Roman"/>
          <w:sz w:val="30"/>
          <w:szCs w:val="30"/>
          <w:lang w:val="es-ES"/>
        </w:rPr>
        <w:t>de Depósitos se hará efectivo a partir de la fecha de notificación de la resolución con la declaratoria de liquidación forzosa de las entidades de los sectores financieros privado y popular y solidario, por parte del organismo de control a la Corporación d</w:t>
      </w:r>
      <w:r>
        <w:rPr>
          <w:rFonts w:eastAsia="Times New Roman"/>
          <w:sz w:val="30"/>
          <w:szCs w:val="30"/>
          <w:lang w:val="es-ES"/>
        </w:rPr>
        <w:t>el Seguro de Depósitos, Fondo de Liquidez y Fondo de Seguros Privados.</w:t>
      </w:r>
    </w:p>
    <w:p w:rsidR="00000000" w:rsidRDefault="0018461E">
      <w:pPr>
        <w:divId w:val="696924902"/>
        <w:rPr>
          <w:rFonts w:eastAsia="Times New Roman"/>
          <w:sz w:val="30"/>
          <w:szCs w:val="30"/>
          <w:lang w:val="es-ES"/>
        </w:rPr>
      </w:pPr>
      <w:r>
        <w:rPr>
          <w:rFonts w:eastAsia="Times New Roman"/>
          <w:sz w:val="30"/>
          <w:szCs w:val="30"/>
          <w:lang w:val="es-ES"/>
        </w:rPr>
        <w:lastRenderedPageBreak/>
        <w:t xml:space="preserve">Art. 330.- </w:t>
      </w:r>
      <w:r>
        <w:rPr>
          <w:rFonts w:eastAsia="Times New Roman"/>
          <w:b/>
          <w:bCs/>
          <w:sz w:val="30"/>
          <w:szCs w:val="30"/>
          <w:lang w:val="es-ES"/>
        </w:rPr>
        <w:t xml:space="preserve">Requisitos y procedimiento de pago. </w:t>
      </w:r>
      <w:r>
        <w:rPr>
          <w:rFonts w:eastAsia="Times New Roman"/>
          <w:sz w:val="30"/>
          <w:szCs w:val="30"/>
          <w:lang w:val="es-ES"/>
        </w:rPr>
        <w:t>Los requisitos y el procedimiento de pago del Seguro de Depósitos serán determinados, en cada caso, por la Corporación del Seguro de Depós</w:t>
      </w:r>
      <w:r>
        <w:rPr>
          <w:rFonts w:eastAsia="Times New Roman"/>
          <w:sz w:val="30"/>
          <w:szCs w:val="30"/>
          <w:lang w:val="es-ES"/>
        </w:rPr>
        <w:t>itos, Fondo de Liquidez y Fondo de Seguros Privados, de conformidad con la norma dictada para el efecto por la propia Corporación.</w:t>
      </w:r>
      <w:r>
        <w:rPr>
          <w:rFonts w:eastAsia="Times New Roman"/>
          <w:sz w:val="30"/>
          <w:szCs w:val="30"/>
          <w:lang w:val="es-ES"/>
        </w:rPr>
        <w:br/>
      </w:r>
      <w:r>
        <w:rPr>
          <w:rFonts w:eastAsia="Times New Roman"/>
          <w:sz w:val="30"/>
          <w:szCs w:val="30"/>
          <w:lang w:val="es-ES"/>
        </w:rPr>
        <w:br/>
        <w:t>Por el pago del seguro de depósito efectuado la Corporación del Seguro de Depósitos, Fondo de Liquidez y Fondo de Seguros Pr</w:t>
      </w:r>
      <w:r>
        <w:rPr>
          <w:rFonts w:eastAsia="Times New Roman"/>
          <w:sz w:val="30"/>
          <w:szCs w:val="30"/>
          <w:lang w:val="es-ES"/>
        </w:rPr>
        <w:t>ivados adquiere, en lugar del acreedor, el derecho de cobro de la acreencia por el valor pagado.</w:t>
      </w:r>
    </w:p>
    <w:p w:rsidR="00000000" w:rsidRDefault="0018461E">
      <w:pPr>
        <w:divId w:val="422804318"/>
        <w:rPr>
          <w:rFonts w:eastAsia="Times New Roman"/>
          <w:sz w:val="30"/>
          <w:szCs w:val="30"/>
          <w:lang w:val="es-ES"/>
        </w:rPr>
      </w:pPr>
      <w:r>
        <w:rPr>
          <w:rFonts w:eastAsia="Times New Roman"/>
          <w:sz w:val="30"/>
          <w:szCs w:val="30"/>
          <w:lang w:val="es-ES"/>
        </w:rPr>
        <w:t xml:space="preserve">Art. 331.- </w:t>
      </w:r>
      <w:r>
        <w:rPr>
          <w:rFonts w:eastAsia="Times New Roman"/>
          <w:b/>
          <w:bCs/>
          <w:sz w:val="30"/>
          <w:szCs w:val="30"/>
          <w:lang w:val="es-ES"/>
        </w:rPr>
        <w:t xml:space="preserve">Subrogación de derechos. </w:t>
      </w:r>
      <w:r>
        <w:rPr>
          <w:rFonts w:eastAsia="Times New Roman"/>
          <w:sz w:val="30"/>
          <w:szCs w:val="30"/>
          <w:lang w:val="es-ES"/>
        </w:rPr>
        <w:t>La Corporación del Seguro de Depósitos, Fondo de Liquidez y Fondo Seguros Privados se subrogará en los derechos de cobro re</w:t>
      </w:r>
      <w:r>
        <w:rPr>
          <w:rFonts w:eastAsia="Times New Roman"/>
          <w:sz w:val="30"/>
          <w:szCs w:val="30"/>
          <w:lang w:val="es-ES"/>
        </w:rPr>
        <w:t>specto de los valores cubiertos por el Seguro de Depósitos.</w:t>
      </w:r>
    </w:p>
    <w:p w:rsidR="00000000" w:rsidRDefault="0018461E">
      <w:pPr>
        <w:divId w:val="1870682024"/>
        <w:rPr>
          <w:rFonts w:eastAsia="Times New Roman"/>
          <w:sz w:val="30"/>
          <w:szCs w:val="30"/>
          <w:lang w:val="es-ES"/>
        </w:rPr>
      </w:pPr>
      <w:r>
        <w:rPr>
          <w:rFonts w:eastAsia="Times New Roman"/>
          <w:sz w:val="30"/>
          <w:szCs w:val="30"/>
          <w:lang w:val="es-ES"/>
        </w:rPr>
        <w:t xml:space="preserve">Art. 332.- </w:t>
      </w:r>
      <w:r>
        <w:rPr>
          <w:rFonts w:eastAsia="Times New Roman"/>
          <w:b/>
          <w:bCs/>
          <w:sz w:val="30"/>
          <w:szCs w:val="30"/>
          <w:lang w:val="es-ES"/>
        </w:rPr>
        <w:t xml:space="preserve">Control. </w:t>
      </w:r>
      <w:r>
        <w:rPr>
          <w:rFonts w:eastAsia="Times New Roman"/>
          <w:sz w:val="30"/>
          <w:szCs w:val="30"/>
          <w:lang w:val="es-ES"/>
        </w:rPr>
        <w:t>El fideicomiso del Seguro de Depósitos del sector financiero privado estará sujeto al control de la Superintendencia de Bancos.</w:t>
      </w:r>
      <w:r>
        <w:rPr>
          <w:rFonts w:eastAsia="Times New Roman"/>
          <w:sz w:val="30"/>
          <w:szCs w:val="30"/>
          <w:lang w:val="es-ES"/>
        </w:rPr>
        <w:br/>
      </w:r>
      <w:r>
        <w:rPr>
          <w:rFonts w:eastAsia="Times New Roman"/>
          <w:sz w:val="30"/>
          <w:szCs w:val="30"/>
          <w:lang w:val="es-ES"/>
        </w:rPr>
        <w:br/>
        <w:t>El fideicomiso del Seguro de Depósitos del sect</w:t>
      </w:r>
      <w:r>
        <w:rPr>
          <w:rFonts w:eastAsia="Times New Roman"/>
          <w:sz w:val="30"/>
          <w:szCs w:val="30"/>
          <w:lang w:val="es-ES"/>
        </w:rPr>
        <w:t>or financiero popular y solidario estará sujeto al control de la Superintendencia de Economía Popular y Solidaria.</w:t>
      </w:r>
      <w:r>
        <w:rPr>
          <w:rFonts w:eastAsia="Times New Roman"/>
          <w:sz w:val="30"/>
          <w:szCs w:val="30"/>
          <w:lang w:val="es-ES"/>
        </w:rPr>
        <w:br/>
      </w:r>
      <w:r>
        <w:rPr>
          <w:rFonts w:eastAsia="Times New Roman"/>
          <w:sz w:val="30"/>
          <w:szCs w:val="30"/>
          <w:lang w:val="es-ES"/>
        </w:rPr>
        <w:br/>
        <w:t>La Contraloría General del Estado ejercerá el control del uso de los recursos públicos de los patrimonios de los respectivos fideicomisos.</w:t>
      </w:r>
    </w:p>
    <w:p w:rsidR="00000000" w:rsidRDefault="0018461E">
      <w:pPr>
        <w:divId w:val="2051605821"/>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333.- </w:t>
      </w:r>
      <w:r>
        <w:rPr>
          <w:rFonts w:eastAsia="Times New Roman"/>
          <w:b/>
          <w:bCs/>
          <w:sz w:val="30"/>
          <w:szCs w:val="30"/>
          <w:lang w:val="es-ES"/>
        </w:rPr>
        <w:t xml:space="preserve">Fondo de liquidez. </w:t>
      </w:r>
      <w:r>
        <w:rPr>
          <w:rFonts w:eastAsia="Times New Roman"/>
          <w:sz w:val="30"/>
          <w:szCs w:val="30"/>
          <w:lang w:val="es-ES"/>
        </w:rPr>
        <w:t>Las deficiencias de liquidez de las entidades de los sectores financieros privado y popular y solidario podrán ser cubiertas por el Fondo de Liquidez, que actuará en calidad de prestamista de última instancia y otorgará préstam</w:t>
      </w:r>
      <w:r>
        <w:rPr>
          <w:rFonts w:eastAsia="Times New Roman"/>
          <w:sz w:val="30"/>
          <w:szCs w:val="30"/>
          <w:lang w:val="es-ES"/>
        </w:rPr>
        <w:t>os de liquidez a las entidades financieras que cumplan con las siguientes condiciones:</w:t>
      </w:r>
      <w:r>
        <w:rPr>
          <w:rFonts w:eastAsia="Times New Roman"/>
          <w:sz w:val="30"/>
          <w:szCs w:val="30"/>
          <w:lang w:val="es-ES"/>
        </w:rPr>
        <w:br/>
      </w:r>
      <w:r>
        <w:rPr>
          <w:rFonts w:eastAsia="Times New Roman"/>
          <w:sz w:val="30"/>
          <w:szCs w:val="30"/>
          <w:lang w:val="es-ES"/>
        </w:rPr>
        <w:br/>
        <w:t>1. Que mantengan su patrimonio técnico dentro de los niveles mínimos exigidos por el artículo 190; y,</w:t>
      </w:r>
      <w:r>
        <w:rPr>
          <w:rFonts w:eastAsia="Times New Roman"/>
          <w:sz w:val="30"/>
          <w:szCs w:val="30"/>
          <w:lang w:val="es-ES"/>
        </w:rPr>
        <w:br/>
      </w:r>
      <w:r>
        <w:rPr>
          <w:rFonts w:eastAsia="Times New Roman"/>
          <w:sz w:val="30"/>
          <w:szCs w:val="30"/>
          <w:lang w:val="es-ES"/>
        </w:rPr>
        <w:br/>
        <w:t>2. Que hayan administrado su liquidez de conformidad con las regu</w:t>
      </w:r>
      <w:r>
        <w:rPr>
          <w:rFonts w:eastAsia="Times New Roman"/>
          <w:sz w:val="30"/>
          <w:szCs w:val="30"/>
          <w:lang w:val="es-ES"/>
        </w:rPr>
        <w:t>laciones dictadas para el efecto.</w:t>
      </w:r>
    </w:p>
    <w:p w:rsidR="00000000" w:rsidRDefault="0018461E">
      <w:pPr>
        <w:divId w:val="2043556493"/>
        <w:rPr>
          <w:rFonts w:eastAsia="Times New Roman"/>
          <w:sz w:val="30"/>
          <w:szCs w:val="30"/>
          <w:lang w:val="es-ES"/>
        </w:rPr>
      </w:pPr>
      <w:r>
        <w:rPr>
          <w:rFonts w:eastAsia="Times New Roman"/>
          <w:sz w:val="30"/>
          <w:szCs w:val="30"/>
          <w:lang w:val="es-ES"/>
        </w:rPr>
        <w:t xml:space="preserve">Art. 334.- </w:t>
      </w:r>
      <w:r>
        <w:rPr>
          <w:rFonts w:eastAsia="Times New Roman"/>
          <w:b/>
          <w:bCs/>
          <w:sz w:val="30"/>
          <w:szCs w:val="30"/>
          <w:lang w:val="es-ES"/>
        </w:rPr>
        <w:t xml:space="preserve">Fideicomisos del Fondo de Liquidez. </w:t>
      </w:r>
      <w:r>
        <w:rPr>
          <w:rFonts w:eastAsia="Times New Roman"/>
          <w:sz w:val="30"/>
          <w:szCs w:val="30"/>
          <w:lang w:val="es-ES"/>
        </w:rPr>
        <w:t>Se constituirán los siguientes fideicomisos independientes:</w:t>
      </w:r>
      <w:r>
        <w:rPr>
          <w:rFonts w:eastAsia="Times New Roman"/>
          <w:sz w:val="30"/>
          <w:szCs w:val="30"/>
          <w:lang w:val="es-ES"/>
        </w:rPr>
        <w:br/>
      </w:r>
      <w:r>
        <w:rPr>
          <w:rFonts w:eastAsia="Times New Roman"/>
          <w:sz w:val="30"/>
          <w:szCs w:val="30"/>
          <w:lang w:val="es-ES"/>
        </w:rPr>
        <w:br/>
        <w:t>1. Fideicomiso del Fondo de Liquidez de las entidades del Sector Financiero Privado; y,</w:t>
      </w:r>
      <w:r>
        <w:rPr>
          <w:rFonts w:eastAsia="Times New Roman"/>
          <w:sz w:val="30"/>
          <w:szCs w:val="30"/>
          <w:lang w:val="es-ES"/>
        </w:rPr>
        <w:br/>
      </w:r>
      <w:r>
        <w:rPr>
          <w:rFonts w:eastAsia="Times New Roman"/>
          <w:sz w:val="30"/>
          <w:szCs w:val="30"/>
          <w:lang w:val="es-ES"/>
        </w:rPr>
        <w:lastRenderedPageBreak/>
        <w:br/>
        <w:t xml:space="preserve">2. Fideicomiso del Fondo </w:t>
      </w:r>
      <w:r>
        <w:rPr>
          <w:rFonts w:eastAsia="Times New Roman"/>
          <w:sz w:val="30"/>
          <w:szCs w:val="30"/>
          <w:lang w:val="es-ES"/>
        </w:rPr>
        <w:t>de Liquidez de las entidades del Sector Financiero Popular y Solidario.</w:t>
      </w:r>
    </w:p>
    <w:p w:rsidR="00000000" w:rsidRDefault="0018461E">
      <w:pPr>
        <w:divId w:val="1958872851"/>
        <w:rPr>
          <w:rFonts w:eastAsia="Times New Roman"/>
          <w:sz w:val="30"/>
          <w:szCs w:val="30"/>
          <w:lang w:val="es-ES"/>
        </w:rPr>
      </w:pPr>
      <w:r>
        <w:rPr>
          <w:rFonts w:eastAsia="Times New Roman"/>
          <w:sz w:val="30"/>
          <w:szCs w:val="30"/>
          <w:lang w:val="es-ES"/>
        </w:rPr>
        <w:t xml:space="preserve">Art. 335.- </w:t>
      </w:r>
      <w:r>
        <w:rPr>
          <w:rFonts w:eastAsia="Times New Roman"/>
          <w:b/>
          <w:bCs/>
          <w:sz w:val="30"/>
          <w:szCs w:val="30"/>
          <w:lang w:val="es-ES"/>
        </w:rPr>
        <w:t xml:space="preserve">Recursos del Fondo de Liquidez. </w:t>
      </w:r>
      <w:r>
        <w:rPr>
          <w:rFonts w:eastAsia="Times New Roman"/>
          <w:sz w:val="30"/>
          <w:szCs w:val="30"/>
          <w:lang w:val="es-ES"/>
        </w:rPr>
        <w:t>El Fondo de Liquidez se nutrirá con los siguientes recursos, en lo que a cada fideicomiso corresponda:</w:t>
      </w:r>
      <w:r>
        <w:rPr>
          <w:rFonts w:eastAsia="Times New Roman"/>
          <w:sz w:val="30"/>
          <w:szCs w:val="30"/>
          <w:lang w:val="es-ES"/>
        </w:rPr>
        <w:br/>
      </w:r>
      <w:r>
        <w:rPr>
          <w:rFonts w:eastAsia="Times New Roman"/>
          <w:sz w:val="30"/>
          <w:szCs w:val="30"/>
          <w:lang w:val="es-ES"/>
        </w:rPr>
        <w:br/>
        <w:t>1. Los aportes que realizarán las ent</w:t>
      </w:r>
      <w:r>
        <w:rPr>
          <w:rFonts w:eastAsia="Times New Roman"/>
          <w:sz w:val="30"/>
          <w:szCs w:val="30"/>
          <w:lang w:val="es-ES"/>
        </w:rPr>
        <w:t>idades, de conformidad con lo previsto en este Código;</w:t>
      </w:r>
      <w:r>
        <w:rPr>
          <w:rFonts w:eastAsia="Times New Roman"/>
          <w:sz w:val="30"/>
          <w:szCs w:val="30"/>
          <w:lang w:val="es-ES"/>
        </w:rPr>
        <w:br/>
      </w:r>
      <w:r>
        <w:rPr>
          <w:rFonts w:eastAsia="Times New Roman"/>
          <w:sz w:val="30"/>
          <w:szCs w:val="30"/>
          <w:lang w:val="es-ES"/>
        </w:rPr>
        <w:br/>
        <w:t>2. El rendimiento de las inversiones y las utilidades líquidas de cada ejercicio anual del Fondo de Liquidez;</w:t>
      </w:r>
      <w:r>
        <w:rPr>
          <w:rFonts w:eastAsia="Times New Roman"/>
          <w:sz w:val="30"/>
          <w:szCs w:val="30"/>
          <w:lang w:val="es-ES"/>
        </w:rPr>
        <w:br/>
      </w:r>
      <w:r>
        <w:rPr>
          <w:rFonts w:eastAsia="Times New Roman"/>
          <w:sz w:val="30"/>
          <w:szCs w:val="30"/>
          <w:lang w:val="es-ES"/>
        </w:rPr>
        <w:br/>
        <w:t>3. Las donaciones que reciba;</w:t>
      </w:r>
      <w:r>
        <w:rPr>
          <w:rFonts w:eastAsia="Times New Roman"/>
          <w:sz w:val="30"/>
          <w:szCs w:val="30"/>
          <w:lang w:val="es-ES"/>
        </w:rPr>
        <w:br/>
      </w:r>
      <w:r>
        <w:rPr>
          <w:rFonts w:eastAsia="Times New Roman"/>
          <w:sz w:val="30"/>
          <w:szCs w:val="30"/>
          <w:lang w:val="es-ES"/>
        </w:rPr>
        <w:br/>
        <w:t>4. Los provenientes de préstamos o líneas contingentes obt</w:t>
      </w:r>
      <w:r>
        <w:rPr>
          <w:rFonts w:eastAsia="Times New Roman"/>
          <w:sz w:val="30"/>
          <w:szCs w:val="30"/>
          <w:lang w:val="es-ES"/>
        </w:rPr>
        <w:t>enidos para el financiamiento de sus actividades; y,</w:t>
      </w:r>
      <w:r>
        <w:rPr>
          <w:rFonts w:eastAsia="Times New Roman"/>
          <w:sz w:val="30"/>
          <w:szCs w:val="30"/>
          <w:lang w:val="es-ES"/>
        </w:rPr>
        <w:br/>
      </w:r>
      <w:r>
        <w:rPr>
          <w:rFonts w:eastAsia="Times New Roman"/>
          <w:sz w:val="30"/>
          <w:szCs w:val="30"/>
          <w:lang w:val="es-ES"/>
        </w:rPr>
        <w:br/>
        <w:t>5. Los provenientes de préstamos entre los fideicomisos del fondo de liquidez.</w:t>
      </w:r>
      <w:r>
        <w:rPr>
          <w:rFonts w:eastAsia="Times New Roman"/>
          <w:sz w:val="30"/>
          <w:szCs w:val="30"/>
          <w:lang w:val="es-ES"/>
        </w:rPr>
        <w:br/>
      </w:r>
      <w:r>
        <w:rPr>
          <w:rFonts w:eastAsia="Times New Roman"/>
          <w:sz w:val="30"/>
          <w:szCs w:val="30"/>
          <w:lang w:val="es-ES"/>
        </w:rPr>
        <w:br/>
        <w:t>Los recursos del Fondo de Liquidez son de naturaleza privada, son inembargables y no podrán ser afectados por las obligaci</w:t>
      </w:r>
      <w:r>
        <w:rPr>
          <w:rFonts w:eastAsia="Times New Roman"/>
          <w:sz w:val="30"/>
          <w:szCs w:val="30"/>
          <w:lang w:val="es-ES"/>
        </w:rPr>
        <w:t>ones de los aportantes, excepto para el pago de las operaciones de crédito a través de la ventanilla de redescuento y de la inversión doméstica de los excedentes de liquidez.</w:t>
      </w:r>
      <w:r>
        <w:rPr>
          <w:rFonts w:eastAsia="Times New Roman"/>
          <w:sz w:val="30"/>
          <w:szCs w:val="30"/>
          <w:lang w:val="es-ES"/>
        </w:rPr>
        <w:br/>
      </w:r>
      <w:r>
        <w:rPr>
          <w:rFonts w:eastAsia="Times New Roman"/>
          <w:sz w:val="30"/>
          <w:szCs w:val="30"/>
          <w:lang w:val="es-ES"/>
        </w:rPr>
        <w:br/>
        <w:t>La operación de los fideicomisos estará exenta de toda clase de tributos. Los ac</w:t>
      </w:r>
      <w:r>
        <w:rPr>
          <w:rFonts w:eastAsia="Times New Roman"/>
          <w:sz w:val="30"/>
          <w:szCs w:val="30"/>
          <w:lang w:val="es-ES"/>
        </w:rPr>
        <w:t>reedores del Fondo de Liquidez por préstamos o líneas contingentes no podrán hacer efectivos sus créditos contra los aportantes, cuya responsabilidad se limita a sus aportes.</w:t>
      </w:r>
    </w:p>
    <w:p w:rsidR="00000000" w:rsidRDefault="0018461E">
      <w:pPr>
        <w:divId w:val="1623464359"/>
        <w:rPr>
          <w:rFonts w:eastAsia="Times New Roman"/>
          <w:sz w:val="30"/>
          <w:szCs w:val="30"/>
          <w:lang w:val="es-ES"/>
        </w:rPr>
      </w:pPr>
      <w:r>
        <w:rPr>
          <w:rFonts w:eastAsia="Times New Roman"/>
          <w:sz w:val="30"/>
          <w:szCs w:val="30"/>
          <w:lang w:val="es-ES"/>
        </w:rPr>
        <w:t xml:space="preserve">Art. 336.- </w:t>
      </w:r>
      <w:r>
        <w:rPr>
          <w:rFonts w:eastAsia="Times New Roman"/>
          <w:b/>
          <w:bCs/>
          <w:sz w:val="30"/>
          <w:szCs w:val="30"/>
          <w:lang w:val="es-ES"/>
        </w:rPr>
        <w:t xml:space="preserve">Aportes. </w:t>
      </w:r>
      <w:r>
        <w:rPr>
          <w:rFonts w:eastAsia="Times New Roman"/>
          <w:sz w:val="30"/>
          <w:szCs w:val="30"/>
          <w:lang w:val="es-ES"/>
        </w:rPr>
        <w:t>Los aportes al Fondo de Liquidez y la periodicidad de su pago</w:t>
      </w:r>
      <w:r>
        <w:rPr>
          <w:rFonts w:eastAsia="Times New Roman"/>
          <w:sz w:val="30"/>
          <w:szCs w:val="30"/>
          <w:lang w:val="es-ES"/>
        </w:rPr>
        <w:t xml:space="preserve"> por parte de las entidades de los sectores financieros privado y popular y solidario serán determinados por la Junta de Política y Regulación Monetaria y Financiera.</w:t>
      </w:r>
      <w:r>
        <w:rPr>
          <w:rFonts w:eastAsia="Times New Roman"/>
          <w:sz w:val="30"/>
          <w:szCs w:val="30"/>
          <w:lang w:val="es-ES"/>
        </w:rPr>
        <w:br/>
      </w:r>
      <w:r>
        <w:rPr>
          <w:rFonts w:eastAsia="Times New Roman"/>
          <w:sz w:val="30"/>
          <w:szCs w:val="30"/>
          <w:lang w:val="es-ES"/>
        </w:rPr>
        <w:br/>
        <w:t>Los aportes serán diferenciados por cada sector financiero.</w:t>
      </w:r>
    </w:p>
    <w:p w:rsidR="00000000" w:rsidRDefault="0018461E">
      <w:pPr>
        <w:divId w:val="758604395"/>
        <w:rPr>
          <w:rFonts w:eastAsia="Times New Roman"/>
          <w:sz w:val="30"/>
          <w:szCs w:val="30"/>
          <w:lang w:val="es-ES"/>
        </w:rPr>
      </w:pPr>
      <w:r>
        <w:rPr>
          <w:rFonts w:eastAsia="Times New Roman"/>
          <w:sz w:val="30"/>
          <w:szCs w:val="30"/>
          <w:lang w:val="es-ES"/>
        </w:rPr>
        <w:t xml:space="preserve">Art. 337.- </w:t>
      </w:r>
      <w:r>
        <w:rPr>
          <w:rFonts w:eastAsia="Times New Roman"/>
          <w:b/>
          <w:bCs/>
          <w:sz w:val="30"/>
          <w:szCs w:val="30"/>
          <w:lang w:val="es-ES"/>
        </w:rPr>
        <w:t xml:space="preserve">Inversiones. </w:t>
      </w:r>
      <w:r>
        <w:rPr>
          <w:rFonts w:eastAsia="Times New Roman"/>
          <w:sz w:val="30"/>
          <w:szCs w:val="30"/>
          <w:lang w:val="es-ES"/>
        </w:rPr>
        <w:t xml:space="preserve">Los </w:t>
      </w:r>
      <w:r>
        <w:rPr>
          <w:rFonts w:eastAsia="Times New Roman"/>
          <w:sz w:val="30"/>
          <w:szCs w:val="30"/>
          <w:lang w:val="es-ES"/>
        </w:rPr>
        <w:t xml:space="preserve">recursos del Fondo de Liquidez deberán invertirse observando los principios de seguridad, liquidez, diversificación y rentabilidad en el marco de los objetivos de la </w:t>
      </w:r>
      <w:r>
        <w:rPr>
          <w:rFonts w:eastAsia="Times New Roman"/>
          <w:sz w:val="30"/>
          <w:szCs w:val="30"/>
          <w:lang w:val="es-ES"/>
        </w:rPr>
        <w:lastRenderedPageBreak/>
        <w:t>política económica y la preservación de los depósitos. Estos recursos no podrán invertirse</w:t>
      </w:r>
      <w:r>
        <w:rPr>
          <w:rFonts w:eastAsia="Times New Roman"/>
          <w:sz w:val="30"/>
          <w:szCs w:val="30"/>
          <w:lang w:val="es-ES"/>
        </w:rPr>
        <w:t xml:space="preserve"> en bonos emitidos por el Ministerio de Finanzas.</w:t>
      </w:r>
      <w:r>
        <w:rPr>
          <w:rFonts w:eastAsia="Times New Roman"/>
          <w:sz w:val="30"/>
          <w:szCs w:val="30"/>
          <w:lang w:val="es-ES"/>
        </w:rPr>
        <w:br/>
      </w:r>
      <w:r>
        <w:rPr>
          <w:rFonts w:eastAsia="Times New Roman"/>
          <w:sz w:val="30"/>
          <w:szCs w:val="30"/>
          <w:lang w:val="es-ES"/>
        </w:rPr>
        <w:br/>
        <w:t>Los miembros del Directorio de la Corporación del Seguro de Depósitos, Fondo de Liquidez y Fondo de Seguros Privados, serán responsables por la inobservancia de los parámetros descritos en el inciso anteri</w:t>
      </w:r>
      <w:r>
        <w:rPr>
          <w:rFonts w:eastAsia="Times New Roman"/>
          <w:sz w:val="30"/>
          <w:szCs w:val="30"/>
          <w:lang w:val="es-ES"/>
        </w:rPr>
        <w:t>or.</w:t>
      </w:r>
    </w:p>
    <w:p w:rsidR="00000000" w:rsidRDefault="0018461E">
      <w:pPr>
        <w:divId w:val="1059783660"/>
        <w:rPr>
          <w:rFonts w:eastAsia="Times New Roman"/>
          <w:sz w:val="30"/>
          <w:szCs w:val="30"/>
          <w:lang w:val="es-ES"/>
        </w:rPr>
      </w:pPr>
      <w:r>
        <w:rPr>
          <w:rFonts w:eastAsia="Times New Roman"/>
          <w:sz w:val="30"/>
          <w:szCs w:val="30"/>
          <w:lang w:val="es-ES"/>
        </w:rPr>
        <w:t xml:space="preserve">Art. 338.- </w:t>
      </w:r>
      <w:r>
        <w:rPr>
          <w:rFonts w:eastAsia="Times New Roman"/>
          <w:b/>
          <w:bCs/>
          <w:sz w:val="30"/>
          <w:szCs w:val="30"/>
          <w:lang w:val="es-ES"/>
        </w:rPr>
        <w:t xml:space="preserve">Operaciones. </w:t>
      </w:r>
      <w:r>
        <w:rPr>
          <w:rFonts w:eastAsia="Times New Roman"/>
          <w:sz w:val="30"/>
          <w:szCs w:val="30"/>
          <w:lang w:val="es-ES"/>
        </w:rPr>
        <w:t>El Fondo de Liquidez podrá realizar las siguientes operaciones activas y pasivas:</w:t>
      </w:r>
      <w:r>
        <w:rPr>
          <w:rFonts w:eastAsia="Times New Roman"/>
          <w:sz w:val="30"/>
          <w:szCs w:val="30"/>
          <w:lang w:val="es-ES"/>
        </w:rPr>
        <w:br/>
      </w:r>
      <w:r>
        <w:rPr>
          <w:rFonts w:eastAsia="Times New Roman"/>
          <w:sz w:val="30"/>
          <w:szCs w:val="30"/>
          <w:lang w:val="es-ES"/>
        </w:rPr>
        <w:br/>
        <w:t>1. Operaciones activas, consistentes en:</w:t>
      </w:r>
      <w:r>
        <w:rPr>
          <w:rFonts w:eastAsia="Times New Roman"/>
          <w:sz w:val="30"/>
          <w:szCs w:val="30"/>
          <w:lang w:val="es-ES"/>
        </w:rPr>
        <w:br/>
      </w:r>
      <w:r>
        <w:rPr>
          <w:rFonts w:eastAsia="Times New Roman"/>
          <w:sz w:val="30"/>
          <w:szCs w:val="30"/>
          <w:lang w:val="es-ES"/>
        </w:rPr>
        <w:br/>
        <w:t>a. Créditos ordinarios, cuyo plazo será de un día hábil renovable, que serán otorgados dentro de una lí</w:t>
      </w:r>
      <w:r>
        <w:rPr>
          <w:rFonts w:eastAsia="Times New Roman"/>
          <w:sz w:val="30"/>
          <w:szCs w:val="30"/>
          <w:lang w:val="es-ES"/>
        </w:rPr>
        <w:t>nea de crédito para cubrir deficiencias en las cámaras de compensación del Sistema Central de Pagos administrado por el Banco Central del Ecuador;</w:t>
      </w:r>
      <w:r>
        <w:rPr>
          <w:rFonts w:eastAsia="Times New Roman"/>
          <w:sz w:val="30"/>
          <w:szCs w:val="30"/>
          <w:lang w:val="es-ES"/>
        </w:rPr>
        <w:br/>
      </w:r>
      <w:r>
        <w:rPr>
          <w:rFonts w:eastAsia="Times New Roman"/>
          <w:sz w:val="30"/>
          <w:szCs w:val="30"/>
          <w:lang w:val="es-ES"/>
        </w:rPr>
        <w:br/>
        <w:t>b. Créditos extraordinarios, que no podrán exceder del plazo de trescientos sesenta y cinco días a partir de</w:t>
      </w:r>
      <w:r>
        <w:rPr>
          <w:rFonts w:eastAsia="Times New Roman"/>
          <w:sz w:val="30"/>
          <w:szCs w:val="30"/>
          <w:lang w:val="es-ES"/>
        </w:rPr>
        <w:t xml:space="preserve"> su concesión; y,</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8" name="Imagen 8"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la Disposición Reformatoria Novena de la Ley s/n, R.O. 652-S, 18-XII-2015).- Las o</w:t>
      </w:r>
      <w:r>
        <w:rPr>
          <w:rFonts w:eastAsia="Times New Roman"/>
          <w:sz w:val="30"/>
          <w:szCs w:val="30"/>
          <w:lang w:val="es-ES"/>
        </w:rPr>
        <w:t>peraciones señaladas en el artículo 335 y las demás operaciones debidamente autorizadas por el organismo de regulación competente.</w:t>
      </w:r>
      <w:r>
        <w:rPr>
          <w:rFonts w:eastAsia="Times New Roman"/>
          <w:sz w:val="30"/>
          <w:szCs w:val="30"/>
          <w:lang w:val="es-ES"/>
        </w:rPr>
        <w:br/>
      </w:r>
      <w:r>
        <w:rPr>
          <w:rFonts w:eastAsia="Times New Roman"/>
          <w:sz w:val="30"/>
          <w:szCs w:val="30"/>
          <w:lang w:val="es-ES"/>
        </w:rPr>
        <w:br/>
        <w:t>2. Operaciones pasivas: Podrán consistir en préstamos y titularizaciones; y,</w:t>
      </w:r>
      <w:r>
        <w:rPr>
          <w:rFonts w:eastAsia="Times New Roman"/>
          <w:sz w:val="30"/>
          <w:szCs w:val="30"/>
          <w:lang w:val="es-ES"/>
        </w:rPr>
        <w:br/>
      </w:r>
      <w:r>
        <w:rPr>
          <w:rFonts w:eastAsia="Times New Roman"/>
          <w:sz w:val="30"/>
          <w:szCs w:val="30"/>
          <w:lang w:val="es-ES"/>
        </w:rPr>
        <w:br/>
        <w:t>3. Líneas contingentes con entidades financier</w:t>
      </w:r>
      <w:r>
        <w:rPr>
          <w:rFonts w:eastAsia="Times New Roman"/>
          <w:sz w:val="30"/>
          <w:szCs w:val="30"/>
          <w:lang w:val="es-ES"/>
        </w:rPr>
        <w:t>as internacionales.</w:t>
      </w:r>
      <w:r>
        <w:rPr>
          <w:rFonts w:eastAsia="Times New Roman"/>
          <w:sz w:val="30"/>
          <w:szCs w:val="30"/>
          <w:lang w:val="es-ES"/>
        </w:rPr>
        <w:br/>
      </w:r>
      <w:r>
        <w:rPr>
          <w:rFonts w:eastAsia="Times New Roman"/>
          <w:sz w:val="30"/>
          <w:szCs w:val="30"/>
          <w:lang w:val="es-ES"/>
        </w:rPr>
        <w:br/>
        <w:t>El Fondo de Liquidez podrá ser usado, además, para cancelar las obligaciones emanadas de la ventanilla de redescuento y de la inversión doméstica de los excedentes de liquidez, de conformidad con este Código.</w:t>
      </w:r>
    </w:p>
    <w:p w:rsidR="00000000" w:rsidRDefault="0018461E">
      <w:pPr>
        <w:divId w:val="1839075346"/>
        <w:rPr>
          <w:rFonts w:eastAsia="Times New Roman"/>
          <w:sz w:val="30"/>
          <w:szCs w:val="30"/>
          <w:lang w:val="es-ES"/>
        </w:rPr>
      </w:pPr>
      <w:r>
        <w:rPr>
          <w:rFonts w:eastAsia="Times New Roman"/>
          <w:sz w:val="30"/>
          <w:szCs w:val="30"/>
          <w:lang w:val="es-ES"/>
        </w:rPr>
        <w:t xml:space="preserve">Art. 339.- </w:t>
      </w:r>
      <w:r>
        <w:rPr>
          <w:rFonts w:eastAsia="Times New Roman"/>
          <w:b/>
          <w:bCs/>
          <w:sz w:val="30"/>
          <w:szCs w:val="30"/>
          <w:lang w:val="es-ES"/>
        </w:rPr>
        <w:t xml:space="preserve">Condiciones. </w:t>
      </w:r>
      <w:r>
        <w:rPr>
          <w:rFonts w:eastAsia="Times New Roman"/>
          <w:sz w:val="30"/>
          <w:szCs w:val="30"/>
          <w:lang w:val="es-ES"/>
        </w:rPr>
        <w:t>En</w:t>
      </w:r>
      <w:r>
        <w:rPr>
          <w:rFonts w:eastAsia="Times New Roman"/>
          <w:sz w:val="30"/>
          <w:szCs w:val="30"/>
          <w:lang w:val="es-ES"/>
        </w:rPr>
        <w:t xml:space="preserve"> las operaciones activas se observarán las siguientes condiciones:</w:t>
      </w:r>
      <w:r>
        <w:rPr>
          <w:rFonts w:eastAsia="Times New Roman"/>
          <w:sz w:val="30"/>
          <w:szCs w:val="30"/>
          <w:lang w:val="es-ES"/>
        </w:rPr>
        <w:br/>
      </w:r>
      <w:r>
        <w:rPr>
          <w:rFonts w:eastAsia="Times New Roman"/>
          <w:sz w:val="30"/>
          <w:szCs w:val="30"/>
          <w:lang w:val="es-ES"/>
        </w:rPr>
        <w:br/>
        <w:t xml:space="preserve">1. Los créditos ordinarios podrán concederse hasta por el monto equivalente al aporte que cada una de las entidades financieras hubiere efectuado al Fondo de Liquidez, que garantizarán la </w:t>
      </w:r>
      <w:r>
        <w:rPr>
          <w:rFonts w:eastAsia="Times New Roman"/>
          <w:sz w:val="30"/>
          <w:szCs w:val="30"/>
          <w:lang w:val="es-ES"/>
        </w:rPr>
        <w:t xml:space="preserve">operación </w:t>
      </w:r>
      <w:r>
        <w:rPr>
          <w:rFonts w:eastAsia="Times New Roman"/>
          <w:sz w:val="30"/>
          <w:szCs w:val="30"/>
          <w:lang w:val="es-ES"/>
        </w:rPr>
        <w:lastRenderedPageBreak/>
        <w:t>respectiva. El acceso a estos créditos será automático y su tasa de interés será establecida por la Junta de Política y Regulación Monetaria y Financiera. El Banco Central del Ecuador, en su calidad de administrador fiduciario, informará al organ</w:t>
      </w:r>
      <w:r>
        <w:rPr>
          <w:rFonts w:eastAsia="Times New Roman"/>
          <w:sz w:val="30"/>
          <w:szCs w:val="30"/>
          <w:lang w:val="es-ES"/>
        </w:rPr>
        <w:t>ismo de control correspondiente de la ejecución de estas operaciones; y,</w:t>
      </w:r>
      <w:r>
        <w:rPr>
          <w:rFonts w:eastAsia="Times New Roman"/>
          <w:sz w:val="30"/>
          <w:szCs w:val="30"/>
          <w:lang w:val="es-ES"/>
        </w:rPr>
        <w:br/>
      </w:r>
      <w:r>
        <w:rPr>
          <w:rFonts w:eastAsia="Times New Roman"/>
          <w:sz w:val="30"/>
          <w:szCs w:val="30"/>
          <w:lang w:val="es-ES"/>
        </w:rPr>
        <w:br/>
        <w:t xml:space="preserve">2. Los créditos extraordinarios podrán ser concedidos a las entidades financieras aportantes, siempre que mantengan el nivel mínimo de solvencia determinado por la Junta de Política </w:t>
      </w:r>
      <w:r>
        <w:rPr>
          <w:rFonts w:eastAsia="Times New Roman"/>
          <w:sz w:val="30"/>
          <w:szCs w:val="30"/>
          <w:lang w:val="es-ES"/>
        </w:rPr>
        <w:t>y Regulación Monetaria y Financiera. La tasa de interés de estos créditos será establecida por la Junta.</w:t>
      </w:r>
      <w:r>
        <w:rPr>
          <w:rFonts w:eastAsia="Times New Roman"/>
          <w:sz w:val="30"/>
          <w:szCs w:val="30"/>
          <w:lang w:val="es-ES"/>
        </w:rPr>
        <w:br/>
      </w:r>
      <w:r>
        <w:rPr>
          <w:rFonts w:eastAsia="Times New Roman"/>
          <w:sz w:val="30"/>
          <w:szCs w:val="30"/>
          <w:lang w:val="es-ES"/>
        </w:rPr>
        <w:br/>
        <w:t>La Junta de Política y Regulación Monetaria y Financiera deberá expedir las normas de elegibilidad, en las que se establecerán las condiciones que deb</w:t>
      </w:r>
      <w:r>
        <w:rPr>
          <w:rFonts w:eastAsia="Times New Roman"/>
          <w:sz w:val="30"/>
          <w:szCs w:val="30"/>
          <w:lang w:val="es-ES"/>
        </w:rPr>
        <w:t>en cumplir las entidades financieras para acceder a este tipo de créditos.</w:t>
      </w:r>
    </w:p>
    <w:p w:rsidR="00000000" w:rsidRDefault="0018461E">
      <w:pPr>
        <w:divId w:val="204492669"/>
        <w:rPr>
          <w:rFonts w:eastAsia="Times New Roman"/>
          <w:sz w:val="30"/>
          <w:szCs w:val="30"/>
          <w:lang w:val="es-ES"/>
        </w:rPr>
      </w:pPr>
      <w:r>
        <w:rPr>
          <w:rFonts w:eastAsia="Times New Roman"/>
          <w:sz w:val="30"/>
          <w:szCs w:val="30"/>
          <w:lang w:val="es-ES"/>
        </w:rPr>
        <w:t xml:space="preserve">Art. 340.- </w:t>
      </w:r>
      <w:r>
        <w:rPr>
          <w:rFonts w:eastAsia="Times New Roman"/>
          <w:b/>
          <w:bCs/>
          <w:sz w:val="30"/>
          <w:szCs w:val="30"/>
          <w:lang w:val="es-ES"/>
        </w:rPr>
        <w:t xml:space="preserve">Fideicomiso de garantía. </w:t>
      </w:r>
      <w:r>
        <w:rPr>
          <w:rFonts w:eastAsia="Times New Roman"/>
          <w:sz w:val="30"/>
          <w:szCs w:val="30"/>
          <w:lang w:val="es-ES"/>
        </w:rPr>
        <w:t>Cada una de las entidades de los sectores financieros privado y popular y solidario deberá constituir un fideicomiso mercantil de garantía con un</w:t>
      </w:r>
      <w:r>
        <w:rPr>
          <w:rFonts w:eastAsia="Times New Roman"/>
          <w:sz w:val="30"/>
          <w:szCs w:val="30"/>
          <w:lang w:val="es-ES"/>
        </w:rPr>
        <w:t xml:space="preserve"> portafolio de inversiones y de cartera que tendrá como beneficiario acreedor al Fideicomiso del Fondo de Liquidez que corresponda. El aporte inicial mínimo a este fideicomiso será de al menos cincuenta mil dólares de los Estados Unidos de América USD 50.0</w:t>
      </w:r>
      <w:r>
        <w:rPr>
          <w:rFonts w:eastAsia="Times New Roman"/>
          <w:sz w:val="30"/>
          <w:szCs w:val="30"/>
          <w:lang w:val="es-ES"/>
        </w:rPr>
        <w:t>00,00 (cincuenta mil dólares de los Estados Unidos de América) para las entidades del sector financiero privado, y en cada ocasión que requiera un crédito extraordinario de liquidez, la entidad deberá aportar garantías adecuadas por un monto no inferior al</w:t>
      </w:r>
      <w:r>
        <w:rPr>
          <w:rFonts w:eastAsia="Times New Roman"/>
          <w:sz w:val="30"/>
          <w:szCs w:val="30"/>
          <w:lang w:val="es-ES"/>
        </w:rPr>
        <w:t xml:space="preserve"> 140% del monto del crédito extraordinario, de conformidad con las normas que expida la Junta de Política y Regulación Monetaria y Financiera.</w:t>
      </w:r>
      <w:r>
        <w:rPr>
          <w:rFonts w:eastAsia="Times New Roman"/>
          <w:sz w:val="30"/>
          <w:szCs w:val="30"/>
          <w:lang w:val="es-ES"/>
        </w:rPr>
        <w:br/>
      </w:r>
      <w:r>
        <w:rPr>
          <w:rFonts w:eastAsia="Times New Roman"/>
          <w:sz w:val="30"/>
          <w:szCs w:val="30"/>
          <w:lang w:val="es-ES"/>
        </w:rPr>
        <w:br/>
        <w:t>El aporte inicial mínimo a este fideicomiso para las entidades financieras populares y solidarias, será determin</w:t>
      </w:r>
      <w:r>
        <w:rPr>
          <w:rFonts w:eastAsia="Times New Roman"/>
          <w:sz w:val="30"/>
          <w:szCs w:val="30"/>
          <w:lang w:val="es-ES"/>
        </w:rPr>
        <w:t>ado por la Junta de Política y Regulación Monetaria y Financiera.</w:t>
      </w:r>
    </w:p>
    <w:p w:rsidR="00000000" w:rsidRDefault="0018461E">
      <w:pPr>
        <w:divId w:val="2092113784"/>
        <w:rPr>
          <w:rFonts w:eastAsia="Times New Roman"/>
          <w:sz w:val="30"/>
          <w:szCs w:val="30"/>
          <w:lang w:val="es-ES"/>
        </w:rPr>
      </w:pPr>
      <w:r>
        <w:rPr>
          <w:rFonts w:eastAsia="Times New Roman"/>
          <w:sz w:val="30"/>
          <w:szCs w:val="30"/>
          <w:lang w:val="es-ES"/>
        </w:rPr>
        <w:t xml:space="preserve">Art. 341.- </w:t>
      </w:r>
      <w:r>
        <w:rPr>
          <w:rFonts w:eastAsia="Times New Roman"/>
          <w:b/>
          <w:bCs/>
          <w:sz w:val="30"/>
          <w:szCs w:val="30"/>
          <w:lang w:val="es-ES"/>
        </w:rPr>
        <w:t xml:space="preserve">Exposición. </w:t>
      </w:r>
      <w:r>
        <w:rPr>
          <w:rFonts w:eastAsia="Times New Roman"/>
          <w:sz w:val="30"/>
          <w:szCs w:val="30"/>
          <w:lang w:val="es-ES"/>
        </w:rPr>
        <w:t>La exposición total de los recursos aportados al Fondo de Liquidez por concepto de todas las operaciones activas concedidas a una entidad financiera que se mantengan v</w:t>
      </w:r>
      <w:r>
        <w:rPr>
          <w:rFonts w:eastAsia="Times New Roman"/>
          <w:sz w:val="30"/>
          <w:szCs w:val="30"/>
          <w:lang w:val="es-ES"/>
        </w:rPr>
        <w:t>igentes no podrá exceder del 30% de sus activos, ni del equivalente al 100% del patrimonio técnico de esa entidad financiera.</w:t>
      </w:r>
    </w:p>
    <w:p w:rsidR="00000000" w:rsidRDefault="0018461E">
      <w:pPr>
        <w:divId w:val="1508670889"/>
        <w:rPr>
          <w:rFonts w:eastAsia="Times New Roman"/>
          <w:sz w:val="30"/>
          <w:szCs w:val="30"/>
          <w:lang w:val="es-ES"/>
        </w:rPr>
      </w:pPr>
      <w:r>
        <w:rPr>
          <w:rFonts w:eastAsia="Times New Roman"/>
          <w:sz w:val="30"/>
          <w:szCs w:val="30"/>
          <w:lang w:val="es-ES"/>
        </w:rPr>
        <w:t xml:space="preserve">Art. 342.- </w:t>
      </w:r>
      <w:r>
        <w:rPr>
          <w:rFonts w:eastAsia="Times New Roman"/>
          <w:b/>
          <w:bCs/>
          <w:sz w:val="30"/>
          <w:szCs w:val="30"/>
          <w:lang w:val="es-ES"/>
        </w:rPr>
        <w:t xml:space="preserve">Control. </w:t>
      </w:r>
      <w:r>
        <w:rPr>
          <w:rFonts w:eastAsia="Times New Roman"/>
          <w:sz w:val="30"/>
          <w:szCs w:val="30"/>
          <w:lang w:val="es-ES"/>
        </w:rPr>
        <w:t xml:space="preserve">Las cuentas </w:t>
      </w:r>
      <w:r>
        <w:rPr>
          <w:rFonts w:eastAsia="Times New Roman"/>
          <w:sz w:val="30"/>
          <w:szCs w:val="30"/>
          <w:lang w:val="es-ES"/>
        </w:rPr>
        <w:t xml:space="preserve">del sector financiero privado del Fondo de Liquidez estarán sujetas a la verificación anual de una </w:t>
      </w:r>
      <w:r>
        <w:rPr>
          <w:rFonts w:eastAsia="Times New Roman"/>
          <w:sz w:val="30"/>
          <w:szCs w:val="30"/>
          <w:lang w:val="es-ES"/>
        </w:rPr>
        <w:lastRenderedPageBreak/>
        <w:t>auditoría externa previamente calificada por la Superintendencia de Bancos, sin perjuicio de las potestades de dicha institución para controlarlas.</w:t>
      </w:r>
      <w:r>
        <w:rPr>
          <w:rFonts w:eastAsia="Times New Roman"/>
          <w:sz w:val="30"/>
          <w:szCs w:val="30"/>
          <w:lang w:val="es-ES"/>
        </w:rPr>
        <w:br/>
      </w:r>
      <w:r>
        <w:rPr>
          <w:rFonts w:eastAsia="Times New Roman"/>
          <w:sz w:val="30"/>
          <w:szCs w:val="30"/>
          <w:lang w:val="es-ES"/>
        </w:rPr>
        <w:br/>
        <w:t>Las cuen</w:t>
      </w:r>
      <w:r>
        <w:rPr>
          <w:rFonts w:eastAsia="Times New Roman"/>
          <w:sz w:val="30"/>
          <w:szCs w:val="30"/>
          <w:lang w:val="es-ES"/>
        </w:rPr>
        <w:t>tas del sector financiero popular y solidario del Fondo de Liquidez estarán sujetas a la verificación anual de una auditoría externa previamente calificada por la Superintendencia de Economía Popular y Solidaria, sin perjuicio de las potestades de dicha in</w:t>
      </w:r>
      <w:r>
        <w:rPr>
          <w:rFonts w:eastAsia="Times New Roman"/>
          <w:sz w:val="30"/>
          <w:szCs w:val="30"/>
          <w:lang w:val="es-ES"/>
        </w:rPr>
        <w:t>stitución para controlarlas.</w:t>
      </w:r>
    </w:p>
    <w:p w:rsidR="00000000" w:rsidRDefault="0018461E">
      <w:pPr>
        <w:divId w:val="2054696992"/>
        <w:rPr>
          <w:rFonts w:eastAsia="Times New Roman"/>
          <w:sz w:val="30"/>
          <w:szCs w:val="30"/>
          <w:lang w:val="es-ES"/>
        </w:rPr>
      </w:pPr>
      <w:r>
        <w:rPr>
          <w:rFonts w:eastAsia="Times New Roman"/>
          <w:sz w:val="30"/>
          <w:szCs w:val="30"/>
          <w:lang w:val="es-ES"/>
        </w:rPr>
        <w:t xml:space="preserve">Art. 343.- </w:t>
      </w:r>
      <w:r>
        <w:rPr>
          <w:rFonts w:eastAsia="Times New Roman"/>
          <w:b/>
          <w:bCs/>
          <w:sz w:val="30"/>
          <w:szCs w:val="30"/>
          <w:lang w:val="es-ES"/>
        </w:rPr>
        <w:t xml:space="preserve">Devolución de recursos. </w:t>
      </w:r>
      <w:r>
        <w:rPr>
          <w:rFonts w:eastAsia="Times New Roman"/>
          <w:sz w:val="30"/>
          <w:szCs w:val="30"/>
          <w:lang w:val="es-ES"/>
        </w:rPr>
        <w:t>Los recursos aportados por las entidades financieras al Fondo de Liquidez serán restituidos en los siguientes casos:</w:t>
      </w:r>
      <w:r>
        <w:rPr>
          <w:rFonts w:eastAsia="Times New Roman"/>
          <w:sz w:val="30"/>
          <w:szCs w:val="30"/>
          <w:lang w:val="es-ES"/>
        </w:rPr>
        <w:br/>
      </w:r>
      <w:r>
        <w:rPr>
          <w:rFonts w:eastAsia="Times New Roman"/>
          <w:sz w:val="30"/>
          <w:szCs w:val="30"/>
          <w:lang w:val="es-ES"/>
        </w:rPr>
        <w:br/>
        <w:t>1. Exclusión y transferencia de activos y pasivos;</w:t>
      </w:r>
      <w:r>
        <w:rPr>
          <w:rFonts w:eastAsia="Times New Roman"/>
          <w:sz w:val="30"/>
          <w:szCs w:val="30"/>
          <w:lang w:val="es-ES"/>
        </w:rPr>
        <w:br/>
      </w:r>
      <w:r>
        <w:rPr>
          <w:rFonts w:eastAsia="Times New Roman"/>
          <w:sz w:val="30"/>
          <w:szCs w:val="30"/>
          <w:lang w:val="es-ES"/>
        </w:rPr>
        <w:br/>
        <w:t>2. Liquidación volunta</w:t>
      </w:r>
      <w:r>
        <w:rPr>
          <w:rFonts w:eastAsia="Times New Roman"/>
          <w:sz w:val="30"/>
          <w:szCs w:val="30"/>
          <w:lang w:val="es-ES"/>
        </w:rPr>
        <w:t>ria o forzosa de la entidad; y,</w:t>
      </w:r>
      <w:r>
        <w:rPr>
          <w:rFonts w:eastAsia="Times New Roman"/>
          <w:sz w:val="30"/>
          <w:szCs w:val="30"/>
          <w:lang w:val="es-ES"/>
        </w:rPr>
        <w:br/>
      </w:r>
      <w:r>
        <w:rPr>
          <w:rFonts w:eastAsia="Times New Roman"/>
          <w:sz w:val="30"/>
          <w:szCs w:val="30"/>
          <w:lang w:val="es-ES"/>
        </w:rPr>
        <w:br/>
        <w:t>3. El exceso del aporte en caso de fusiones.</w:t>
      </w:r>
    </w:p>
    <w:p w:rsidR="00000000" w:rsidRDefault="0018461E">
      <w:pPr>
        <w:divId w:val="1372534581"/>
        <w:rPr>
          <w:rFonts w:eastAsia="Times New Roman"/>
          <w:sz w:val="30"/>
          <w:szCs w:val="30"/>
          <w:lang w:val="es-ES"/>
        </w:rPr>
      </w:pPr>
      <w:r>
        <w:rPr>
          <w:rFonts w:eastAsia="Times New Roman"/>
          <w:sz w:val="30"/>
          <w:szCs w:val="30"/>
          <w:lang w:val="es-ES"/>
        </w:rPr>
        <w:t xml:space="preserve">Art. 344.- </w:t>
      </w:r>
      <w:r>
        <w:rPr>
          <w:rFonts w:eastAsia="Times New Roman"/>
          <w:b/>
          <w:bCs/>
          <w:sz w:val="30"/>
          <w:szCs w:val="30"/>
          <w:lang w:val="es-ES"/>
        </w:rPr>
        <w:t xml:space="preserve">Objeto del Fondo de Seguros Privados. </w:t>
      </w:r>
      <w:r>
        <w:rPr>
          <w:rFonts w:eastAsia="Times New Roman"/>
          <w:sz w:val="30"/>
          <w:szCs w:val="30"/>
          <w:lang w:val="es-ES"/>
        </w:rPr>
        <w:t>Estarán protegidos por la cobertura que se determina en este cuerpo legal, los asegurados del sector público y privado que tengan</w:t>
      </w:r>
      <w:r>
        <w:rPr>
          <w:rFonts w:eastAsia="Times New Roman"/>
          <w:sz w:val="30"/>
          <w:szCs w:val="30"/>
          <w:lang w:val="es-ES"/>
        </w:rPr>
        <w:t xml:space="preserve"> pólizas vigentes, con la totalidad de la prima cancelada, en las empresas del sistema de seguro privado.</w:t>
      </w:r>
      <w:r>
        <w:rPr>
          <w:rFonts w:eastAsia="Times New Roman"/>
          <w:sz w:val="30"/>
          <w:szCs w:val="30"/>
          <w:lang w:val="es-ES"/>
        </w:rPr>
        <w:br/>
      </w:r>
      <w:r>
        <w:rPr>
          <w:rFonts w:eastAsia="Times New Roman"/>
          <w:sz w:val="30"/>
          <w:szCs w:val="30"/>
          <w:lang w:val="es-ES"/>
        </w:rPr>
        <w:br/>
        <w:t>El Seguro de Depósitos Privados cubrirá dentro del monto establecido por la Junta el valor de los siniestros pendientes de pago a la fecha de la liqu</w:t>
      </w:r>
      <w:r>
        <w:rPr>
          <w:rFonts w:eastAsia="Times New Roman"/>
          <w:sz w:val="30"/>
          <w:szCs w:val="30"/>
          <w:lang w:val="es-ES"/>
        </w:rPr>
        <w:t>idación forzosa.</w:t>
      </w:r>
    </w:p>
    <w:p w:rsidR="00000000" w:rsidRDefault="0018461E">
      <w:pPr>
        <w:divId w:val="164563471"/>
        <w:rPr>
          <w:rFonts w:eastAsia="Times New Roman"/>
          <w:sz w:val="30"/>
          <w:szCs w:val="30"/>
          <w:lang w:val="es-ES"/>
        </w:rPr>
      </w:pPr>
      <w:r>
        <w:rPr>
          <w:rFonts w:eastAsia="Times New Roman"/>
          <w:sz w:val="30"/>
          <w:szCs w:val="30"/>
          <w:lang w:val="es-ES"/>
        </w:rPr>
        <w:t xml:space="preserve">Art. 345.- </w:t>
      </w:r>
      <w:r>
        <w:rPr>
          <w:rFonts w:eastAsia="Times New Roman"/>
          <w:b/>
          <w:bCs/>
          <w:sz w:val="30"/>
          <w:szCs w:val="30"/>
          <w:lang w:val="es-ES"/>
        </w:rPr>
        <w:t xml:space="preserve">Exclusión del Seguro. </w:t>
      </w:r>
      <w:r>
        <w:rPr>
          <w:rFonts w:eastAsia="Times New Roman"/>
          <w:sz w:val="30"/>
          <w:szCs w:val="30"/>
          <w:lang w:val="es-ES"/>
        </w:rPr>
        <w:t>No estarán protegidos por la cobertura de la garantía de seguro privado:</w:t>
      </w:r>
      <w:r>
        <w:rPr>
          <w:rFonts w:eastAsia="Times New Roman"/>
          <w:sz w:val="30"/>
          <w:szCs w:val="30"/>
          <w:lang w:val="es-ES"/>
        </w:rPr>
        <w:br/>
      </w:r>
      <w:r>
        <w:rPr>
          <w:rFonts w:eastAsia="Times New Roman"/>
          <w:sz w:val="30"/>
          <w:szCs w:val="30"/>
          <w:lang w:val="es-ES"/>
        </w:rPr>
        <w:br/>
        <w:t>a. Las personas que hayan sido sentenciadas por delitos de narcotráfico o lavado de activos; y,</w:t>
      </w:r>
      <w:r>
        <w:rPr>
          <w:rFonts w:eastAsia="Times New Roman"/>
          <w:sz w:val="30"/>
          <w:szCs w:val="30"/>
          <w:lang w:val="es-ES"/>
        </w:rPr>
        <w:br/>
      </w:r>
      <w:r>
        <w:rPr>
          <w:rFonts w:eastAsia="Times New Roman"/>
          <w:sz w:val="30"/>
          <w:szCs w:val="30"/>
          <w:lang w:val="es-ES"/>
        </w:rPr>
        <w:br/>
        <w:t xml:space="preserve">b. Las personas que tengan pólizas </w:t>
      </w:r>
      <w:r>
        <w:rPr>
          <w:rFonts w:eastAsia="Times New Roman"/>
          <w:sz w:val="30"/>
          <w:szCs w:val="30"/>
          <w:lang w:val="es-ES"/>
        </w:rPr>
        <w:t>con compañías de seguros que no estén legamente constituidas en el Ecuador.</w:t>
      </w:r>
    </w:p>
    <w:p w:rsidR="00000000" w:rsidRDefault="0018461E">
      <w:pPr>
        <w:divId w:val="1505587860"/>
        <w:rPr>
          <w:rFonts w:eastAsia="Times New Roman"/>
          <w:sz w:val="30"/>
          <w:szCs w:val="30"/>
          <w:lang w:val="es-ES"/>
        </w:rPr>
      </w:pPr>
      <w:r>
        <w:rPr>
          <w:rFonts w:eastAsia="Times New Roman"/>
          <w:sz w:val="30"/>
          <w:szCs w:val="30"/>
          <w:lang w:val="es-ES"/>
        </w:rPr>
        <w:t xml:space="preserve">Art. 346.- </w:t>
      </w:r>
      <w:r>
        <w:rPr>
          <w:rFonts w:eastAsia="Times New Roman"/>
          <w:b/>
          <w:bCs/>
          <w:sz w:val="30"/>
          <w:szCs w:val="30"/>
          <w:lang w:val="es-ES"/>
        </w:rPr>
        <w:t xml:space="preserve">Monto Protegido. </w:t>
      </w:r>
      <w:r>
        <w:rPr>
          <w:rFonts w:eastAsia="Times New Roman"/>
          <w:sz w:val="30"/>
          <w:szCs w:val="30"/>
          <w:lang w:val="es-ES"/>
        </w:rPr>
        <w:t>Para determinar el monto protegido por la cobertura y su devolución al asegurado o beneficiario, se computará la totalidad de las pólizas que registre c</w:t>
      </w:r>
      <w:r>
        <w:rPr>
          <w:rFonts w:eastAsia="Times New Roman"/>
          <w:sz w:val="30"/>
          <w:szCs w:val="30"/>
          <w:lang w:val="es-ES"/>
        </w:rPr>
        <w:t xml:space="preserve">ada persona natural o jurídica, pública o privada, en la empresa del sistema de seguro privado, a la </w:t>
      </w:r>
      <w:r>
        <w:rPr>
          <w:rFonts w:eastAsia="Times New Roman"/>
          <w:sz w:val="30"/>
          <w:szCs w:val="30"/>
          <w:lang w:val="es-ES"/>
        </w:rPr>
        <w:lastRenderedPageBreak/>
        <w:t>fecha del inicio de la liquidación forzosa dispuesta por el organismo de control.</w:t>
      </w:r>
    </w:p>
    <w:p w:rsidR="00000000" w:rsidRDefault="0018461E">
      <w:pPr>
        <w:divId w:val="1072384663"/>
        <w:rPr>
          <w:rFonts w:eastAsia="Times New Roman"/>
          <w:sz w:val="30"/>
          <w:szCs w:val="30"/>
          <w:lang w:val="es-ES"/>
        </w:rPr>
      </w:pPr>
      <w:r>
        <w:rPr>
          <w:rFonts w:eastAsia="Times New Roman"/>
          <w:sz w:val="30"/>
          <w:szCs w:val="30"/>
          <w:lang w:val="es-ES"/>
        </w:rPr>
        <w:t xml:space="preserve">Art. 347.- </w:t>
      </w:r>
      <w:r>
        <w:rPr>
          <w:rFonts w:eastAsia="Times New Roman"/>
          <w:b/>
          <w:bCs/>
          <w:sz w:val="30"/>
          <w:szCs w:val="30"/>
          <w:lang w:val="es-ES"/>
        </w:rPr>
        <w:t xml:space="preserve">Cobertura. </w:t>
      </w:r>
      <w:r>
        <w:rPr>
          <w:rFonts w:eastAsia="Times New Roman"/>
          <w:sz w:val="30"/>
          <w:szCs w:val="30"/>
          <w:lang w:val="es-ES"/>
        </w:rPr>
        <w:t>El Fondo de Seguros Privados se activará a partir d</w:t>
      </w:r>
      <w:r>
        <w:rPr>
          <w:rFonts w:eastAsia="Times New Roman"/>
          <w:sz w:val="30"/>
          <w:szCs w:val="30"/>
          <w:lang w:val="es-ES"/>
        </w:rPr>
        <w:t>e la notificación que haga el órgano de control a la Corporación, con la declaratoria de liquidación forzosa de una empresa del sistema de seguro privado.</w:t>
      </w:r>
      <w:r>
        <w:rPr>
          <w:rFonts w:eastAsia="Times New Roman"/>
          <w:sz w:val="30"/>
          <w:szCs w:val="30"/>
          <w:lang w:val="es-ES"/>
        </w:rPr>
        <w:br/>
      </w:r>
      <w:r>
        <w:rPr>
          <w:rFonts w:eastAsia="Times New Roman"/>
          <w:sz w:val="30"/>
          <w:szCs w:val="30"/>
          <w:lang w:val="es-ES"/>
        </w:rPr>
        <w:br/>
        <w:t>La recepción por parte de los asegurados o beneficiarios, de los valores pagados por la Corporación,</w:t>
      </w:r>
      <w:r>
        <w:rPr>
          <w:rFonts w:eastAsia="Times New Roman"/>
          <w:sz w:val="30"/>
          <w:szCs w:val="30"/>
          <w:lang w:val="es-ES"/>
        </w:rPr>
        <w:t xml:space="preserve"> producirá la subrogación de pleno derecho a favor de la misma, de los derechos de acreedor frente a la compañía de seguros sometida al proceso de liquidación forzosa.</w:t>
      </w:r>
      <w:r>
        <w:rPr>
          <w:rFonts w:eastAsia="Times New Roman"/>
          <w:sz w:val="30"/>
          <w:szCs w:val="30"/>
          <w:lang w:val="es-ES"/>
        </w:rPr>
        <w:br/>
      </w:r>
      <w:r>
        <w:rPr>
          <w:rFonts w:eastAsia="Times New Roman"/>
          <w:sz w:val="30"/>
          <w:szCs w:val="30"/>
          <w:lang w:val="es-ES"/>
        </w:rPr>
        <w:br/>
        <w:t>Los recursos que se recuperen en virtud de esa subrogación, ingresarán al Fondo de Segu</w:t>
      </w:r>
      <w:r>
        <w:rPr>
          <w:rFonts w:eastAsia="Times New Roman"/>
          <w:sz w:val="30"/>
          <w:szCs w:val="30"/>
          <w:lang w:val="es-ES"/>
        </w:rPr>
        <w:t>ros Privados.</w:t>
      </w:r>
    </w:p>
    <w:p w:rsidR="00000000" w:rsidRDefault="0018461E">
      <w:pPr>
        <w:divId w:val="290982800"/>
        <w:rPr>
          <w:rFonts w:eastAsia="Times New Roman"/>
          <w:sz w:val="30"/>
          <w:szCs w:val="30"/>
          <w:lang w:val="es-ES"/>
        </w:rPr>
      </w:pPr>
      <w:r>
        <w:rPr>
          <w:rFonts w:eastAsia="Times New Roman"/>
          <w:sz w:val="30"/>
          <w:szCs w:val="30"/>
          <w:lang w:val="es-ES"/>
        </w:rPr>
        <w:t xml:space="preserve">Art. 348.- </w:t>
      </w:r>
      <w:r>
        <w:rPr>
          <w:rFonts w:eastAsia="Times New Roman"/>
          <w:b/>
          <w:bCs/>
          <w:sz w:val="30"/>
          <w:szCs w:val="30"/>
          <w:lang w:val="es-ES"/>
        </w:rPr>
        <w:t xml:space="preserve">Fideicomiso del Fondo de Seguros Privados. </w:t>
      </w:r>
      <w:r>
        <w:rPr>
          <w:rFonts w:eastAsia="Times New Roman"/>
          <w:sz w:val="30"/>
          <w:szCs w:val="30"/>
          <w:lang w:val="es-ES"/>
        </w:rPr>
        <w:t xml:space="preserve">Para la instrumentación de la garantía de seguros la Corporación constituirá un fondo a través de un fideicomiso mercantil que será controlado exclusivamente por el órgano de control, con </w:t>
      </w:r>
      <w:r>
        <w:rPr>
          <w:rFonts w:eastAsia="Times New Roman"/>
          <w:sz w:val="30"/>
          <w:szCs w:val="30"/>
          <w:lang w:val="es-ES"/>
        </w:rPr>
        <w:t>el exclusivo propósito de cumplir los fines previstos en esta Ley.</w:t>
      </w:r>
      <w:r>
        <w:rPr>
          <w:rFonts w:eastAsia="Times New Roman"/>
          <w:sz w:val="30"/>
          <w:szCs w:val="30"/>
          <w:lang w:val="es-ES"/>
        </w:rPr>
        <w:br/>
      </w:r>
      <w:r>
        <w:rPr>
          <w:rFonts w:eastAsia="Times New Roman"/>
          <w:sz w:val="30"/>
          <w:szCs w:val="30"/>
          <w:lang w:val="es-ES"/>
        </w:rPr>
        <w:br/>
        <w:t>El patrimonio del fondo será inembargable y no podrá ser afectado por las obligaciones de los aportantes. La constitución y operación del fondo estará exenta de toda clase de impuestos. Lo</w:t>
      </w:r>
      <w:r>
        <w:rPr>
          <w:rFonts w:eastAsia="Times New Roman"/>
          <w:sz w:val="30"/>
          <w:szCs w:val="30"/>
          <w:lang w:val="es-ES"/>
        </w:rPr>
        <w:t>s acreedores del fondo por préstamos o líneas contingentes no podrán hacer efectivos sus créditos contra los aportantes, cuya responsabilidad se limita a sus aportaciones.</w:t>
      </w:r>
    </w:p>
    <w:p w:rsidR="00000000" w:rsidRDefault="0018461E">
      <w:pPr>
        <w:rPr>
          <w:rFonts w:eastAsia="Times New Roman"/>
          <w:lang w:val="es-ES"/>
        </w:rPr>
      </w:pPr>
      <w:r>
        <w:rPr>
          <w:rFonts w:eastAsia="Times New Roman"/>
          <w:lang w:val="es-ES"/>
        </w:rPr>
        <w:t>Art. 349.-</w:t>
      </w:r>
      <w:r>
        <w:rPr>
          <w:rFonts w:eastAsia="Times New Roman"/>
          <w:lang w:val="es-ES"/>
        </w:rPr>
        <w:t xml:space="preserve"> </w:t>
      </w:r>
      <w:r>
        <w:rPr>
          <w:rFonts w:eastAsia="Times New Roman"/>
          <w:noProof/>
        </w:rPr>
        <w:drawing>
          <wp:inline distT="0" distB="0" distL="0" distR="0">
            <wp:extent cx="304800" cy="304800"/>
            <wp:effectExtent l="0" t="0" r="0" b="0"/>
            <wp:docPr id="9" name="Imagen 9" descr="C:\Users\User_Gigabyte\Downloads\App_Themes\Infobases\ImagenesGeneral\img28092017162447_1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_Gigabyte\Downloads\App_Themes\Infobases\ImagenesGeneral\img28092017162447_1565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lang w:val="es-ES"/>
        </w:rPr>
        <w:t>Recursos del Fondo de Seguros Privados. (Sustituido por el num. 7 de la Disposción Reformatoria Segunda de la Ley s/n, R.O. 986-S, 18-IV-2017).- El Fondo de Seguros Privados se constituirá con los siguientes recursos que se considerarán públicos:</w:t>
      </w:r>
      <w:r>
        <w:rPr>
          <w:rFonts w:eastAsia="Times New Roman"/>
          <w:lang w:val="es-ES"/>
        </w:rPr>
        <w:br/>
      </w:r>
      <w:r>
        <w:rPr>
          <w:rFonts w:eastAsia="Times New Roman"/>
          <w:lang w:val="es-ES"/>
        </w:rPr>
        <w:br/>
        <w:t>a) Una c</w:t>
      </w:r>
      <w:r>
        <w:rPr>
          <w:rFonts w:eastAsia="Times New Roman"/>
          <w:lang w:val="es-ES"/>
        </w:rPr>
        <w:t>ontribución básica de hasta el 0,7% sobre el valor de las primas netas de seguros directos que realizarán todas las empresas aseguradoras, en el porcentaje que fi je anualmente la Junta de Política y Regulación Monetaria y Financiera; y, una contribución v</w:t>
      </w:r>
      <w:r>
        <w:rPr>
          <w:rFonts w:eastAsia="Times New Roman"/>
          <w:lang w:val="es-ES"/>
        </w:rPr>
        <w:t>ariable de hasta el 0,8% del mismo valor en función de las califi caciones de riesgo, fijada asimismo por la Junta, cuyo máximo porcentaje no podrá sobrepasar, en ningún caso, el 120% de la contribución básica;</w:t>
      </w:r>
      <w:r>
        <w:rPr>
          <w:rFonts w:eastAsia="Times New Roman"/>
          <w:lang w:val="es-ES"/>
        </w:rPr>
        <w:br/>
      </w:r>
      <w:r>
        <w:rPr>
          <w:rFonts w:eastAsia="Times New Roman"/>
          <w:lang w:val="es-ES"/>
        </w:rPr>
        <w:br/>
        <w:t>b) La proporción de la contribución determin</w:t>
      </w:r>
      <w:r>
        <w:rPr>
          <w:rFonts w:eastAsia="Times New Roman"/>
          <w:lang w:val="es-ES"/>
        </w:rPr>
        <w:t>ada en el artículo 67 del Libro III de este Código;</w:t>
      </w:r>
      <w:r>
        <w:rPr>
          <w:rFonts w:eastAsia="Times New Roman"/>
          <w:lang w:val="es-ES"/>
        </w:rPr>
        <w:br/>
      </w:r>
      <w:r>
        <w:rPr>
          <w:rFonts w:eastAsia="Times New Roman"/>
          <w:lang w:val="es-ES"/>
        </w:rPr>
        <w:br/>
        <w:t>c) El rendimiento de las inversiones y las utilidades líquidas de cada ejercicio anual del Fondo de Seguros Privados;</w:t>
      </w:r>
      <w:r>
        <w:rPr>
          <w:rFonts w:eastAsia="Times New Roman"/>
          <w:lang w:val="es-ES"/>
        </w:rPr>
        <w:br/>
      </w:r>
      <w:r>
        <w:rPr>
          <w:rFonts w:eastAsia="Times New Roman"/>
          <w:lang w:val="es-ES"/>
        </w:rPr>
        <w:lastRenderedPageBreak/>
        <w:br/>
        <w:t>d) Las donaciones que reciba; y,</w:t>
      </w:r>
      <w:r>
        <w:rPr>
          <w:rFonts w:eastAsia="Times New Roman"/>
          <w:lang w:val="es-ES"/>
        </w:rPr>
        <w:br/>
      </w:r>
      <w:r>
        <w:rPr>
          <w:rFonts w:eastAsia="Times New Roman"/>
          <w:lang w:val="es-ES"/>
        </w:rPr>
        <w:br/>
        <w:t>e) Las provenientes de préstamos o líneas continge</w:t>
      </w:r>
      <w:r>
        <w:rPr>
          <w:rFonts w:eastAsia="Times New Roman"/>
          <w:lang w:val="es-ES"/>
        </w:rPr>
        <w:t>ntes obtenidos para el fi nanciamiento de sus actividades.</w:t>
      </w:r>
      <w:r>
        <w:rPr>
          <w:rFonts w:eastAsia="Times New Roman"/>
          <w:lang w:val="es-ES"/>
        </w:rPr>
        <w:br/>
      </w:r>
      <w:r>
        <w:rPr>
          <w:rFonts w:eastAsia="Times New Roman"/>
          <w:lang w:val="es-ES"/>
        </w:rPr>
        <w:br/>
        <w:t xml:space="preserve">Los recursos del Fondo deberán invertirse observando los principios de seguridad, liquidez, diversificación y rentabilidad y enmarcarse en las políticas de inversión aprobadas por el Directorio. </w:t>
      </w:r>
      <w:r>
        <w:rPr>
          <w:rFonts w:eastAsia="Times New Roman"/>
          <w:lang w:val="es-ES"/>
        </w:rPr>
        <w:br/>
      </w:r>
      <w:r>
        <w:rPr>
          <w:rFonts w:eastAsia="Times New Roman"/>
          <w:lang w:val="es-ES"/>
        </w:rPr>
        <w:br/>
        <w:t>Los recursos del Fondo no podrán ser destinados para cubrir gastos administrativos ni para pago de inversiones en activos fijos de la Corporación.</w:t>
      </w:r>
      <w:r>
        <w:rPr>
          <w:rFonts w:eastAsia="Times New Roman"/>
          <w:lang w:val="es-ES"/>
        </w:rPr>
        <w:br/>
      </w:r>
      <w:r>
        <w:rPr>
          <w:rFonts w:eastAsia="Times New Roman"/>
          <w:lang w:val="es-ES"/>
        </w:rPr>
        <w:br/>
        <w:t xml:space="preserve">Los recursos del Fondo de Seguros Privados se acumularán hasta el monto que determine la Junta de Política </w:t>
      </w:r>
      <w:r>
        <w:rPr>
          <w:rFonts w:eastAsia="Times New Roman"/>
          <w:lang w:val="es-ES"/>
        </w:rPr>
        <w:t>y Regulación Monetaria y Financiera, sobre la base del informe técnico que será elaborado y presentado por la Corporación.</w:t>
      </w:r>
    </w:p>
    <w:p w:rsidR="00000000" w:rsidRDefault="0018461E">
      <w:pPr>
        <w:divId w:val="1838155509"/>
        <w:rPr>
          <w:rFonts w:eastAsia="Times New Roman"/>
          <w:sz w:val="30"/>
          <w:szCs w:val="30"/>
          <w:lang w:val="es-ES"/>
        </w:rPr>
      </w:pPr>
      <w:r>
        <w:rPr>
          <w:rFonts w:eastAsia="Times New Roman"/>
          <w:sz w:val="30"/>
          <w:szCs w:val="30"/>
          <w:lang w:val="es-ES"/>
        </w:rPr>
        <w:t xml:space="preserve">Art. 350.- </w:t>
      </w:r>
      <w:r>
        <w:rPr>
          <w:rFonts w:eastAsia="Times New Roman"/>
          <w:b/>
          <w:bCs/>
          <w:sz w:val="30"/>
          <w:szCs w:val="30"/>
          <w:lang w:val="es-ES"/>
        </w:rPr>
        <w:t xml:space="preserve">Inembargabilidad. </w:t>
      </w:r>
      <w:r>
        <w:rPr>
          <w:rFonts w:eastAsia="Times New Roman"/>
          <w:sz w:val="30"/>
          <w:szCs w:val="30"/>
          <w:lang w:val="es-ES"/>
        </w:rPr>
        <w:t>Las contribuciones y sus intereses serán inembargables y no podrán ser sujetos de ninguna medida cautela</w:t>
      </w:r>
      <w:r>
        <w:rPr>
          <w:rFonts w:eastAsia="Times New Roman"/>
          <w:sz w:val="30"/>
          <w:szCs w:val="30"/>
          <w:lang w:val="es-ES"/>
        </w:rPr>
        <w:t>r que restrinja su disponibilidad. Las contribuciones que deben realizar las empresas de seguro privado podrán ser debitadas de las cuentas que mantengan en las entidades del sistema financiero, previo requerimiento del representante legal de la Corporació</w:t>
      </w:r>
      <w:r>
        <w:rPr>
          <w:rFonts w:eastAsia="Times New Roman"/>
          <w:sz w:val="30"/>
          <w:szCs w:val="30"/>
          <w:lang w:val="es-ES"/>
        </w:rPr>
        <w:t>n.</w:t>
      </w:r>
    </w:p>
    <w:p w:rsidR="00000000" w:rsidRDefault="0018461E">
      <w:pPr>
        <w:divId w:val="1727990651"/>
        <w:rPr>
          <w:rFonts w:eastAsia="Times New Roman"/>
          <w:sz w:val="30"/>
          <w:szCs w:val="30"/>
          <w:lang w:val="es-ES"/>
        </w:rPr>
      </w:pPr>
      <w:r>
        <w:rPr>
          <w:rFonts w:eastAsia="Times New Roman"/>
          <w:sz w:val="30"/>
          <w:szCs w:val="30"/>
          <w:lang w:val="es-ES"/>
        </w:rPr>
        <w:t xml:space="preserve">Art. 351.- </w:t>
      </w:r>
      <w:r>
        <w:rPr>
          <w:rFonts w:eastAsia="Times New Roman"/>
          <w:b/>
          <w:bCs/>
          <w:sz w:val="30"/>
          <w:szCs w:val="30"/>
          <w:lang w:val="es-ES"/>
        </w:rPr>
        <w:t xml:space="preserve">Auditoría y Verificación. </w:t>
      </w:r>
      <w:r>
        <w:rPr>
          <w:rFonts w:eastAsia="Times New Roman"/>
          <w:sz w:val="30"/>
          <w:szCs w:val="30"/>
          <w:lang w:val="es-ES"/>
        </w:rPr>
        <w:t>El Fondo de Seguros Privados estará sujeto a la verificación anual de una auditoría externa calificada por el órgano de control,</w:t>
      </w:r>
      <w:r>
        <w:rPr>
          <w:rFonts w:eastAsia="Times New Roman"/>
          <w:sz w:val="30"/>
          <w:szCs w:val="30"/>
          <w:lang w:val="es-ES"/>
        </w:rPr>
        <w:br/>
      </w:r>
      <w:r>
        <w:rPr>
          <w:rFonts w:eastAsia="Times New Roman"/>
          <w:sz w:val="30"/>
          <w:szCs w:val="30"/>
          <w:lang w:val="es-ES"/>
        </w:rPr>
        <w:br/>
        <w:t>El órgano de control podrá en cualquier momento verificar los informes de auditoría qu</w:t>
      </w:r>
      <w:r>
        <w:rPr>
          <w:rFonts w:eastAsia="Times New Roman"/>
          <w:sz w:val="30"/>
          <w:szCs w:val="30"/>
          <w:lang w:val="es-ES"/>
        </w:rPr>
        <w:t>e le sean presentados.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16 </w:t>
      </w:r>
      <w:r>
        <w:rPr>
          <w:rFonts w:eastAsia="Times New Roman"/>
          <w:b/>
          <w:bCs/>
          <w:sz w:val="36"/>
          <w:szCs w:val="36"/>
          <w:lang w:val="es-ES"/>
        </w:rPr>
        <w:br/>
        <w:t>DEL SIGILO Y RESERVA</w:t>
      </w:r>
    </w:p>
    <w:p w:rsidR="00000000" w:rsidRDefault="0018461E">
      <w:pPr>
        <w:divId w:val="1748644725"/>
        <w:rPr>
          <w:rFonts w:eastAsia="Times New Roman"/>
          <w:sz w:val="30"/>
          <w:szCs w:val="30"/>
          <w:lang w:val="es-ES"/>
        </w:rPr>
      </w:pPr>
      <w:r>
        <w:rPr>
          <w:rFonts w:eastAsia="Times New Roman"/>
          <w:sz w:val="30"/>
          <w:szCs w:val="30"/>
          <w:lang w:val="es-ES"/>
        </w:rPr>
        <w:t xml:space="preserve">Art. 352.- </w:t>
      </w:r>
      <w:r>
        <w:rPr>
          <w:rFonts w:eastAsia="Times New Roman"/>
          <w:b/>
          <w:bCs/>
          <w:sz w:val="30"/>
          <w:szCs w:val="30"/>
          <w:lang w:val="es-ES"/>
        </w:rPr>
        <w:t xml:space="preserve">Protección de la información. </w:t>
      </w:r>
      <w:r>
        <w:rPr>
          <w:rFonts w:eastAsia="Times New Roman"/>
          <w:sz w:val="30"/>
          <w:szCs w:val="30"/>
          <w:lang w:val="es-ES"/>
        </w:rPr>
        <w:t>Los datos de carácter personal de los usuarios del sistema financiero nacional que reposan en las entidades de dicho sistema y su acceso están protegidos, y s</w:t>
      </w:r>
      <w:r>
        <w:rPr>
          <w:rFonts w:eastAsia="Times New Roman"/>
          <w:sz w:val="30"/>
          <w:szCs w:val="30"/>
          <w:lang w:val="es-ES"/>
        </w:rPr>
        <w:t>olo podrán ser entregados a su titular o a quien éste autorice o por disposición de este Código.</w:t>
      </w:r>
    </w:p>
    <w:p w:rsidR="00000000" w:rsidRDefault="0018461E">
      <w:pPr>
        <w:divId w:val="672798815"/>
        <w:rPr>
          <w:rFonts w:eastAsia="Times New Roman"/>
          <w:sz w:val="30"/>
          <w:szCs w:val="30"/>
          <w:lang w:val="es-ES"/>
        </w:rPr>
      </w:pPr>
      <w:r>
        <w:rPr>
          <w:rFonts w:eastAsia="Times New Roman"/>
          <w:sz w:val="30"/>
          <w:szCs w:val="30"/>
          <w:lang w:val="es-ES"/>
        </w:rPr>
        <w:t xml:space="preserve">Art. 353.- </w:t>
      </w:r>
      <w:r>
        <w:rPr>
          <w:rFonts w:eastAsia="Times New Roman"/>
          <w:b/>
          <w:bCs/>
          <w:sz w:val="30"/>
          <w:szCs w:val="30"/>
          <w:lang w:val="es-ES"/>
        </w:rPr>
        <w:t xml:space="preserve">Sigilo y reserva. </w:t>
      </w:r>
      <w:r>
        <w:rPr>
          <w:rFonts w:eastAsia="Times New Roman"/>
          <w:sz w:val="30"/>
          <w:szCs w:val="30"/>
          <w:lang w:val="es-ES"/>
        </w:rPr>
        <w:t xml:space="preserve">Los depósitos y demás captaciones de cualquier naturaleza que reciban las entidades del sistema financiero nacional están sujetos </w:t>
      </w:r>
      <w:r>
        <w:rPr>
          <w:rFonts w:eastAsia="Times New Roman"/>
          <w:sz w:val="30"/>
          <w:szCs w:val="30"/>
          <w:lang w:val="es-ES"/>
        </w:rPr>
        <w:t>a sigilo, por lo cual no se podrá proporcionar información alguna relativa a dichas operaciones, sino a su titular o a quien haya sido expresamente autorizado por él o a quien lo represente legalmente.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Las demás operaciones quedan sujetas a reserva y las </w:t>
      </w:r>
      <w:r>
        <w:rPr>
          <w:rFonts w:eastAsia="Times New Roman"/>
          <w:sz w:val="30"/>
          <w:szCs w:val="30"/>
          <w:lang w:val="es-ES"/>
        </w:rPr>
        <w:t>entidades del sistema financiero nacional solo podrán darlas a conocer a quien demuestre un interés legítimo y siempre que no sea previsible que el conocimiento de esta información pueda ocasionar perjuicio al cliente.</w:t>
      </w:r>
      <w:r>
        <w:rPr>
          <w:rFonts w:eastAsia="Times New Roman"/>
          <w:sz w:val="30"/>
          <w:szCs w:val="30"/>
          <w:lang w:val="es-ES"/>
        </w:rPr>
        <w:br/>
      </w:r>
      <w:r>
        <w:rPr>
          <w:rFonts w:eastAsia="Times New Roman"/>
          <w:sz w:val="30"/>
          <w:szCs w:val="30"/>
          <w:lang w:val="es-ES"/>
        </w:rPr>
        <w:br/>
        <w:t>Las entidades del sistema financiero</w:t>
      </w:r>
      <w:r>
        <w:rPr>
          <w:rFonts w:eastAsia="Times New Roman"/>
          <w:sz w:val="30"/>
          <w:szCs w:val="30"/>
          <w:lang w:val="es-ES"/>
        </w:rPr>
        <w:t xml:space="preserve"> nacional, con el objeto de facilitar procesos de conciliación, darán acceso al conocimiento detallado de las operaciones anteriores y sus antecedentes a la firma de auditoría externa contratada por la entidad, que también quedará sometida al sigilo y rese</w:t>
      </w:r>
      <w:r>
        <w:rPr>
          <w:rFonts w:eastAsia="Times New Roman"/>
          <w:sz w:val="30"/>
          <w:szCs w:val="30"/>
          <w:lang w:val="es-ES"/>
        </w:rPr>
        <w:t>rva.</w:t>
      </w:r>
      <w:r>
        <w:rPr>
          <w:rFonts w:eastAsia="Times New Roman"/>
          <w:sz w:val="30"/>
          <w:szCs w:val="30"/>
          <w:lang w:val="es-ES"/>
        </w:rPr>
        <w:br/>
      </w:r>
      <w:r>
        <w:rPr>
          <w:rFonts w:eastAsia="Times New Roman"/>
          <w:sz w:val="30"/>
          <w:szCs w:val="30"/>
          <w:lang w:val="es-ES"/>
        </w:rPr>
        <w:br/>
        <w:t>Las entidades del sistema financiero nacional podrán dar a conocer las operaciones anteriores en términos globales, no personalizados ni parcializados, solo para fines estadísticos o de información, cuando exista un interés público.</w:t>
      </w:r>
      <w:r>
        <w:rPr>
          <w:rFonts w:eastAsia="Times New Roman"/>
          <w:sz w:val="30"/>
          <w:szCs w:val="30"/>
          <w:lang w:val="es-ES"/>
        </w:rPr>
        <w:br/>
      </w:r>
      <w:r>
        <w:rPr>
          <w:rFonts w:eastAsia="Times New Roman"/>
          <w:sz w:val="30"/>
          <w:szCs w:val="30"/>
          <w:lang w:val="es-ES"/>
        </w:rPr>
        <w:br/>
        <w:t>Podrán también p</w:t>
      </w:r>
      <w:r>
        <w:rPr>
          <w:rFonts w:eastAsia="Times New Roman"/>
          <w:sz w:val="30"/>
          <w:szCs w:val="30"/>
          <w:lang w:val="es-ES"/>
        </w:rPr>
        <w:t xml:space="preserve">roporcionar información general respecto del comportamiento de clientes en particular, previo su autorización, para fines de evaluación de crédito, a requerí-miento de otra entidad financiera o de establecimientos comerciales autorizados por los clientes, </w:t>
      </w:r>
      <w:r>
        <w:rPr>
          <w:rFonts w:eastAsia="Times New Roman"/>
          <w:sz w:val="30"/>
          <w:szCs w:val="30"/>
          <w:lang w:val="es-ES"/>
        </w:rPr>
        <w:t>sin que ello implique la facultad de revelar transacciones individualizadas.</w:t>
      </w:r>
      <w:r>
        <w:rPr>
          <w:rFonts w:eastAsia="Times New Roman"/>
          <w:sz w:val="30"/>
          <w:szCs w:val="30"/>
          <w:lang w:val="es-ES"/>
        </w:rPr>
        <w:br/>
      </w:r>
      <w:r>
        <w:rPr>
          <w:rFonts w:eastAsia="Times New Roman"/>
          <w:sz w:val="30"/>
          <w:szCs w:val="30"/>
          <w:lang w:val="es-ES"/>
        </w:rPr>
        <w:br/>
        <w:t xml:space="preserve">No habrá reserva respecto de la extinción total o parcial de las operaciones activas, por lo que podrán hacerse públicas las daciones de pago y sus términos, las compensaciones, </w:t>
      </w:r>
      <w:r>
        <w:rPr>
          <w:rFonts w:eastAsia="Times New Roman"/>
          <w:sz w:val="30"/>
          <w:szCs w:val="30"/>
          <w:lang w:val="es-ES"/>
        </w:rPr>
        <w:t>las condonaciones y las prescripciones.</w:t>
      </w:r>
      <w:r>
        <w:rPr>
          <w:rFonts w:eastAsia="Times New Roman"/>
          <w:sz w:val="30"/>
          <w:szCs w:val="30"/>
          <w:lang w:val="es-ES"/>
        </w:rPr>
        <w:br/>
      </w:r>
      <w:r>
        <w:rPr>
          <w:rFonts w:eastAsia="Times New Roman"/>
          <w:sz w:val="30"/>
          <w:szCs w:val="30"/>
          <w:lang w:val="es-ES"/>
        </w:rPr>
        <w:br/>
        <w:t>No se aplicará el sigilo ni reserva a los recursos de las entidades del sector público.</w:t>
      </w:r>
    </w:p>
    <w:p w:rsidR="00000000" w:rsidRDefault="0018461E">
      <w:pPr>
        <w:divId w:val="2134204506"/>
        <w:rPr>
          <w:rFonts w:eastAsia="Times New Roman"/>
          <w:sz w:val="30"/>
          <w:szCs w:val="30"/>
          <w:lang w:val="es-ES"/>
        </w:rPr>
      </w:pPr>
      <w:r>
        <w:rPr>
          <w:rFonts w:eastAsia="Times New Roman"/>
          <w:sz w:val="30"/>
          <w:szCs w:val="30"/>
          <w:lang w:val="es-ES"/>
        </w:rPr>
        <w:t xml:space="preserve">Art. 354.- </w:t>
      </w:r>
      <w:r>
        <w:rPr>
          <w:rFonts w:eastAsia="Times New Roman"/>
          <w:b/>
          <w:bCs/>
          <w:sz w:val="30"/>
          <w:szCs w:val="30"/>
          <w:lang w:val="es-ES"/>
        </w:rPr>
        <w:t xml:space="preserve">Excepciones. </w:t>
      </w:r>
      <w:r>
        <w:rPr>
          <w:rFonts w:eastAsia="Times New Roman"/>
          <w:sz w:val="30"/>
          <w:szCs w:val="30"/>
          <w:lang w:val="es-ES"/>
        </w:rPr>
        <w:t>No se aplican las disposiciones del artículo precedente para la entrega de la siguiente información que</w:t>
      </w:r>
      <w:r>
        <w:rPr>
          <w:rFonts w:eastAsia="Times New Roman"/>
          <w:sz w:val="30"/>
          <w:szCs w:val="30"/>
          <w:lang w:val="es-ES"/>
        </w:rPr>
        <w:t xml:space="preserve"> se solicite a los organismos de control o a las entidades del Sistema Financiero Nacional:</w:t>
      </w:r>
      <w:r>
        <w:rPr>
          <w:rFonts w:eastAsia="Times New Roman"/>
          <w:sz w:val="30"/>
          <w:szCs w:val="30"/>
          <w:lang w:val="es-ES"/>
        </w:rPr>
        <w:br/>
      </w:r>
      <w:r>
        <w:rPr>
          <w:rFonts w:eastAsia="Times New Roman"/>
          <w:sz w:val="30"/>
          <w:szCs w:val="30"/>
          <w:lang w:val="es-ES"/>
        </w:rPr>
        <w:br/>
        <w:t xml:space="preserve">1. Los antecedentes relativos a operaciones efectuadas por quienes sean parte o sean investigados en causas que se encuentren bajo el conocimiento de un juez o de </w:t>
      </w:r>
      <w:r>
        <w:rPr>
          <w:rFonts w:eastAsia="Times New Roman"/>
          <w:sz w:val="30"/>
          <w:szCs w:val="30"/>
          <w:lang w:val="es-ES"/>
        </w:rPr>
        <w:t>la Fiscalía General del Estado;</w:t>
      </w:r>
      <w:r>
        <w:rPr>
          <w:rFonts w:eastAsia="Times New Roman"/>
          <w:sz w:val="30"/>
          <w:szCs w:val="30"/>
          <w:lang w:val="es-ES"/>
        </w:rPr>
        <w:br/>
      </w:r>
      <w:r>
        <w:rPr>
          <w:rFonts w:eastAsia="Times New Roman"/>
          <w:sz w:val="30"/>
          <w:szCs w:val="30"/>
          <w:lang w:val="es-ES"/>
        </w:rPr>
        <w:br/>
        <w:t xml:space="preserve">2. Los datos del titular de cuentas corrientes cerradas por giro de </w:t>
      </w:r>
      <w:r>
        <w:rPr>
          <w:rFonts w:eastAsia="Times New Roman"/>
          <w:sz w:val="30"/>
          <w:szCs w:val="30"/>
          <w:lang w:val="es-ES"/>
        </w:rPr>
        <w:lastRenderedPageBreak/>
        <w:t>cheques sin provisión de fondos, requeridos por el tenedor legítimo de los cheques;</w:t>
      </w:r>
      <w:r>
        <w:rPr>
          <w:rFonts w:eastAsia="Times New Roman"/>
          <w:sz w:val="30"/>
          <w:szCs w:val="30"/>
          <w:lang w:val="es-ES"/>
        </w:rPr>
        <w:br/>
      </w:r>
      <w:r>
        <w:rPr>
          <w:rFonts w:eastAsia="Times New Roman"/>
          <w:sz w:val="30"/>
          <w:szCs w:val="30"/>
          <w:lang w:val="es-ES"/>
        </w:rPr>
        <w:br/>
        <w:t xml:space="preserve">3. Cualquier información requerida por los organismos de control y el </w:t>
      </w:r>
      <w:r>
        <w:rPr>
          <w:rFonts w:eastAsia="Times New Roman"/>
          <w:sz w:val="30"/>
          <w:szCs w:val="30"/>
          <w:lang w:val="es-ES"/>
        </w:rPr>
        <w:t>Servicio de Rentas Internas, en el ámbito de su competencia;</w:t>
      </w:r>
      <w:r>
        <w:rPr>
          <w:rFonts w:eastAsia="Times New Roman"/>
          <w:sz w:val="30"/>
          <w:szCs w:val="30"/>
          <w:lang w:val="es-ES"/>
        </w:rPr>
        <w:br/>
      </w:r>
      <w:r>
        <w:rPr>
          <w:rFonts w:eastAsia="Times New Roman"/>
          <w:sz w:val="30"/>
          <w:szCs w:val="30"/>
          <w:lang w:val="es-ES"/>
        </w:rPr>
        <w:br/>
        <w:t>4. La información que requiera la Junta de Política y Regulación Monetaria y Financiera, la cual deberá ser canalizada a través del organismo de control;</w:t>
      </w:r>
      <w:r>
        <w:rPr>
          <w:rFonts w:eastAsia="Times New Roman"/>
          <w:sz w:val="30"/>
          <w:szCs w:val="30"/>
          <w:lang w:val="es-ES"/>
        </w:rPr>
        <w:br/>
      </w:r>
      <w:r>
        <w:rPr>
          <w:rFonts w:eastAsia="Times New Roman"/>
          <w:sz w:val="30"/>
          <w:szCs w:val="30"/>
          <w:lang w:val="es-ES"/>
        </w:rPr>
        <w:br/>
        <w:t>5. La información que deben entregar lo</w:t>
      </w:r>
      <w:r>
        <w:rPr>
          <w:rFonts w:eastAsia="Times New Roman"/>
          <w:sz w:val="30"/>
          <w:szCs w:val="30"/>
          <w:lang w:val="es-ES"/>
        </w:rPr>
        <w:t>s organismos de control para dar a conocer al público la situación patrimonial y financiera de las entidades financieras;</w:t>
      </w:r>
      <w:r>
        <w:rPr>
          <w:rFonts w:eastAsia="Times New Roman"/>
          <w:sz w:val="30"/>
          <w:szCs w:val="30"/>
          <w:lang w:val="es-ES"/>
        </w:rPr>
        <w:br/>
      </w:r>
      <w:r>
        <w:rPr>
          <w:rFonts w:eastAsia="Times New Roman"/>
          <w:sz w:val="30"/>
          <w:szCs w:val="30"/>
          <w:lang w:val="es-ES"/>
        </w:rPr>
        <w:br/>
        <w:t>6. Los informes requeridos a los organismos de control, en el ámbito de su competencia, por gobiernos o por autoridades competentes d</w:t>
      </w:r>
      <w:r>
        <w:rPr>
          <w:rFonts w:eastAsia="Times New Roman"/>
          <w:sz w:val="30"/>
          <w:szCs w:val="30"/>
          <w:lang w:val="es-ES"/>
        </w:rPr>
        <w:t>e los países con los que el Ecuador mantenga convenios recíprocos y legítimamente celebrados para combatir la delincuencia, en los términos de dichos convenios;</w:t>
      </w:r>
      <w:r>
        <w:rPr>
          <w:rFonts w:eastAsia="Times New Roman"/>
          <w:sz w:val="30"/>
          <w:szCs w:val="30"/>
          <w:lang w:val="es-ES"/>
        </w:rPr>
        <w:br/>
      </w:r>
      <w:r>
        <w:rPr>
          <w:rFonts w:eastAsia="Times New Roman"/>
          <w:sz w:val="30"/>
          <w:szCs w:val="30"/>
          <w:lang w:val="es-ES"/>
        </w:rPr>
        <w:br/>
        <w:t>7. Las informaciones financieras que constituyan intercambio con autoridades de control bancar</w:t>
      </w:r>
      <w:r>
        <w:rPr>
          <w:rFonts w:eastAsia="Times New Roman"/>
          <w:sz w:val="30"/>
          <w:szCs w:val="30"/>
          <w:lang w:val="es-ES"/>
        </w:rPr>
        <w:t>io, financiero y tributario de otros países, siempre que existan convenios recíprocos, vigentes y legítimamente celebrados; y,</w:t>
      </w:r>
      <w:r>
        <w:rPr>
          <w:rFonts w:eastAsia="Times New Roman"/>
          <w:sz w:val="30"/>
          <w:szCs w:val="30"/>
          <w:lang w:val="es-ES"/>
        </w:rPr>
        <w:br/>
      </w:r>
      <w:r>
        <w:rPr>
          <w:rFonts w:eastAsia="Times New Roman"/>
          <w:sz w:val="30"/>
          <w:szCs w:val="30"/>
          <w:lang w:val="es-ES"/>
        </w:rPr>
        <w:br/>
        <w:t>8. Los demás que establezca la ley.</w:t>
      </w:r>
      <w:r>
        <w:rPr>
          <w:rFonts w:eastAsia="Times New Roman"/>
          <w:sz w:val="30"/>
          <w:szCs w:val="30"/>
          <w:lang w:val="es-ES"/>
        </w:rPr>
        <w:br/>
      </w:r>
      <w:r>
        <w:rPr>
          <w:rFonts w:eastAsia="Times New Roman"/>
          <w:sz w:val="30"/>
          <w:szCs w:val="30"/>
          <w:lang w:val="es-ES"/>
        </w:rPr>
        <w:br/>
        <w:t>La información que se entregue solo será utilizada para los fines justificados por la insti</w:t>
      </w:r>
      <w:r>
        <w:rPr>
          <w:rFonts w:eastAsia="Times New Roman"/>
          <w:sz w:val="30"/>
          <w:szCs w:val="30"/>
          <w:lang w:val="es-ES"/>
        </w:rPr>
        <w:t>tución requirente. La entrega de esta información se efectuará con igual protección de sigilo y reserva; por lo tanto, los requirentes de esta información asumen la responsabilidad inherente al sigilo y la reserva. El traslado de esta responsabilidad no ap</w:t>
      </w:r>
      <w:r>
        <w:rPr>
          <w:rFonts w:eastAsia="Times New Roman"/>
          <w:sz w:val="30"/>
          <w:szCs w:val="30"/>
          <w:lang w:val="es-ES"/>
        </w:rPr>
        <w:t>lica en el caso de los numerales 6 y 7. La violación del sigilo y la reserva será sancionada conforme lo dispone este Código, sin perjuicio de las acciones penales a que hubiere lugar.</w:t>
      </w:r>
    </w:p>
    <w:p w:rsidR="00000000" w:rsidRDefault="0018461E">
      <w:pPr>
        <w:divId w:val="278881796"/>
        <w:rPr>
          <w:rFonts w:eastAsia="Times New Roman"/>
          <w:sz w:val="30"/>
          <w:szCs w:val="30"/>
          <w:lang w:val="es-ES"/>
        </w:rPr>
      </w:pPr>
      <w:r>
        <w:rPr>
          <w:rFonts w:eastAsia="Times New Roman"/>
          <w:sz w:val="30"/>
          <w:szCs w:val="30"/>
          <w:lang w:val="es-ES"/>
        </w:rPr>
        <w:t xml:space="preserve">Art. 355.- </w:t>
      </w:r>
      <w:r>
        <w:rPr>
          <w:rFonts w:eastAsia="Times New Roman"/>
          <w:b/>
          <w:bCs/>
          <w:sz w:val="30"/>
          <w:szCs w:val="30"/>
          <w:lang w:val="es-ES"/>
        </w:rPr>
        <w:t xml:space="preserve">No divulgación de información. </w:t>
      </w:r>
      <w:r>
        <w:rPr>
          <w:rFonts w:eastAsia="Times New Roman"/>
          <w:sz w:val="30"/>
          <w:szCs w:val="30"/>
          <w:lang w:val="es-ES"/>
        </w:rPr>
        <w:t>Ninguna persona natural o jur</w:t>
      </w:r>
      <w:r>
        <w:rPr>
          <w:rFonts w:eastAsia="Times New Roman"/>
          <w:sz w:val="30"/>
          <w:szCs w:val="30"/>
          <w:lang w:val="es-ES"/>
        </w:rPr>
        <w:t>ídica que llegase a tener conocimiento de información sometida a sigilo o reserva podrá divulgarla en todo o en parte. El incumplimiento de estas disposiciones será sancionado por este Código, sin perjuicio de la responsabilidad penal respectiva.</w:t>
      </w:r>
    </w:p>
    <w:p w:rsidR="00000000" w:rsidRDefault="0018461E">
      <w:pPr>
        <w:divId w:val="1573195006"/>
        <w:rPr>
          <w:rFonts w:eastAsia="Times New Roman"/>
          <w:sz w:val="30"/>
          <w:szCs w:val="30"/>
          <w:lang w:val="es-ES"/>
        </w:rPr>
      </w:pPr>
      <w:r>
        <w:rPr>
          <w:rFonts w:eastAsia="Times New Roman"/>
          <w:sz w:val="30"/>
          <w:szCs w:val="30"/>
          <w:lang w:val="es-ES"/>
        </w:rPr>
        <w:lastRenderedPageBreak/>
        <w:t>Art. 356.</w:t>
      </w:r>
      <w:r>
        <w:rPr>
          <w:rFonts w:eastAsia="Times New Roman"/>
          <w:sz w:val="30"/>
          <w:szCs w:val="30"/>
          <w:lang w:val="es-ES"/>
        </w:rPr>
        <w:t xml:space="preserve">- </w:t>
      </w:r>
      <w:r>
        <w:rPr>
          <w:rFonts w:eastAsia="Times New Roman"/>
          <w:b/>
          <w:bCs/>
          <w:sz w:val="30"/>
          <w:szCs w:val="30"/>
          <w:lang w:val="es-ES"/>
        </w:rPr>
        <w:t xml:space="preserve">Obligación de denuncia. </w:t>
      </w:r>
      <w:r>
        <w:rPr>
          <w:rFonts w:eastAsia="Times New Roman"/>
          <w:sz w:val="30"/>
          <w:szCs w:val="30"/>
          <w:lang w:val="es-ES"/>
        </w:rPr>
        <w:t xml:space="preserve">Cuando los organismos de control, los accionistas, administradores o funcionarios de las entidades del sistema financiero nacional tengan conocimiento de indicios de la perpetración de un delito relacionado con las actividades de </w:t>
      </w:r>
      <w:r>
        <w:rPr>
          <w:rFonts w:eastAsia="Times New Roman"/>
          <w:sz w:val="30"/>
          <w:szCs w:val="30"/>
          <w:lang w:val="es-ES"/>
        </w:rPr>
        <w:t>las entidades financieras, estarán obligados, acto seguido, a denunciarlos a la Fiscalía General del Estado.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17 </w:t>
      </w:r>
      <w:r>
        <w:rPr>
          <w:rFonts w:eastAsia="Times New Roman"/>
          <w:b/>
          <w:bCs/>
          <w:sz w:val="36"/>
          <w:szCs w:val="36"/>
          <w:lang w:val="es-ES"/>
        </w:rPr>
        <w:br/>
        <w:t>DEL REGISTRO DE DATOS CREDITICIOS</w:t>
      </w:r>
    </w:p>
    <w:p w:rsidR="00000000" w:rsidRDefault="0018461E">
      <w:pPr>
        <w:divId w:val="1835297661"/>
        <w:rPr>
          <w:rFonts w:eastAsia="Times New Roman"/>
          <w:sz w:val="30"/>
          <w:szCs w:val="30"/>
          <w:lang w:val="es-ES"/>
        </w:rPr>
      </w:pPr>
      <w:r>
        <w:rPr>
          <w:rFonts w:eastAsia="Times New Roman"/>
          <w:sz w:val="30"/>
          <w:szCs w:val="30"/>
          <w:lang w:val="es-ES"/>
        </w:rPr>
        <w:t xml:space="preserve">Art. 357.- </w:t>
      </w:r>
      <w:r>
        <w:rPr>
          <w:rFonts w:eastAsia="Times New Roman"/>
          <w:b/>
          <w:bCs/>
          <w:sz w:val="30"/>
          <w:szCs w:val="30"/>
          <w:lang w:val="es-ES"/>
        </w:rPr>
        <w:t xml:space="preserve">Registros de datos crediticios. </w:t>
      </w:r>
      <w:r>
        <w:rPr>
          <w:rFonts w:eastAsia="Times New Roman"/>
          <w:sz w:val="30"/>
          <w:szCs w:val="30"/>
          <w:lang w:val="es-ES"/>
        </w:rPr>
        <w:t>El Registro de Datos Crediticios está a cargo de la Direc</w:t>
      </w:r>
      <w:r>
        <w:rPr>
          <w:rFonts w:eastAsia="Times New Roman"/>
          <w:sz w:val="30"/>
          <w:szCs w:val="30"/>
          <w:lang w:val="es-ES"/>
        </w:rPr>
        <w:t>ción Nacional de Registro de Datos Públicos.</w:t>
      </w:r>
      <w:r>
        <w:rPr>
          <w:rFonts w:eastAsia="Times New Roman"/>
          <w:sz w:val="30"/>
          <w:szCs w:val="30"/>
          <w:lang w:val="es-ES"/>
        </w:rPr>
        <w:br/>
      </w:r>
      <w:r>
        <w:rPr>
          <w:rFonts w:eastAsia="Times New Roman"/>
          <w:sz w:val="30"/>
          <w:szCs w:val="30"/>
          <w:lang w:val="es-ES"/>
        </w:rPr>
        <w:br/>
        <w:t xml:space="preserve">La Dirección Nacional de Registro de Datos Públicos tiene la obligación de administrar la base de datos crediticios y podrá generar reportes de referencias crediticias en forma exacta y actualizada, de acuerdo </w:t>
      </w:r>
      <w:r>
        <w:rPr>
          <w:rFonts w:eastAsia="Times New Roman"/>
          <w:sz w:val="30"/>
          <w:szCs w:val="30"/>
          <w:lang w:val="es-ES"/>
        </w:rPr>
        <w:t>con la ley.</w:t>
      </w:r>
    </w:p>
    <w:p w:rsidR="00000000" w:rsidRDefault="0018461E">
      <w:pPr>
        <w:divId w:val="1113330703"/>
        <w:rPr>
          <w:rFonts w:eastAsia="Times New Roman"/>
          <w:sz w:val="30"/>
          <w:szCs w:val="30"/>
          <w:lang w:val="es-ES"/>
        </w:rPr>
      </w:pPr>
      <w:r>
        <w:rPr>
          <w:rFonts w:eastAsia="Times New Roman"/>
          <w:sz w:val="30"/>
          <w:szCs w:val="30"/>
          <w:lang w:val="es-ES"/>
        </w:rPr>
        <w:t xml:space="preserve">Art. 358.- </w:t>
      </w:r>
      <w:r>
        <w:rPr>
          <w:rFonts w:eastAsia="Times New Roman"/>
          <w:b/>
          <w:bCs/>
          <w:sz w:val="30"/>
          <w:szCs w:val="30"/>
          <w:lang w:val="es-ES"/>
        </w:rPr>
        <w:t xml:space="preserve">Información para el registro. </w:t>
      </w:r>
      <w:r>
        <w:rPr>
          <w:rFonts w:eastAsia="Times New Roman"/>
          <w:sz w:val="30"/>
          <w:szCs w:val="30"/>
          <w:lang w:val="es-ES"/>
        </w:rPr>
        <w:t>La información crediticia a cargo de las entidades financieras será entregada al Registro de Datos Crediticios a través de los respectivos organismos de control, las que establecerán las políticas, forma</w:t>
      </w:r>
      <w:r>
        <w:rPr>
          <w:rFonts w:eastAsia="Times New Roman"/>
          <w:sz w:val="30"/>
          <w:szCs w:val="30"/>
          <w:lang w:val="es-ES"/>
        </w:rPr>
        <w:t xml:space="preserve"> y su periodicidad.</w:t>
      </w:r>
      <w:r>
        <w:rPr>
          <w:rFonts w:eastAsia="Times New Roman"/>
          <w:sz w:val="30"/>
          <w:szCs w:val="30"/>
          <w:lang w:val="es-ES"/>
        </w:rPr>
        <w:br/>
      </w:r>
      <w:r>
        <w:rPr>
          <w:rFonts w:eastAsia="Times New Roman"/>
          <w:sz w:val="30"/>
          <w:szCs w:val="30"/>
          <w:lang w:val="es-ES"/>
        </w:rPr>
        <w:br/>
        <w:t xml:space="preserve">Las entidades del sistema financiero nacional proporcionarán únicamente al Registro de Datos Crediticios los registros de datos de la información referente al historial crediticio. Se prohíbe entregar esta información a cualquier otra </w:t>
      </w:r>
      <w:r>
        <w:rPr>
          <w:rFonts w:eastAsia="Times New Roman"/>
          <w:sz w:val="30"/>
          <w:szCs w:val="30"/>
          <w:lang w:val="es-ES"/>
        </w:rPr>
        <w:t>entidad que no sean las determinadas en este Código.</w:t>
      </w:r>
      <w:r>
        <w:rPr>
          <w:rFonts w:eastAsia="Times New Roman"/>
          <w:sz w:val="30"/>
          <w:szCs w:val="30"/>
          <w:lang w:val="es-ES"/>
        </w:rPr>
        <w:br/>
      </w:r>
      <w:r>
        <w:rPr>
          <w:rFonts w:eastAsia="Times New Roman"/>
          <w:sz w:val="30"/>
          <w:szCs w:val="30"/>
          <w:lang w:val="es-ES"/>
        </w:rPr>
        <w:br/>
        <w:t>Los organismos de control y el Servicio de Rentas Internas podrán acceder en todo momento, de forma automática, en los formatos y estructuras solicitados, a los datos crediticios contenidos en el Regist</w:t>
      </w:r>
      <w:r>
        <w:rPr>
          <w:rFonts w:eastAsia="Times New Roman"/>
          <w:sz w:val="30"/>
          <w:szCs w:val="30"/>
          <w:lang w:val="es-ES"/>
        </w:rPr>
        <w:t>ro de Datos Crediticios, para cumplir sus deberes y obligaciones establecidos en la Constitución y la ley.</w:t>
      </w:r>
    </w:p>
    <w:p w:rsidR="00000000" w:rsidRDefault="0018461E">
      <w:pPr>
        <w:divId w:val="489641029"/>
        <w:rPr>
          <w:rFonts w:eastAsia="Times New Roman"/>
          <w:sz w:val="30"/>
          <w:szCs w:val="30"/>
          <w:lang w:val="es-ES"/>
        </w:rPr>
      </w:pPr>
      <w:r>
        <w:rPr>
          <w:rFonts w:eastAsia="Times New Roman"/>
          <w:sz w:val="30"/>
          <w:szCs w:val="30"/>
          <w:lang w:val="es-ES"/>
        </w:rPr>
        <w:t xml:space="preserve">Art. 359.- </w:t>
      </w:r>
      <w:r>
        <w:rPr>
          <w:rFonts w:eastAsia="Times New Roman"/>
          <w:b/>
          <w:bCs/>
          <w:sz w:val="30"/>
          <w:szCs w:val="30"/>
          <w:lang w:val="es-ES"/>
        </w:rPr>
        <w:t xml:space="preserve">Entrega de información. </w:t>
      </w:r>
      <w:r>
        <w:rPr>
          <w:rFonts w:eastAsia="Times New Roman"/>
          <w:sz w:val="30"/>
          <w:szCs w:val="30"/>
          <w:lang w:val="es-ES"/>
        </w:rPr>
        <w:t>Las entidades del sistema financiero nacional, están obligadas a suministrar al Registro de Datos Crediticios, a t</w:t>
      </w:r>
      <w:r>
        <w:rPr>
          <w:rFonts w:eastAsia="Times New Roman"/>
          <w:sz w:val="30"/>
          <w:szCs w:val="30"/>
          <w:lang w:val="es-ES"/>
        </w:rPr>
        <w:t xml:space="preserve">ravés de los organismos de control, la información necesaria para mantenerlo actualizado. Esta información será previamente validada por las superintendencias, en el ámbito de sus competencias, antes de su entrega a la Dirección Nacional de Registro </w:t>
      </w:r>
      <w:r>
        <w:rPr>
          <w:rFonts w:eastAsia="Times New Roman"/>
          <w:sz w:val="30"/>
          <w:szCs w:val="30"/>
          <w:lang w:val="es-ES"/>
        </w:rPr>
        <w:lastRenderedPageBreak/>
        <w:t>de Dat</w:t>
      </w:r>
      <w:r>
        <w:rPr>
          <w:rFonts w:eastAsia="Times New Roman"/>
          <w:sz w:val="30"/>
          <w:szCs w:val="30"/>
          <w:lang w:val="es-ES"/>
        </w:rPr>
        <w:t>os Públicos. A fin de dar cumplimiento con esta obligación, las entidades deberán observar lo siguiente:</w:t>
      </w:r>
      <w:r>
        <w:rPr>
          <w:rFonts w:eastAsia="Times New Roman"/>
          <w:sz w:val="30"/>
          <w:szCs w:val="30"/>
          <w:lang w:val="es-ES"/>
        </w:rPr>
        <w:br/>
      </w:r>
      <w:r>
        <w:rPr>
          <w:rFonts w:eastAsia="Times New Roman"/>
          <w:sz w:val="30"/>
          <w:szCs w:val="30"/>
          <w:lang w:val="es-ES"/>
        </w:rPr>
        <w:br/>
        <w:t>1. Entregar la información dentro del plazo determinado por los organismos de control;</w:t>
      </w:r>
      <w:r>
        <w:rPr>
          <w:rFonts w:eastAsia="Times New Roman"/>
          <w:sz w:val="30"/>
          <w:szCs w:val="30"/>
          <w:lang w:val="es-ES"/>
        </w:rPr>
        <w:br/>
      </w:r>
      <w:r>
        <w:rPr>
          <w:rFonts w:eastAsia="Times New Roman"/>
          <w:sz w:val="30"/>
          <w:szCs w:val="30"/>
          <w:lang w:val="es-ES"/>
        </w:rPr>
        <w:br/>
        <w:t>2. Entregar reportes especiales para enmendar errores que se h</w:t>
      </w:r>
      <w:r>
        <w:rPr>
          <w:rFonts w:eastAsia="Times New Roman"/>
          <w:sz w:val="30"/>
          <w:szCs w:val="30"/>
          <w:lang w:val="es-ES"/>
        </w:rPr>
        <w:t>ayan cometido, con la finalidad de lograr la depuración de este registro;</w:t>
      </w:r>
      <w:r>
        <w:rPr>
          <w:rFonts w:eastAsia="Times New Roman"/>
          <w:sz w:val="30"/>
          <w:szCs w:val="30"/>
          <w:lang w:val="es-ES"/>
        </w:rPr>
        <w:br/>
      </w:r>
      <w:r>
        <w:rPr>
          <w:rFonts w:eastAsia="Times New Roman"/>
          <w:sz w:val="30"/>
          <w:szCs w:val="30"/>
          <w:lang w:val="es-ES"/>
        </w:rPr>
        <w:br/>
        <w:t>3. La información remitida deberá contener, al menos, los siguientes datos de identificación, en caso de que quien haya contratado el crédito sea una persona natural: nombres y apel</w:t>
      </w:r>
      <w:r>
        <w:rPr>
          <w:rFonts w:eastAsia="Times New Roman"/>
          <w:sz w:val="30"/>
          <w:szCs w:val="30"/>
          <w:lang w:val="es-ES"/>
        </w:rPr>
        <w:t>lidos completos, el número de cédula de identidad y ciudadanía o pasaporte y en caso de que se trate de una persona jurídica se hará constar la razón social y el número de Registro Único de Contribuyentes (RUC). Respecto de la información relativa a la ope</w:t>
      </w:r>
      <w:r>
        <w:rPr>
          <w:rFonts w:eastAsia="Times New Roman"/>
          <w:sz w:val="30"/>
          <w:szCs w:val="30"/>
          <w:lang w:val="es-ES"/>
        </w:rPr>
        <w:t>ración crediticia, se exigirán los siguientes datos, tanto para las personas naturales como para las personas jurídicas: fecha en la que se originó la obligación, la fecha desde la cual es exigible, las fechas de pago, el monto del capital a la fecha del r</w:t>
      </w:r>
      <w:r>
        <w:rPr>
          <w:rFonts w:eastAsia="Times New Roman"/>
          <w:sz w:val="30"/>
          <w:szCs w:val="30"/>
          <w:lang w:val="es-ES"/>
        </w:rPr>
        <w:t>eporte, el monto del interés devengado a la fecha del reporte, el monto del interés de mora a la fecha del reporte, y el estado en que se encuentra el crédito, haciendo constar de forma expresa si respecto de dicho crédito se ha planteado reclamo administr</w:t>
      </w:r>
      <w:r>
        <w:rPr>
          <w:rFonts w:eastAsia="Times New Roman"/>
          <w:sz w:val="30"/>
          <w:szCs w:val="30"/>
          <w:lang w:val="es-ES"/>
        </w:rPr>
        <w:t>ativo o se ha iniciado proceso judicial; y,</w:t>
      </w:r>
      <w:r>
        <w:rPr>
          <w:rFonts w:eastAsia="Times New Roman"/>
          <w:sz w:val="30"/>
          <w:szCs w:val="30"/>
          <w:lang w:val="es-ES"/>
        </w:rPr>
        <w:br/>
      </w:r>
      <w:r>
        <w:rPr>
          <w:rFonts w:eastAsia="Times New Roman"/>
          <w:sz w:val="30"/>
          <w:szCs w:val="30"/>
          <w:lang w:val="es-ES"/>
        </w:rPr>
        <w:br/>
        <w:t>4. No entregar el detalle de valores correspondientes a conceptos que no se hayan originado en operaciones de crédito directas y que no hayan sido solicitados expresamente por el cliente.</w:t>
      </w:r>
      <w:r>
        <w:rPr>
          <w:rFonts w:eastAsia="Times New Roman"/>
          <w:sz w:val="30"/>
          <w:szCs w:val="30"/>
          <w:lang w:val="es-ES"/>
        </w:rPr>
        <w:br/>
      </w:r>
      <w:r>
        <w:rPr>
          <w:rFonts w:eastAsia="Times New Roman"/>
          <w:sz w:val="30"/>
          <w:szCs w:val="30"/>
          <w:lang w:val="es-ES"/>
        </w:rPr>
        <w:br/>
        <w:t>Las entidades no finan</w:t>
      </w:r>
      <w:r>
        <w:rPr>
          <w:rFonts w:eastAsia="Times New Roman"/>
          <w:sz w:val="30"/>
          <w:szCs w:val="30"/>
          <w:lang w:val="es-ES"/>
        </w:rPr>
        <w:t>cieras que otorgan crédito por sobre los límites determinados por la Junta, están obligadas a dar cumplimiento a lo dispuesto en este artículo y a suministrar la información en forma directa a la Dirección Nacional de Registro de Datos Públicos.</w:t>
      </w:r>
    </w:p>
    <w:p w:rsidR="00000000" w:rsidRDefault="0018461E">
      <w:pPr>
        <w:divId w:val="1806072510"/>
        <w:rPr>
          <w:rFonts w:eastAsia="Times New Roman"/>
          <w:sz w:val="30"/>
          <w:szCs w:val="30"/>
          <w:lang w:val="es-ES"/>
        </w:rPr>
      </w:pPr>
      <w:r>
        <w:rPr>
          <w:rFonts w:eastAsia="Times New Roman"/>
          <w:sz w:val="30"/>
          <w:szCs w:val="30"/>
          <w:lang w:val="es-ES"/>
        </w:rPr>
        <w:t>Art. 360.-</w:t>
      </w:r>
      <w:r>
        <w:rPr>
          <w:rFonts w:eastAsia="Times New Roman"/>
          <w:sz w:val="30"/>
          <w:szCs w:val="30"/>
          <w:lang w:val="es-ES"/>
        </w:rPr>
        <w:t xml:space="preserve"> </w:t>
      </w:r>
      <w:r>
        <w:rPr>
          <w:rFonts w:eastAsia="Times New Roman"/>
          <w:b/>
          <w:bCs/>
          <w:sz w:val="30"/>
          <w:szCs w:val="30"/>
          <w:lang w:val="es-ES"/>
        </w:rPr>
        <w:t xml:space="preserve">Responsabilidad. </w:t>
      </w:r>
      <w:r>
        <w:rPr>
          <w:rFonts w:eastAsia="Times New Roman"/>
          <w:sz w:val="30"/>
          <w:szCs w:val="30"/>
          <w:lang w:val="es-ES"/>
        </w:rPr>
        <w:t>La Dirección Nacional de Registro de Datos Públicos es responsable por la aplicación de los modelos autorizados conjuntamente por las Superintendencias de Bancos y Seguros, de la Economía Popular y Solidaria, y de Compañías, utilizados pa</w:t>
      </w:r>
      <w:r>
        <w:rPr>
          <w:rFonts w:eastAsia="Times New Roman"/>
          <w:sz w:val="30"/>
          <w:szCs w:val="30"/>
          <w:lang w:val="es-ES"/>
        </w:rPr>
        <w:t>ra generar los reportes crediticios.</w:t>
      </w:r>
    </w:p>
    <w:p w:rsidR="00000000" w:rsidRDefault="0018461E">
      <w:pPr>
        <w:jc w:val="center"/>
        <w:rPr>
          <w:rFonts w:eastAsia="Times New Roman"/>
          <w:sz w:val="36"/>
          <w:szCs w:val="36"/>
          <w:lang w:val="es-ES"/>
        </w:rPr>
      </w:pPr>
      <w:r>
        <w:rPr>
          <w:rFonts w:eastAsia="Times New Roman"/>
          <w:b/>
          <w:bCs/>
          <w:sz w:val="36"/>
          <w:szCs w:val="36"/>
          <w:lang w:val="es-ES"/>
        </w:rPr>
        <w:lastRenderedPageBreak/>
        <w:br/>
        <w:t xml:space="preserve">Capítulo 4 </w:t>
      </w:r>
      <w:r>
        <w:rPr>
          <w:rFonts w:eastAsia="Times New Roman"/>
          <w:b/>
          <w:bCs/>
          <w:sz w:val="36"/>
          <w:szCs w:val="36"/>
          <w:lang w:val="es-ES"/>
        </w:rPr>
        <w:br/>
        <w:t>SECTOR FINANCIERO PÚBLICO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CREACIÓN, DENOMINACIÓN, ORGANIZACIÓN Y LIQUIDACIÓN</w:t>
      </w:r>
    </w:p>
    <w:p w:rsidR="00000000" w:rsidRDefault="0018461E">
      <w:pPr>
        <w:divId w:val="14381966"/>
        <w:rPr>
          <w:rFonts w:eastAsia="Times New Roman"/>
          <w:sz w:val="30"/>
          <w:szCs w:val="30"/>
          <w:lang w:val="es-ES"/>
        </w:rPr>
      </w:pPr>
      <w:r>
        <w:rPr>
          <w:rFonts w:eastAsia="Times New Roman"/>
          <w:sz w:val="30"/>
          <w:szCs w:val="30"/>
          <w:lang w:val="es-ES"/>
        </w:rPr>
        <w:t xml:space="preserve">Art. 361.- </w:t>
      </w:r>
      <w:r>
        <w:rPr>
          <w:rFonts w:eastAsia="Times New Roman"/>
          <w:b/>
          <w:bCs/>
          <w:sz w:val="30"/>
          <w:szCs w:val="30"/>
          <w:lang w:val="es-ES"/>
        </w:rPr>
        <w:t xml:space="preserve">Creación. </w:t>
      </w:r>
      <w:r>
        <w:rPr>
          <w:rFonts w:eastAsia="Times New Roman"/>
          <w:sz w:val="30"/>
          <w:szCs w:val="30"/>
          <w:lang w:val="es-ES"/>
        </w:rPr>
        <w:t>Las entidades del sector financiero público se crearán mediante decreto ejecutivo, en el que, al</w:t>
      </w:r>
      <w:r>
        <w:rPr>
          <w:rFonts w:eastAsia="Times New Roman"/>
          <w:sz w:val="30"/>
          <w:szCs w:val="30"/>
          <w:lang w:val="es-ES"/>
        </w:rPr>
        <w:t xml:space="preserve"> menos, se expresará:</w:t>
      </w:r>
      <w:r>
        <w:rPr>
          <w:rFonts w:eastAsia="Times New Roman"/>
          <w:sz w:val="30"/>
          <w:szCs w:val="30"/>
          <w:lang w:val="es-ES"/>
        </w:rPr>
        <w:br/>
      </w:r>
      <w:r>
        <w:rPr>
          <w:rFonts w:eastAsia="Times New Roman"/>
          <w:sz w:val="30"/>
          <w:szCs w:val="30"/>
          <w:lang w:val="es-ES"/>
        </w:rPr>
        <w:br/>
        <w:t>1. Denominación;</w:t>
      </w:r>
      <w:r>
        <w:rPr>
          <w:rFonts w:eastAsia="Times New Roman"/>
          <w:sz w:val="30"/>
          <w:szCs w:val="30"/>
          <w:lang w:val="es-ES"/>
        </w:rPr>
        <w:br/>
      </w:r>
      <w:r>
        <w:rPr>
          <w:rFonts w:eastAsia="Times New Roman"/>
          <w:sz w:val="30"/>
          <w:szCs w:val="30"/>
          <w:lang w:val="es-ES"/>
        </w:rPr>
        <w:br/>
        <w:t>2. Objeto;</w:t>
      </w:r>
      <w:r>
        <w:rPr>
          <w:rFonts w:eastAsia="Times New Roman"/>
          <w:sz w:val="30"/>
          <w:szCs w:val="30"/>
          <w:lang w:val="es-ES"/>
        </w:rPr>
        <w:br/>
      </w:r>
      <w:r>
        <w:rPr>
          <w:rFonts w:eastAsia="Times New Roman"/>
          <w:sz w:val="30"/>
          <w:szCs w:val="30"/>
          <w:lang w:val="es-ES"/>
        </w:rPr>
        <w:br/>
        <w:t>3. Capital autorizado, suscrito y pagado;</w:t>
      </w:r>
      <w:r>
        <w:rPr>
          <w:rFonts w:eastAsia="Times New Roman"/>
          <w:sz w:val="30"/>
          <w:szCs w:val="30"/>
          <w:lang w:val="es-ES"/>
        </w:rPr>
        <w:br/>
      </w:r>
      <w:r>
        <w:rPr>
          <w:rFonts w:eastAsia="Times New Roman"/>
          <w:sz w:val="30"/>
          <w:szCs w:val="30"/>
          <w:lang w:val="es-ES"/>
        </w:rPr>
        <w:br/>
        <w:t>4. Patrimonio;</w:t>
      </w:r>
      <w:r>
        <w:rPr>
          <w:rFonts w:eastAsia="Times New Roman"/>
          <w:sz w:val="30"/>
          <w:szCs w:val="30"/>
          <w:lang w:val="es-ES"/>
        </w:rPr>
        <w:br/>
      </w:r>
      <w:r>
        <w:rPr>
          <w:rFonts w:eastAsia="Times New Roman"/>
          <w:sz w:val="30"/>
          <w:szCs w:val="30"/>
          <w:lang w:val="es-ES"/>
        </w:rPr>
        <w:br/>
        <w:t>5. Administración;</w:t>
      </w:r>
      <w:r>
        <w:rPr>
          <w:rFonts w:eastAsia="Times New Roman"/>
          <w:sz w:val="30"/>
          <w:szCs w:val="30"/>
          <w:lang w:val="es-ES"/>
        </w:rPr>
        <w:br/>
      </w:r>
      <w:r>
        <w:rPr>
          <w:rFonts w:eastAsia="Times New Roman"/>
          <w:sz w:val="30"/>
          <w:szCs w:val="30"/>
          <w:lang w:val="es-ES"/>
        </w:rPr>
        <w:br/>
        <w:t>6. Duración; y,</w:t>
      </w:r>
      <w:r>
        <w:rPr>
          <w:rFonts w:eastAsia="Times New Roman"/>
          <w:sz w:val="30"/>
          <w:szCs w:val="30"/>
          <w:lang w:val="es-ES"/>
        </w:rPr>
        <w:br/>
      </w:r>
      <w:r>
        <w:rPr>
          <w:rFonts w:eastAsia="Times New Roman"/>
          <w:sz w:val="30"/>
          <w:szCs w:val="30"/>
          <w:lang w:val="es-ES"/>
        </w:rPr>
        <w:br/>
        <w:t>7. Domicilio.</w:t>
      </w:r>
    </w:p>
    <w:p w:rsidR="00000000" w:rsidRDefault="0018461E">
      <w:pPr>
        <w:divId w:val="940993252"/>
        <w:rPr>
          <w:rFonts w:eastAsia="Times New Roman"/>
          <w:sz w:val="30"/>
          <w:szCs w:val="30"/>
          <w:lang w:val="es-ES"/>
        </w:rPr>
      </w:pPr>
      <w:r>
        <w:rPr>
          <w:rFonts w:eastAsia="Times New Roman"/>
          <w:sz w:val="30"/>
          <w:szCs w:val="30"/>
          <w:lang w:val="es-ES"/>
        </w:rPr>
        <w:t xml:space="preserve">Art. 362.- </w:t>
      </w:r>
      <w:r>
        <w:rPr>
          <w:rFonts w:eastAsia="Times New Roman"/>
          <w:b/>
          <w:bCs/>
          <w:sz w:val="30"/>
          <w:szCs w:val="30"/>
          <w:lang w:val="es-ES"/>
        </w:rPr>
        <w:t xml:space="preserve">Denominación. </w:t>
      </w:r>
      <w:r>
        <w:rPr>
          <w:rFonts w:eastAsia="Times New Roman"/>
          <w:sz w:val="30"/>
          <w:szCs w:val="30"/>
          <w:lang w:val="es-ES"/>
        </w:rPr>
        <w:t xml:space="preserve">La denominación de las entidades del sector financiero público será </w:t>
      </w:r>
      <w:r>
        <w:rPr>
          <w:rFonts w:eastAsia="Times New Roman"/>
          <w:sz w:val="30"/>
          <w:szCs w:val="30"/>
          <w:lang w:val="es-ES"/>
        </w:rPr>
        <w:t>diferenciada del resto de entidades financieras, debiendo hacer visible su naturaleza pública.</w:t>
      </w:r>
    </w:p>
    <w:p w:rsidR="00000000" w:rsidRDefault="0018461E">
      <w:pPr>
        <w:divId w:val="1111630338"/>
        <w:rPr>
          <w:rFonts w:eastAsia="Times New Roman"/>
          <w:sz w:val="30"/>
          <w:szCs w:val="30"/>
          <w:lang w:val="es-ES"/>
        </w:rPr>
      </w:pPr>
      <w:r>
        <w:rPr>
          <w:rFonts w:eastAsia="Times New Roman"/>
          <w:sz w:val="30"/>
          <w:szCs w:val="30"/>
          <w:lang w:val="es-ES"/>
        </w:rPr>
        <w:t xml:space="preserve">Art. 363.- </w:t>
      </w:r>
      <w:r>
        <w:rPr>
          <w:rFonts w:eastAsia="Times New Roman"/>
          <w:b/>
          <w:bCs/>
          <w:sz w:val="30"/>
          <w:szCs w:val="30"/>
          <w:lang w:val="es-ES"/>
        </w:rPr>
        <w:t xml:space="preserve">Organización. </w:t>
      </w:r>
      <w:r>
        <w:rPr>
          <w:rFonts w:eastAsia="Times New Roman"/>
          <w:sz w:val="30"/>
          <w:szCs w:val="30"/>
          <w:lang w:val="es-ES"/>
        </w:rPr>
        <w:t>Las entidades del sector financiero público se organizarán de conformidad con las definiciones y necesidades determinadas por la Junta d</w:t>
      </w:r>
      <w:r>
        <w:rPr>
          <w:rFonts w:eastAsia="Times New Roman"/>
          <w:sz w:val="30"/>
          <w:szCs w:val="30"/>
          <w:lang w:val="es-ES"/>
        </w:rPr>
        <w:t>e Política y Regulación Monetaria y Financiera.</w:t>
      </w:r>
    </w:p>
    <w:p w:rsidR="00000000" w:rsidRDefault="0018461E">
      <w:pPr>
        <w:divId w:val="847405605"/>
        <w:rPr>
          <w:rFonts w:eastAsia="Times New Roman"/>
          <w:sz w:val="30"/>
          <w:szCs w:val="30"/>
          <w:lang w:val="es-ES"/>
        </w:rPr>
      </w:pPr>
      <w:r>
        <w:rPr>
          <w:rFonts w:eastAsia="Times New Roman"/>
          <w:sz w:val="30"/>
          <w:szCs w:val="30"/>
          <w:lang w:val="es-ES"/>
        </w:rPr>
        <w:t xml:space="preserve">Art. 364.- </w:t>
      </w:r>
      <w:r>
        <w:rPr>
          <w:rFonts w:eastAsia="Times New Roman"/>
          <w:b/>
          <w:bCs/>
          <w:sz w:val="30"/>
          <w:szCs w:val="30"/>
          <w:lang w:val="es-ES"/>
        </w:rPr>
        <w:t xml:space="preserve">Liquidación. </w:t>
      </w:r>
      <w:r>
        <w:rPr>
          <w:rFonts w:eastAsia="Times New Roman"/>
          <w:sz w:val="30"/>
          <w:szCs w:val="30"/>
          <w:lang w:val="es-ES"/>
        </w:rPr>
        <w:t>El Presidente de la República mediante decreto ejecutivo, por razones de interés público, podrá disponer el cierre de las entidades del sector financiero público. Como consecuencia del</w:t>
      </w:r>
      <w:r>
        <w:rPr>
          <w:rFonts w:eastAsia="Times New Roman"/>
          <w:sz w:val="30"/>
          <w:szCs w:val="30"/>
          <w:lang w:val="es-ES"/>
        </w:rPr>
        <w:t xml:space="preserve"> cierre dispuesto se procederá a su liquidación voluntaria de acuerdo con las disposiciones de este Código.</w:t>
      </w:r>
    </w:p>
    <w:p w:rsidR="00000000" w:rsidRDefault="0018461E">
      <w:pPr>
        <w:jc w:val="center"/>
        <w:rPr>
          <w:rFonts w:eastAsia="Times New Roman"/>
          <w:sz w:val="36"/>
          <w:szCs w:val="36"/>
          <w:lang w:val="es-ES"/>
        </w:rPr>
      </w:pPr>
      <w:r>
        <w:rPr>
          <w:rFonts w:eastAsia="Times New Roman"/>
          <w:b/>
          <w:bCs/>
          <w:sz w:val="36"/>
          <w:szCs w:val="36"/>
          <w:lang w:val="es-ES"/>
        </w:rPr>
        <w:br/>
        <w:t>Sección 2</w:t>
      </w:r>
      <w:r>
        <w:rPr>
          <w:rFonts w:eastAsia="Times New Roman"/>
          <w:b/>
          <w:bCs/>
          <w:sz w:val="36"/>
          <w:szCs w:val="36"/>
          <w:lang w:val="es-ES"/>
        </w:rPr>
        <w:br/>
      </w:r>
      <w:r>
        <w:rPr>
          <w:rFonts w:eastAsia="Times New Roman"/>
          <w:b/>
          <w:bCs/>
          <w:sz w:val="36"/>
          <w:szCs w:val="36"/>
          <w:lang w:val="es-ES"/>
        </w:rPr>
        <w:lastRenderedPageBreak/>
        <w:t>NATURALEZA, OBJETO SOCIAL, DURACIÓN, ESTATUTO Y DOMICILIO</w:t>
      </w:r>
    </w:p>
    <w:p w:rsidR="00000000" w:rsidRDefault="0018461E">
      <w:pPr>
        <w:divId w:val="1487279552"/>
        <w:rPr>
          <w:rFonts w:eastAsia="Times New Roman"/>
          <w:sz w:val="30"/>
          <w:szCs w:val="30"/>
          <w:lang w:val="es-ES"/>
        </w:rPr>
      </w:pPr>
      <w:r>
        <w:rPr>
          <w:rFonts w:eastAsia="Times New Roman"/>
          <w:sz w:val="30"/>
          <w:szCs w:val="30"/>
          <w:lang w:val="es-ES"/>
        </w:rPr>
        <w:t xml:space="preserve">Art. 365.- </w:t>
      </w:r>
      <w:r>
        <w:rPr>
          <w:rFonts w:eastAsia="Times New Roman"/>
          <w:b/>
          <w:bCs/>
          <w:sz w:val="30"/>
          <w:szCs w:val="30"/>
          <w:lang w:val="es-ES"/>
        </w:rPr>
        <w:t xml:space="preserve">Naturaleza. </w:t>
      </w:r>
      <w:r>
        <w:rPr>
          <w:rFonts w:eastAsia="Times New Roman"/>
          <w:sz w:val="30"/>
          <w:szCs w:val="30"/>
          <w:lang w:val="es-ES"/>
        </w:rPr>
        <w:t>Las entidades del sector financiero público se constituirán como personas jurídicas de derecho público, con autonomía administrativa, financiera y presupuestaria. En el ejercicio de sus actividades y servicios financieros se regirán por las disposiciones d</w:t>
      </w:r>
      <w:r>
        <w:rPr>
          <w:rFonts w:eastAsia="Times New Roman"/>
          <w:sz w:val="30"/>
          <w:szCs w:val="30"/>
          <w:lang w:val="es-ES"/>
        </w:rPr>
        <w:t>e este Código, las que emitan la Junta, los organismos de control, sus respectivos directorios, las aplicables a las instituciones financieras y en lo demás, aplicarán la legislación que rige a las instituciones públicas.</w:t>
      </w:r>
    </w:p>
    <w:p w:rsidR="00000000" w:rsidRDefault="0018461E">
      <w:pPr>
        <w:divId w:val="2103842518"/>
        <w:rPr>
          <w:rFonts w:eastAsia="Times New Roman"/>
          <w:sz w:val="30"/>
          <w:szCs w:val="30"/>
          <w:lang w:val="es-ES"/>
        </w:rPr>
      </w:pPr>
      <w:r>
        <w:rPr>
          <w:rFonts w:eastAsia="Times New Roman"/>
          <w:sz w:val="30"/>
          <w:szCs w:val="30"/>
          <w:lang w:val="es-ES"/>
        </w:rPr>
        <w:t xml:space="preserve">Art. 366.- </w:t>
      </w:r>
      <w:r>
        <w:rPr>
          <w:rFonts w:eastAsia="Times New Roman"/>
          <w:b/>
          <w:bCs/>
          <w:sz w:val="30"/>
          <w:szCs w:val="30"/>
          <w:lang w:val="es-ES"/>
        </w:rPr>
        <w:t xml:space="preserve">Objeto. </w:t>
      </w:r>
      <w:r>
        <w:rPr>
          <w:rFonts w:eastAsia="Times New Roman"/>
          <w:sz w:val="30"/>
          <w:szCs w:val="30"/>
          <w:lang w:val="es-ES"/>
        </w:rPr>
        <w:t>El objeto de la</w:t>
      </w:r>
      <w:r>
        <w:rPr>
          <w:rFonts w:eastAsia="Times New Roman"/>
          <w:sz w:val="30"/>
          <w:szCs w:val="30"/>
          <w:lang w:val="es-ES"/>
        </w:rPr>
        <w:t>s entidades del sector financiero público estará determinado en el decreto ejecutivo de su creación, en el que se establecerá su condición de entidad financiera pública, el tipo de entidad y los segmentos y actividades financieras a las que se va a dedicar</w:t>
      </w:r>
      <w:r>
        <w:rPr>
          <w:rFonts w:eastAsia="Times New Roman"/>
          <w:sz w:val="30"/>
          <w:szCs w:val="30"/>
          <w:lang w:val="es-ES"/>
        </w:rPr>
        <w:t>.</w:t>
      </w:r>
    </w:p>
    <w:p w:rsidR="00000000" w:rsidRDefault="0018461E">
      <w:pPr>
        <w:divId w:val="471749588"/>
        <w:rPr>
          <w:rFonts w:eastAsia="Times New Roman"/>
          <w:sz w:val="30"/>
          <w:szCs w:val="30"/>
          <w:lang w:val="es-ES"/>
        </w:rPr>
      </w:pPr>
      <w:r>
        <w:rPr>
          <w:rFonts w:eastAsia="Times New Roman"/>
          <w:sz w:val="30"/>
          <w:szCs w:val="30"/>
          <w:lang w:val="es-ES"/>
        </w:rPr>
        <w:t xml:space="preserve">Art. 367.- </w:t>
      </w:r>
      <w:r>
        <w:rPr>
          <w:rFonts w:eastAsia="Times New Roman"/>
          <w:b/>
          <w:bCs/>
          <w:sz w:val="30"/>
          <w:szCs w:val="30"/>
          <w:lang w:val="es-ES"/>
        </w:rPr>
        <w:t xml:space="preserve">Patrimonio. </w:t>
      </w:r>
      <w:r>
        <w:rPr>
          <w:rFonts w:eastAsia="Times New Roman"/>
          <w:sz w:val="30"/>
          <w:szCs w:val="30"/>
          <w:lang w:val="es-ES"/>
        </w:rPr>
        <w:t>El patrimonio de las entidades del sector financiero público es autónomo y estará constituido por los bienes que se determinen en el decreto ejecutivo correspondiente.</w:t>
      </w:r>
    </w:p>
    <w:p w:rsidR="00000000" w:rsidRDefault="0018461E">
      <w:pPr>
        <w:divId w:val="313417414"/>
        <w:rPr>
          <w:rFonts w:eastAsia="Times New Roman"/>
          <w:sz w:val="30"/>
          <w:szCs w:val="30"/>
          <w:lang w:val="es-ES"/>
        </w:rPr>
      </w:pPr>
      <w:r>
        <w:rPr>
          <w:rFonts w:eastAsia="Times New Roman"/>
          <w:sz w:val="30"/>
          <w:szCs w:val="30"/>
          <w:lang w:val="es-ES"/>
        </w:rPr>
        <w:t xml:space="preserve">Art. 368.- </w:t>
      </w:r>
      <w:r>
        <w:rPr>
          <w:rFonts w:eastAsia="Times New Roman"/>
          <w:b/>
          <w:bCs/>
          <w:sz w:val="30"/>
          <w:szCs w:val="30"/>
          <w:lang w:val="es-ES"/>
        </w:rPr>
        <w:t xml:space="preserve">Duración, estatuto social y domicilio. </w:t>
      </w:r>
      <w:r>
        <w:rPr>
          <w:rFonts w:eastAsia="Times New Roman"/>
          <w:sz w:val="30"/>
          <w:szCs w:val="30"/>
          <w:lang w:val="es-ES"/>
        </w:rPr>
        <w:t>Las entidades</w:t>
      </w:r>
      <w:r>
        <w:rPr>
          <w:rFonts w:eastAsia="Times New Roman"/>
          <w:sz w:val="30"/>
          <w:szCs w:val="30"/>
          <w:lang w:val="es-ES"/>
        </w:rPr>
        <w:t xml:space="preserve"> del sector financiero público tendrán la duración y el domicilio que se establezca en el respectivo estatuto social.</w:t>
      </w:r>
      <w:r>
        <w:rPr>
          <w:rFonts w:eastAsia="Times New Roman"/>
          <w:sz w:val="30"/>
          <w:szCs w:val="30"/>
          <w:lang w:val="es-ES"/>
        </w:rPr>
        <w:br/>
      </w:r>
      <w:r>
        <w:rPr>
          <w:rFonts w:eastAsia="Times New Roman"/>
          <w:sz w:val="30"/>
          <w:szCs w:val="30"/>
          <w:lang w:val="es-ES"/>
        </w:rPr>
        <w:br/>
        <w:t>El estatuto social contendrá la estructura institucional general de la entidad y deberá ser conocido y aprobado internamente por su direc</w:t>
      </w:r>
      <w:r>
        <w:rPr>
          <w:rFonts w:eastAsia="Times New Roman"/>
          <w:sz w:val="30"/>
          <w:szCs w:val="30"/>
          <w:lang w:val="es-ES"/>
        </w:rPr>
        <w:t>torio y posteriormente por parte de la Superintendencia de Bancos.</w:t>
      </w:r>
      <w:r>
        <w:rPr>
          <w:rFonts w:eastAsia="Times New Roman"/>
          <w:sz w:val="30"/>
          <w:szCs w:val="30"/>
          <w:lang w:val="es-ES"/>
        </w:rPr>
        <w:br/>
      </w:r>
      <w:r>
        <w:rPr>
          <w:rFonts w:eastAsia="Times New Roman"/>
          <w:sz w:val="30"/>
          <w:szCs w:val="30"/>
          <w:lang w:val="es-ES"/>
        </w:rPr>
        <w:br/>
        <w:t>El contenido del estatuto social estará normado por la Superintendencia de Bancos.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LAS FINALIDADES Y OBJETIVOS</w:t>
      </w:r>
    </w:p>
    <w:p w:rsidR="00000000" w:rsidRDefault="0018461E">
      <w:pPr>
        <w:divId w:val="1825851505"/>
        <w:rPr>
          <w:rFonts w:eastAsia="Times New Roman"/>
          <w:sz w:val="30"/>
          <w:szCs w:val="30"/>
          <w:lang w:val="es-ES"/>
        </w:rPr>
      </w:pPr>
      <w:r>
        <w:rPr>
          <w:rFonts w:eastAsia="Times New Roman"/>
          <w:sz w:val="30"/>
          <w:szCs w:val="30"/>
          <w:lang w:val="es-ES"/>
        </w:rPr>
        <w:t xml:space="preserve">Art. 369.- </w:t>
      </w:r>
      <w:r>
        <w:rPr>
          <w:rFonts w:eastAsia="Times New Roman"/>
          <w:b/>
          <w:bCs/>
          <w:sz w:val="30"/>
          <w:szCs w:val="30"/>
          <w:lang w:val="es-ES"/>
        </w:rPr>
        <w:t xml:space="preserve">Finalidad y objetivos. </w:t>
      </w:r>
      <w:r>
        <w:rPr>
          <w:rFonts w:eastAsia="Times New Roman"/>
          <w:sz w:val="30"/>
          <w:szCs w:val="30"/>
          <w:lang w:val="es-ES"/>
        </w:rPr>
        <w:t>Las entidades financieras pú</w:t>
      </w:r>
      <w:r>
        <w:rPr>
          <w:rFonts w:eastAsia="Times New Roman"/>
          <w:sz w:val="30"/>
          <w:szCs w:val="30"/>
          <w:lang w:val="es-ES"/>
        </w:rPr>
        <w:t>blicas ejercerán actividades financieras de manera sustentable eficiente y equitativa. El financiamiento que otorguen buscará cumplir entre otros, los siguientes objetivos:</w:t>
      </w:r>
      <w:r>
        <w:rPr>
          <w:rFonts w:eastAsia="Times New Roman"/>
          <w:sz w:val="30"/>
          <w:szCs w:val="30"/>
          <w:lang w:val="es-ES"/>
        </w:rPr>
        <w:br/>
      </w:r>
      <w:r>
        <w:rPr>
          <w:rFonts w:eastAsia="Times New Roman"/>
          <w:sz w:val="30"/>
          <w:szCs w:val="30"/>
          <w:lang w:val="es-ES"/>
        </w:rPr>
        <w:br/>
        <w:t>a) El cambio del patrón de especialización de la economía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La innovac</w:t>
      </w:r>
      <w:r>
        <w:rPr>
          <w:rFonts w:eastAsia="Times New Roman"/>
          <w:sz w:val="30"/>
          <w:szCs w:val="30"/>
          <w:lang w:val="es-ES"/>
        </w:rPr>
        <w:t>ión y el emprendimiento para incrementar la intensidad tecnológica y de conocimiento;</w:t>
      </w:r>
      <w:r>
        <w:rPr>
          <w:rFonts w:eastAsia="Times New Roman"/>
          <w:sz w:val="30"/>
          <w:szCs w:val="30"/>
          <w:lang w:val="es-ES"/>
        </w:rPr>
        <w:br/>
      </w:r>
      <w:r>
        <w:rPr>
          <w:rFonts w:eastAsia="Times New Roman"/>
          <w:sz w:val="30"/>
          <w:szCs w:val="30"/>
          <w:lang w:val="es-ES"/>
        </w:rPr>
        <w:br/>
        <w:t>c) El incremento de la producción nacional y la soberanía alimentaria;</w:t>
      </w:r>
      <w:r>
        <w:rPr>
          <w:rFonts w:eastAsia="Times New Roman"/>
          <w:sz w:val="30"/>
          <w:szCs w:val="30"/>
          <w:lang w:val="es-ES"/>
        </w:rPr>
        <w:br/>
      </w:r>
      <w:r>
        <w:rPr>
          <w:rFonts w:eastAsia="Times New Roman"/>
          <w:sz w:val="30"/>
          <w:szCs w:val="30"/>
          <w:lang w:val="es-ES"/>
        </w:rPr>
        <w:br/>
        <w:t>d) La sustitución selectiva de importaciones;</w:t>
      </w:r>
      <w:r>
        <w:rPr>
          <w:rFonts w:eastAsia="Times New Roman"/>
          <w:sz w:val="30"/>
          <w:szCs w:val="30"/>
          <w:lang w:val="es-ES"/>
        </w:rPr>
        <w:br/>
      </w:r>
      <w:r>
        <w:rPr>
          <w:rFonts w:eastAsia="Times New Roman"/>
          <w:sz w:val="30"/>
          <w:szCs w:val="30"/>
          <w:lang w:val="es-ES"/>
        </w:rPr>
        <w:br/>
        <w:t>e) Las exportaciones con énfasis en aquellas de va</w:t>
      </w:r>
      <w:r>
        <w:rPr>
          <w:rFonts w:eastAsia="Times New Roman"/>
          <w:sz w:val="30"/>
          <w:szCs w:val="30"/>
          <w:lang w:val="es-ES"/>
        </w:rPr>
        <w:t>lor agregado;</w:t>
      </w:r>
      <w:r>
        <w:rPr>
          <w:rFonts w:eastAsia="Times New Roman"/>
          <w:sz w:val="30"/>
          <w:szCs w:val="30"/>
          <w:lang w:val="es-ES"/>
        </w:rPr>
        <w:br/>
      </w:r>
      <w:r>
        <w:rPr>
          <w:rFonts w:eastAsia="Times New Roman"/>
          <w:sz w:val="30"/>
          <w:szCs w:val="30"/>
          <w:lang w:val="es-ES"/>
        </w:rPr>
        <w:br/>
        <w:t>f) Proyectos de los gobiernos autónomos descentralizados;</w:t>
      </w:r>
      <w:r>
        <w:rPr>
          <w:rFonts w:eastAsia="Times New Roman"/>
          <w:sz w:val="30"/>
          <w:szCs w:val="30"/>
          <w:lang w:val="es-ES"/>
        </w:rPr>
        <w:br/>
      </w:r>
      <w:r>
        <w:rPr>
          <w:rFonts w:eastAsia="Times New Roman"/>
          <w:sz w:val="30"/>
          <w:szCs w:val="30"/>
          <w:lang w:val="es-ES"/>
        </w:rPr>
        <w:br/>
        <w:t>g) La vivienda sobre todo de interés social;</w:t>
      </w:r>
      <w:r>
        <w:rPr>
          <w:rFonts w:eastAsia="Times New Roman"/>
          <w:sz w:val="30"/>
          <w:szCs w:val="30"/>
          <w:lang w:val="es-ES"/>
        </w:rPr>
        <w:br/>
      </w:r>
      <w:r>
        <w:rPr>
          <w:rFonts w:eastAsia="Times New Roman"/>
          <w:sz w:val="30"/>
          <w:szCs w:val="30"/>
          <w:lang w:val="es-ES"/>
        </w:rPr>
        <w:br/>
        <w:t>h) La inclusión económica de primeros emprendedores, madres solteras, personas en movilidad humana, con discapacidad, jóvenes y otras pe</w:t>
      </w:r>
      <w:r>
        <w:rPr>
          <w:rFonts w:eastAsia="Times New Roman"/>
          <w:sz w:val="30"/>
          <w:szCs w:val="30"/>
          <w:lang w:val="es-ES"/>
        </w:rPr>
        <w:t>rsonas pertenecientes a grupos de atención prioritaria.</w:t>
      </w:r>
      <w:r>
        <w:rPr>
          <w:rFonts w:eastAsia="Times New Roman"/>
          <w:sz w:val="30"/>
          <w:szCs w:val="30"/>
          <w:lang w:val="es-ES"/>
        </w:rPr>
        <w:br/>
      </w:r>
      <w:r>
        <w:rPr>
          <w:rFonts w:eastAsia="Times New Roman"/>
          <w:sz w:val="30"/>
          <w:szCs w:val="30"/>
          <w:lang w:val="es-ES"/>
        </w:rPr>
        <w:br/>
        <w:t>i) (Agregado por el num. 1 de la Disposición Reformatoria Séptima de la Ley s/n, R.O. 913-6S, 30-XII-2016).- Fomento a las artes, la cultura y la innovación.</w:t>
      </w:r>
    </w:p>
    <w:p w:rsidR="00000000" w:rsidRDefault="0018461E">
      <w:pPr>
        <w:divId w:val="956523653"/>
        <w:rPr>
          <w:rFonts w:eastAsia="Times New Roman"/>
          <w:sz w:val="30"/>
          <w:szCs w:val="30"/>
          <w:lang w:val="es-ES"/>
        </w:rPr>
      </w:pPr>
      <w:r>
        <w:rPr>
          <w:rFonts w:eastAsia="Times New Roman"/>
          <w:sz w:val="30"/>
          <w:szCs w:val="30"/>
          <w:lang w:val="es-ES"/>
        </w:rPr>
        <w:t xml:space="preserve">Art. 370.- </w:t>
      </w:r>
      <w:r>
        <w:rPr>
          <w:rFonts w:eastAsia="Times New Roman"/>
          <w:b/>
          <w:bCs/>
          <w:sz w:val="30"/>
          <w:szCs w:val="30"/>
          <w:lang w:val="es-ES"/>
        </w:rPr>
        <w:t xml:space="preserve">Administración fiduciaria. </w:t>
      </w:r>
      <w:r>
        <w:rPr>
          <w:rFonts w:eastAsia="Times New Roman"/>
          <w:sz w:val="30"/>
          <w:szCs w:val="30"/>
          <w:lang w:val="es-ES"/>
        </w:rPr>
        <w:t>Las</w:t>
      </w:r>
      <w:r>
        <w:rPr>
          <w:rFonts w:eastAsia="Times New Roman"/>
          <w:sz w:val="30"/>
          <w:szCs w:val="30"/>
          <w:lang w:val="es-ES"/>
        </w:rPr>
        <w:t xml:space="preserve"> entidades del sector financiero público tendrán la facultad para actuar como administradores fiduciarios.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DEL GOBIERNO Y ADMINISTRACIÓN</w:t>
      </w:r>
    </w:p>
    <w:p w:rsidR="00000000" w:rsidRDefault="0018461E">
      <w:pPr>
        <w:divId w:val="1454054413"/>
        <w:rPr>
          <w:rFonts w:eastAsia="Times New Roman"/>
          <w:sz w:val="30"/>
          <w:szCs w:val="30"/>
          <w:lang w:val="es-ES"/>
        </w:rPr>
      </w:pPr>
      <w:r>
        <w:rPr>
          <w:rFonts w:eastAsia="Times New Roman"/>
          <w:sz w:val="30"/>
          <w:szCs w:val="30"/>
          <w:lang w:val="es-ES"/>
        </w:rPr>
        <w:t xml:space="preserve">Art. 371.- </w:t>
      </w:r>
      <w:r>
        <w:rPr>
          <w:rFonts w:eastAsia="Times New Roman"/>
          <w:b/>
          <w:bCs/>
          <w:sz w:val="30"/>
          <w:szCs w:val="30"/>
          <w:lang w:val="es-ES"/>
        </w:rPr>
        <w:t xml:space="preserve">Estructura. </w:t>
      </w:r>
      <w:r>
        <w:rPr>
          <w:rFonts w:eastAsia="Times New Roman"/>
          <w:sz w:val="30"/>
          <w:szCs w:val="30"/>
          <w:lang w:val="es-ES"/>
        </w:rPr>
        <w:t>El gobierno de las entidades que conforman el sector financiero público estará integ</w:t>
      </w:r>
      <w:r>
        <w:rPr>
          <w:rFonts w:eastAsia="Times New Roman"/>
          <w:sz w:val="30"/>
          <w:szCs w:val="30"/>
          <w:lang w:val="es-ES"/>
        </w:rPr>
        <w:t>rado por:</w:t>
      </w:r>
      <w:r>
        <w:rPr>
          <w:rFonts w:eastAsia="Times New Roman"/>
          <w:sz w:val="30"/>
          <w:szCs w:val="30"/>
          <w:lang w:val="es-ES"/>
        </w:rPr>
        <w:br/>
      </w:r>
      <w:r>
        <w:rPr>
          <w:rFonts w:eastAsia="Times New Roman"/>
          <w:sz w:val="30"/>
          <w:szCs w:val="30"/>
          <w:lang w:val="es-ES"/>
        </w:rPr>
        <w:br/>
        <w:t>1. Directorio; y</w:t>
      </w:r>
      <w:r>
        <w:rPr>
          <w:rFonts w:eastAsia="Times New Roman"/>
          <w:sz w:val="30"/>
          <w:szCs w:val="30"/>
          <w:lang w:val="es-ES"/>
        </w:rPr>
        <w:br/>
      </w:r>
      <w:r>
        <w:rPr>
          <w:rFonts w:eastAsia="Times New Roman"/>
          <w:sz w:val="30"/>
          <w:szCs w:val="30"/>
          <w:lang w:val="es-ES"/>
        </w:rPr>
        <w:br/>
        <w:t>2. Gerencia General.</w:t>
      </w:r>
      <w:r>
        <w:rPr>
          <w:rFonts w:eastAsia="Times New Roman"/>
          <w:sz w:val="30"/>
          <w:szCs w:val="30"/>
          <w:lang w:val="es-ES"/>
        </w:rPr>
        <w:br/>
      </w:r>
      <w:r>
        <w:rPr>
          <w:rFonts w:eastAsia="Times New Roman"/>
          <w:sz w:val="30"/>
          <w:szCs w:val="30"/>
          <w:lang w:val="es-ES"/>
        </w:rPr>
        <w:br/>
        <w:t>La estructura orgánica de la entidad constará en el respectivo acto normativo, que será aprobado de conformidad con la Ley Orgánica del Servicio Público.</w:t>
      </w:r>
      <w:r>
        <w:rPr>
          <w:rFonts w:eastAsia="Times New Roman"/>
          <w:sz w:val="30"/>
          <w:szCs w:val="30"/>
          <w:lang w:val="es-ES"/>
        </w:rPr>
        <w:br/>
      </w:r>
      <w:r>
        <w:rPr>
          <w:rFonts w:eastAsia="Times New Roman"/>
          <w:sz w:val="30"/>
          <w:szCs w:val="30"/>
          <w:lang w:val="es-ES"/>
        </w:rPr>
        <w:br/>
        <w:t>Los miembros del directorio y el gerente general s</w:t>
      </w:r>
      <w:r>
        <w:rPr>
          <w:rFonts w:eastAsia="Times New Roman"/>
          <w:sz w:val="30"/>
          <w:szCs w:val="30"/>
          <w:lang w:val="es-ES"/>
        </w:rPr>
        <w:t>erán considerados los administradores de la entidad.</w:t>
      </w:r>
    </w:p>
    <w:p w:rsidR="00000000" w:rsidRDefault="0018461E">
      <w:pPr>
        <w:divId w:val="889223774"/>
        <w:rPr>
          <w:rFonts w:eastAsia="Times New Roman"/>
          <w:sz w:val="30"/>
          <w:szCs w:val="30"/>
          <w:lang w:val="es-ES"/>
        </w:rPr>
      </w:pPr>
      <w:r>
        <w:rPr>
          <w:rFonts w:eastAsia="Times New Roman"/>
          <w:sz w:val="30"/>
          <w:szCs w:val="30"/>
          <w:lang w:val="es-ES"/>
        </w:rPr>
        <w:lastRenderedPageBreak/>
        <w:t xml:space="preserve">Art. 372.- </w:t>
      </w:r>
      <w:r>
        <w:rPr>
          <w:rFonts w:eastAsia="Times New Roman"/>
          <w:b/>
          <w:bCs/>
          <w:sz w:val="30"/>
          <w:szCs w:val="30"/>
          <w:lang w:val="es-ES"/>
        </w:rPr>
        <w:t xml:space="preserve">Políticas públicas. </w:t>
      </w:r>
      <w:r>
        <w:rPr>
          <w:rFonts w:eastAsia="Times New Roman"/>
          <w:sz w:val="30"/>
          <w:szCs w:val="30"/>
          <w:lang w:val="es-ES"/>
        </w:rPr>
        <w:t>Las políticas públicas que rigen el ejercicio de las actividades de las entidades del sector financiero público serán dictadas por la Junta de Política y Regulación Monetaria y Financiera.</w:t>
      </w:r>
    </w:p>
    <w:p w:rsidR="00000000" w:rsidRDefault="0018461E">
      <w:pPr>
        <w:divId w:val="642584120"/>
        <w:rPr>
          <w:rFonts w:eastAsia="Times New Roman"/>
          <w:sz w:val="30"/>
          <w:szCs w:val="30"/>
          <w:lang w:val="es-ES"/>
        </w:rPr>
      </w:pPr>
      <w:r>
        <w:rPr>
          <w:rFonts w:eastAsia="Times New Roman"/>
          <w:sz w:val="30"/>
          <w:szCs w:val="30"/>
          <w:lang w:val="es-ES"/>
        </w:rPr>
        <w:t xml:space="preserve">Art. 373.- </w:t>
      </w:r>
      <w:r>
        <w:rPr>
          <w:rFonts w:eastAsia="Times New Roman"/>
          <w:b/>
          <w:bCs/>
          <w:sz w:val="30"/>
          <w:szCs w:val="30"/>
          <w:lang w:val="es-ES"/>
        </w:rPr>
        <w:t xml:space="preserve">Directorio. </w:t>
      </w:r>
      <w:r>
        <w:rPr>
          <w:rFonts w:eastAsia="Times New Roman"/>
          <w:sz w:val="30"/>
          <w:szCs w:val="30"/>
          <w:lang w:val="es-ES"/>
        </w:rPr>
        <w:t>Cada una de las entidades financieras públic</w:t>
      </w:r>
      <w:r>
        <w:rPr>
          <w:rFonts w:eastAsia="Times New Roman"/>
          <w:sz w:val="30"/>
          <w:szCs w:val="30"/>
          <w:lang w:val="es-ES"/>
        </w:rPr>
        <w:t>as tendrá un directorio constituido de la siguiente manera:</w:t>
      </w:r>
      <w:r>
        <w:rPr>
          <w:rFonts w:eastAsia="Times New Roman"/>
          <w:sz w:val="30"/>
          <w:szCs w:val="30"/>
          <w:lang w:val="es-ES"/>
        </w:rPr>
        <w:br/>
      </w:r>
      <w:r>
        <w:rPr>
          <w:rFonts w:eastAsia="Times New Roman"/>
          <w:sz w:val="30"/>
          <w:szCs w:val="30"/>
          <w:lang w:val="es-ES"/>
        </w:rPr>
        <w:br/>
        <w:t>1. Un delegado permanente del Presidente de la República, quien lo presidirá y tendrá voto dirimente;</w:t>
      </w:r>
      <w:r>
        <w:rPr>
          <w:rFonts w:eastAsia="Times New Roman"/>
          <w:sz w:val="30"/>
          <w:szCs w:val="30"/>
          <w:lang w:val="es-ES"/>
        </w:rPr>
        <w:br/>
      </w:r>
      <w:r>
        <w:rPr>
          <w:rFonts w:eastAsia="Times New Roman"/>
          <w:sz w:val="30"/>
          <w:szCs w:val="30"/>
          <w:lang w:val="es-ES"/>
        </w:rPr>
        <w:br/>
        <w:t>2. Los titulares de tres secretarías de Estado cuyo ámbito de acción esté directamente relac</w:t>
      </w:r>
      <w:r>
        <w:rPr>
          <w:rFonts w:eastAsia="Times New Roman"/>
          <w:sz w:val="30"/>
          <w:szCs w:val="30"/>
          <w:lang w:val="es-ES"/>
        </w:rPr>
        <w:t>ionado con las finalidades y objetivos de la respectiva entidad financiera, o sus delegados permanentes; y,</w:t>
      </w:r>
      <w:r>
        <w:rPr>
          <w:rFonts w:eastAsia="Times New Roman"/>
          <w:sz w:val="30"/>
          <w:szCs w:val="30"/>
          <w:lang w:val="es-ES"/>
        </w:rPr>
        <w:br/>
      </w:r>
      <w:r>
        <w:rPr>
          <w:rFonts w:eastAsia="Times New Roman"/>
          <w:sz w:val="30"/>
          <w:szCs w:val="30"/>
          <w:lang w:val="es-ES"/>
        </w:rPr>
        <w:br/>
        <w:t>3. El titular de la secretaría de Estado a cargo de la política económica o su delegado permanente.</w:t>
      </w:r>
      <w:r>
        <w:rPr>
          <w:rFonts w:eastAsia="Times New Roman"/>
          <w:sz w:val="30"/>
          <w:szCs w:val="30"/>
          <w:lang w:val="es-ES"/>
        </w:rPr>
        <w:br/>
      </w:r>
      <w:r>
        <w:rPr>
          <w:rFonts w:eastAsia="Times New Roman"/>
          <w:sz w:val="30"/>
          <w:szCs w:val="30"/>
          <w:lang w:val="es-ES"/>
        </w:rPr>
        <w:br/>
        <w:t xml:space="preserve">El Presidente de la República en cada decreto </w:t>
      </w:r>
      <w:r>
        <w:rPr>
          <w:rFonts w:eastAsia="Times New Roman"/>
          <w:sz w:val="30"/>
          <w:szCs w:val="30"/>
          <w:lang w:val="es-ES"/>
        </w:rPr>
        <w:t>ejecutivo de creación establecerá qué ministros o secretarios de Estado participarán en cada directorio, de conformidad con este artículo.</w:t>
      </w:r>
      <w:r>
        <w:rPr>
          <w:rFonts w:eastAsia="Times New Roman"/>
          <w:sz w:val="30"/>
          <w:szCs w:val="30"/>
          <w:lang w:val="es-ES"/>
        </w:rPr>
        <w:br/>
      </w:r>
      <w:r>
        <w:rPr>
          <w:rFonts w:eastAsia="Times New Roman"/>
          <w:sz w:val="30"/>
          <w:szCs w:val="30"/>
          <w:lang w:val="es-ES"/>
        </w:rPr>
        <w:br/>
        <w:t>La entidad financiera pública notificará a la respectiva superintendencia la designación de directores, representant</w:t>
      </w:r>
      <w:r>
        <w:rPr>
          <w:rFonts w:eastAsia="Times New Roman"/>
          <w:sz w:val="30"/>
          <w:szCs w:val="30"/>
          <w:lang w:val="es-ES"/>
        </w:rPr>
        <w:t>es legales y auditores interno y externo, dentro del plazo de ocho días de su designación.</w:t>
      </w:r>
    </w:p>
    <w:p w:rsidR="00000000" w:rsidRDefault="0018461E">
      <w:pPr>
        <w:divId w:val="259678195"/>
        <w:rPr>
          <w:rFonts w:eastAsia="Times New Roman"/>
          <w:sz w:val="30"/>
          <w:szCs w:val="30"/>
          <w:lang w:val="es-ES"/>
        </w:rPr>
      </w:pPr>
      <w:r>
        <w:rPr>
          <w:rFonts w:eastAsia="Times New Roman"/>
          <w:sz w:val="30"/>
          <w:szCs w:val="30"/>
          <w:lang w:val="es-ES"/>
        </w:rPr>
        <w:t xml:space="preserve">Art. 374.- </w:t>
      </w:r>
      <w:r>
        <w:rPr>
          <w:rFonts w:eastAsia="Times New Roman"/>
          <w:b/>
          <w:bCs/>
          <w:sz w:val="30"/>
          <w:szCs w:val="30"/>
          <w:lang w:val="es-ES"/>
        </w:rPr>
        <w:t xml:space="preserve">Designación de delegados. </w:t>
      </w:r>
      <w:r>
        <w:rPr>
          <w:rFonts w:eastAsia="Times New Roman"/>
          <w:sz w:val="30"/>
          <w:szCs w:val="30"/>
          <w:lang w:val="es-ES"/>
        </w:rPr>
        <w:t>Los delegados permanentes serán designados mediante el acto administrativo correspondiente; previo a iniciar sus funciones, debe</w:t>
      </w:r>
      <w:r>
        <w:rPr>
          <w:rFonts w:eastAsia="Times New Roman"/>
          <w:sz w:val="30"/>
          <w:szCs w:val="30"/>
          <w:lang w:val="es-ES"/>
        </w:rPr>
        <w:t>rán contar con la calificación de idoneidad emitida por parte de la Superintendencia de Bancos, acreditando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Profesional de tercer nivel en economía, finanzas, banca, derecho, administración, desarro</w:t>
      </w:r>
      <w:r>
        <w:rPr>
          <w:rFonts w:eastAsia="Times New Roman"/>
          <w:sz w:val="30"/>
          <w:szCs w:val="30"/>
          <w:lang w:val="es-ES"/>
        </w:rPr>
        <w:t>llo o afines;</w:t>
      </w:r>
      <w:r>
        <w:rPr>
          <w:rFonts w:eastAsia="Times New Roman"/>
          <w:sz w:val="30"/>
          <w:szCs w:val="30"/>
          <w:lang w:val="es-ES"/>
        </w:rPr>
        <w:br/>
      </w:r>
      <w:r>
        <w:rPr>
          <w:rFonts w:eastAsia="Times New Roman"/>
          <w:sz w:val="30"/>
          <w:szCs w:val="30"/>
          <w:lang w:val="es-ES"/>
        </w:rPr>
        <w:br/>
        <w:t>3. Experiencia profesional en áreas relacionadas de 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lastRenderedPageBreak/>
        <w:br/>
        <w:t>5. Cumplir los requisitos exigidos para ser funcionario o servidor público.</w:t>
      </w:r>
      <w:r>
        <w:rPr>
          <w:rFonts w:eastAsia="Times New Roman"/>
          <w:sz w:val="30"/>
          <w:szCs w:val="30"/>
          <w:lang w:val="es-ES"/>
        </w:rPr>
        <w:br/>
      </w:r>
      <w:r>
        <w:rPr>
          <w:rFonts w:eastAsia="Times New Roman"/>
          <w:sz w:val="30"/>
          <w:szCs w:val="30"/>
          <w:lang w:val="es-ES"/>
        </w:rPr>
        <w:br/>
        <w:t>Actuará como Secretario del director</w:t>
      </w:r>
      <w:r>
        <w:rPr>
          <w:rFonts w:eastAsia="Times New Roman"/>
          <w:sz w:val="30"/>
          <w:szCs w:val="30"/>
          <w:lang w:val="es-ES"/>
        </w:rPr>
        <w:t>io, la persona designada para el efecto.</w:t>
      </w:r>
    </w:p>
    <w:p w:rsidR="00000000" w:rsidRDefault="0018461E">
      <w:pPr>
        <w:divId w:val="422796483"/>
        <w:rPr>
          <w:rFonts w:eastAsia="Times New Roman"/>
          <w:sz w:val="30"/>
          <w:szCs w:val="30"/>
          <w:lang w:val="es-ES"/>
        </w:rPr>
      </w:pPr>
      <w:r>
        <w:rPr>
          <w:rFonts w:eastAsia="Times New Roman"/>
          <w:sz w:val="30"/>
          <w:szCs w:val="30"/>
          <w:lang w:val="es-ES"/>
        </w:rPr>
        <w:t>Art. 375.-</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10" name="Imagen 10"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 xml:space="preserve">Funciones del directorio. </w:t>
      </w:r>
      <w:r>
        <w:rPr>
          <w:rFonts w:eastAsia="Times New Roman"/>
          <w:sz w:val="30"/>
          <w:szCs w:val="30"/>
          <w:lang w:val="es-ES"/>
        </w:rPr>
        <w:t>(Reformado por el lit. c del num. 8 de la Disposición Reformatoria Segunda de la Ley s/n, R.O. 986-S, 18-IV-2017).- El directorio de las entidades financ</w:t>
      </w:r>
      <w:r>
        <w:rPr>
          <w:rFonts w:eastAsia="Times New Roman"/>
          <w:sz w:val="30"/>
          <w:szCs w:val="30"/>
          <w:lang w:val="es-ES"/>
        </w:rPr>
        <w:t>ieras públicas tendrá como funciones las siguientes:</w:t>
      </w:r>
      <w:r>
        <w:rPr>
          <w:rFonts w:eastAsia="Times New Roman"/>
          <w:sz w:val="30"/>
          <w:szCs w:val="30"/>
          <w:lang w:val="es-ES"/>
        </w:rPr>
        <w:br/>
      </w:r>
      <w:r>
        <w:rPr>
          <w:rFonts w:eastAsia="Times New Roman"/>
          <w:sz w:val="30"/>
          <w:szCs w:val="30"/>
          <w:lang w:val="es-ES"/>
        </w:rPr>
        <w:br/>
        <w:t>1. Dictar las políticas de gestión de la entidad y controlar su ejecución;</w:t>
      </w:r>
      <w:r>
        <w:rPr>
          <w:rFonts w:eastAsia="Times New Roman"/>
          <w:sz w:val="30"/>
          <w:szCs w:val="30"/>
          <w:lang w:val="es-ES"/>
        </w:rPr>
        <w:br/>
      </w:r>
      <w:r>
        <w:rPr>
          <w:rFonts w:eastAsia="Times New Roman"/>
          <w:sz w:val="30"/>
          <w:szCs w:val="30"/>
          <w:lang w:val="es-ES"/>
        </w:rPr>
        <w:br/>
        <w:t>2. Conocer y autorizar la contratación de empréstitos u operaciones en el mercado nacional o internacional, por sobre los lími</w:t>
      </w:r>
      <w:r>
        <w:rPr>
          <w:rFonts w:eastAsia="Times New Roman"/>
          <w:sz w:val="30"/>
          <w:szCs w:val="30"/>
          <w:lang w:val="es-ES"/>
        </w:rPr>
        <w:t>tes autorizados al gerente general;</w:t>
      </w:r>
      <w:r>
        <w:rPr>
          <w:rFonts w:eastAsia="Times New Roman"/>
          <w:sz w:val="30"/>
          <w:szCs w:val="30"/>
          <w:lang w:val="es-ES"/>
        </w:rPr>
        <w:br/>
      </w:r>
      <w:r>
        <w:rPr>
          <w:rFonts w:eastAsia="Times New Roman"/>
          <w:sz w:val="30"/>
          <w:szCs w:val="30"/>
          <w:lang w:val="es-ES"/>
        </w:rPr>
        <w:br/>
        <w:t>3. Conocer y resolver sobre el contenido y cumplimiento de las comunicaciones de la Superintendencia de Bancos referentes a disposiciones, observaciones, recomendaciones e iniciativas sobre la marcha de la entidad;</w:t>
      </w:r>
      <w:r>
        <w:rPr>
          <w:rFonts w:eastAsia="Times New Roman"/>
          <w:sz w:val="30"/>
          <w:szCs w:val="30"/>
          <w:lang w:val="es-ES"/>
        </w:rPr>
        <w:br/>
      </w:r>
      <w:r>
        <w:rPr>
          <w:rFonts w:eastAsia="Times New Roman"/>
          <w:sz w:val="30"/>
          <w:szCs w:val="30"/>
          <w:lang w:val="es-ES"/>
        </w:rPr>
        <w:br/>
        <w:t xml:space="preserve">4. </w:t>
      </w:r>
      <w:r>
        <w:rPr>
          <w:rFonts w:eastAsia="Times New Roman"/>
          <w:sz w:val="30"/>
          <w:szCs w:val="30"/>
          <w:lang w:val="es-ES"/>
        </w:rPr>
        <w:t>Establecer los niveles de aprobación de las operaciones activas y contingentes;</w:t>
      </w:r>
      <w:r>
        <w:rPr>
          <w:rFonts w:eastAsia="Times New Roman"/>
          <w:sz w:val="30"/>
          <w:szCs w:val="30"/>
          <w:lang w:val="es-ES"/>
        </w:rPr>
        <w:br/>
      </w:r>
      <w:r>
        <w:rPr>
          <w:rFonts w:eastAsia="Times New Roman"/>
          <w:sz w:val="30"/>
          <w:szCs w:val="30"/>
          <w:lang w:val="es-ES"/>
        </w:rPr>
        <w:br/>
        <w:t>5. Aprobar las operaciones activas y contingentes que individualmente excedan el 2% del patrimonio técnico, y sus garantías, y conocer las operaciones pasivas que superen dich</w:t>
      </w:r>
      <w:r>
        <w:rPr>
          <w:rFonts w:eastAsia="Times New Roman"/>
          <w:sz w:val="30"/>
          <w:szCs w:val="30"/>
          <w:lang w:val="es-ES"/>
        </w:rPr>
        <w:t>o porcentaje;</w:t>
      </w:r>
      <w:r>
        <w:rPr>
          <w:rFonts w:eastAsia="Times New Roman"/>
          <w:sz w:val="30"/>
          <w:szCs w:val="30"/>
          <w:lang w:val="es-ES"/>
        </w:rPr>
        <w:br/>
      </w:r>
      <w:r>
        <w:rPr>
          <w:rFonts w:eastAsia="Times New Roman"/>
          <w:sz w:val="30"/>
          <w:szCs w:val="30"/>
          <w:lang w:val="es-ES"/>
        </w:rPr>
        <w:br/>
        <w:t>6. Analizar y aprobar la política de gestión integral de riesgos y dar seguimiento a su implementación;</w:t>
      </w:r>
      <w:r>
        <w:rPr>
          <w:rFonts w:eastAsia="Times New Roman"/>
          <w:sz w:val="30"/>
          <w:szCs w:val="30"/>
          <w:lang w:val="es-ES"/>
        </w:rPr>
        <w:br/>
      </w:r>
      <w:r>
        <w:rPr>
          <w:rFonts w:eastAsia="Times New Roman"/>
          <w:sz w:val="30"/>
          <w:szCs w:val="30"/>
          <w:lang w:val="es-ES"/>
        </w:rPr>
        <w:br/>
        <w:t>7. Aprobar y emitir opinión, bajo su responsabilidad, sobre los estados financieros y los informes de los auditores interno y externo, c</w:t>
      </w:r>
      <w:r>
        <w:rPr>
          <w:rFonts w:eastAsia="Times New Roman"/>
          <w:sz w:val="30"/>
          <w:szCs w:val="30"/>
          <w:lang w:val="es-ES"/>
        </w:rPr>
        <w:t>alificados por la superintendencia. La opinión del directorio deberá ser enviada al organismo de control siguiendo las instrucciones que éste determine;</w:t>
      </w:r>
      <w:r>
        <w:rPr>
          <w:rFonts w:eastAsia="Times New Roman"/>
          <w:sz w:val="30"/>
          <w:szCs w:val="30"/>
          <w:lang w:val="es-ES"/>
        </w:rPr>
        <w:br/>
      </w:r>
      <w:r>
        <w:rPr>
          <w:rFonts w:eastAsia="Times New Roman"/>
          <w:sz w:val="30"/>
          <w:szCs w:val="30"/>
          <w:lang w:val="es-ES"/>
        </w:rPr>
        <w:br/>
        <w:t>8. Conocer y resolver en última instancia administrativa los recursos presentados en contra de los act</w:t>
      </w:r>
      <w:r>
        <w:rPr>
          <w:rFonts w:eastAsia="Times New Roman"/>
          <w:sz w:val="30"/>
          <w:szCs w:val="30"/>
          <w:lang w:val="es-ES"/>
        </w:rPr>
        <w:t xml:space="preserve">os del propio directorio y del Gerente </w:t>
      </w:r>
      <w:r>
        <w:rPr>
          <w:rFonts w:eastAsia="Times New Roman"/>
          <w:sz w:val="30"/>
          <w:szCs w:val="30"/>
          <w:lang w:val="es-ES"/>
        </w:rPr>
        <w:lastRenderedPageBreak/>
        <w:t>General;</w:t>
      </w:r>
      <w:r>
        <w:rPr>
          <w:rFonts w:eastAsia="Times New Roman"/>
          <w:sz w:val="30"/>
          <w:szCs w:val="30"/>
          <w:lang w:val="es-ES"/>
        </w:rPr>
        <w:br/>
      </w:r>
      <w:r>
        <w:rPr>
          <w:rFonts w:eastAsia="Times New Roman"/>
          <w:sz w:val="30"/>
          <w:szCs w:val="30"/>
          <w:lang w:val="es-ES"/>
        </w:rPr>
        <w:br/>
        <w:t>9. Aprobar el estatuto social y sus reformas;</w:t>
      </w:r>
      <w:r>
        <w:rPr>
          <w:rFonts w:eastAsia="Times New Roman"/>
          <w:sz w:val="30"/>
          <w:szCs w:val="30"/>
          <w:lang w:val="es-ES"/>
        </w:rPr>
        <w:br/>
      </w:r>
      <w:r>
        <w:rPr>
          <w:rFonts w:eastAsia="Times New Roman"/>
          <w:sz w:val="30"/>
          <w:szCs w:val="30"/>
          <w:lang w:val="es-ES"/>
        </w:rPr>
        <w:br/>
        <w:t>10. Aprobar el estatuto orgánico por procesos de la entidad;</w:t>
      </w:r>
      <w:r>
        <w:rPr>
          <w:rFonts w:eastAsia="Times New Roman"/>
          <w:sz w:val="30"/>
          <w:szCs w:val="30"/>
          <w:lang w:val="es-ES"/>
        </w:rPr>
        <w:br/>
      </w:r>
      <w:r>
        <w:rPr>
          <w:rFonts w:eastAsia="Times New Roman"/>
          <w:sz w:val="30"/>
          <w:szCs w:val="30"/>
          <w:lang w:val="es-ES"/>
        </w:rPr>
        <w:br/>
        <w:t>11. Aprobar de forma interna el presupuesto, previo a su envío a la Junta;</w:t>
      </w:r>
      <w:r>
        <w:rPr>
          <w:rFonts w:eastAsia="Times New Roman"/>
          <w:sz w:val="30"/>
          <w:szCs w:val="30"/>
          <w:lang w:val="es-ES"/>
        </w:rPr>
        <w:br/>
      </w:r>
      <w:r>
        <w:rPr>
          <w:rFonts w:eastAsia="Times New Roman"/>
          <w:sz w:val="30"/>
          <w:szCs w:val="30"/>
          <w:lang w:val="es-ES"/>
        </w:rPr>
        <w:br/>
        <w:t>12. Aprobar los reglam</w:t>
      </w:r>
      <w:r>
        <w:rPr>
          <w:rFonts w:eastAsia="Times New Roman"/>
          <w:sz w:val="30"/>
          <w:szCs w:val="30"/>
          <w:lang w:val="es-ES"/>
        </w:rPr>
        <w:t>entos internos;</w:t>
      </w:r>
      <w:r>
        <w:rPr>
          <w:rFonts w:eastAsia="Times New Roman"/>
          <w:sz w:val="30"/>
          <w:szCs w:val="30"/>
          <w:lang w:val="es-ES"/>
        </w:rPr>
        <w:br/>
      </w:r>
      <w:r>
        <w:rPr>
          <w:rFonts w:eastAsia="Times New Roman"/>
          <w:sz w:val="30"/>
          <w:szCs w:val="30"/>
          <w:lang w:val="es-ES"/>
        </w:rPr>
        <w:br/>
        <w:t>13. Designar al Gerente General de la entidad;</w:t>
      </w:r>
      <w:r>
        <w:rPr>
          <w:rFonts w:eastAsia="Times New Roman"/>
          <w:sz w:val="30"/>
          <w:szCs w:val="30"/>
          <w:lang w:val="es-ES"/>
        </w:rPr>
        <w:br/>
      </w:r>
      <w:r>
        <w:rPr>
          <w:rFonts w:eastAsia="Times New Roman"/>
          <w:sz w:val="30"/>
          <w:szCs w:val="30"/>
          <w:lang w:val="es-ES"/>
        </w:rPr>
        <w:br/>
        <w:t>14. Designar a los auditores interno y externo, peritos valuadores y a la firma calificadora de riesgos sujetos a calificación previa por parte de la superintendencia;</w:t>
      </w:r>
      <w:r>
        <w:rPr>
          <w:rFonts w:eastAsia="Times New Roman"/>
          <w:sz w:val="30"/>
          <w:szCs w:val="30"/>
          <w:lang w:val="es-ES"/>
        </w:rPr>
        <w:br/>
      </w:r>
      <w:r>
        <w:rPr>
          <w:rFonts w:eastAsia="Times New Roman"/>
          <w:sz w:val="30"/>
          <w:szCs w:val="30"/>
          <w:lang w:val="es-ES"/>
        </w:rPr>
        <w:br/>
        <w:t>15. Designar un secret</w:t>
      </w:r>
      <w:r>
        <w:rPr>
          <w:rFonts w:eastAsia="Times New Roman"/>
          <w:sz w:val="30"/>
          <w:szCs w:val="30"/>
          <w:lang w:val="es-ES"/>
        </w:rPr>
        <w:t>ario del directorio;</w:t>
      </w:r>
      <w:r>
        <w:rPr>
          <w:rFonts w:eastAsia="Times New Roman"/>
          <w:sz w:val="30"/>
          <w:szCs w:val="30"/>
          <w:lang w:val="es-ES"/>
        </w:rPr>
        <w:br/>
      </w:r>
      <w:r>
        <w:rPr>
          <w:rFonts w:eastAsia="Times New Roman"/>
          <w:sz w:val="30"/>
          <w:szCs w:val="30"/>
          <w:lang w:val="es-ES"/>
        </w:rPr>
        <w:br/>
        <w:t>16. (Reformado por el lit. a del num. 8 de la Disposición Reformatoria Segunda de la Ley s/n, R.O. 986-S, 18-IV-2017).- Presentar los informes que le sean requeridos por la Junta y los organismos de control;</w:t>
      </w:r>
      <w:r>
        <w:rPr>
          <w:rFonts w:eastAsia="Times New Roman"/>
          <w:sz w:val="30"/>
          <w:szCs w:val="30"/>
          <w:lang w:val="es-ES"/>
        </w:rPr>
        <w:br/>
      </w:r>
      <w:r>
        <w:rPr>
          <w:rFonts w:eastAsia="Times New Roman"/>
          <w:sz w:val="30"/>
          <w:szCs w:val="30"/>
          <w:lang w:val="es-ES"/>
        </w:rPr>
        <w:br/>
        <w:t>17. (Sustituido por el li</w:t>
      </w:r>
      <w:r>
        <w:rPr>
          <w:rFonts w:eastAsia="Times New Roman"/>
          <w:sz w:val="30"/>
          <w:szCs w:val="30"/>
          <w:lang w:val="es-ES"/>
        </w:rPr>
        <w:t>t. b del num. 8 de la Disposición Reformatoria Segunda de la Ley s/n, R.O. 986-S, 18-IV-2017).- Resolver sobre el reparto de utilidades;</w:t>
      </w:r>
      <w:r>
        <w:rPr>
          <w:rFonts w:eastAsia="Times New Roman"/>
          <w:sz w:val="30"/>
          <w:szCs w:val="30"/>
          <w:lang w:val="es-ES"/>
        </w:rPr>
        <w:br/>
      </w:r>
      <w:r>
        <w:rPr>
          <w:rFonts w:eastAsia="Times New Roman"/>
          <w:sz w:val="30"/>
          <w:szCs w:val="30"/>
          <w:lang w:val="es-ES"/>
        </w:rPr>
        <w:br/>
        <w:t>18.- (Agregado por el lit. b del num. 8 de la Disposición Reformatoria Segunda de la Ley s/n, R.O. 986-S, 18-IV-2017).</w:t>
      </w:r>
      <w:r>
        <w:rPr>
          <w:rFonts w:eastAsia="Times New Roman"/>
          <w:sz w:val="30"/>
          <w:szCs w:val="30"/>
          <w:lang w:val="es-ES"/>
        </w:rPr>
        <w:t>- Las demás que le asigne la Ley.</w:t>
      </w:r>
      <w:r>
        <w:rPr>
          <w:rFonts w:eastAsia="Times New Roman"/>
          <w:sz w:val="30"/>
          <w:szCs w:val="30"/>
          <w:lang w:val="es-ES"/>
        </w:rPr>
        <w:br/>
      </w:r>
      <w:r>
        <w:rPr>
          <w:rFonts w:eastAsia="Times New Roman"/>
          <w:sz w:val="30"/>
          <w:szCs w:val="30"/>
          <w:lang w:val="es-ES"/>
        </w:rPr>
        <w:br/>
        <w:t>En el caso de la entidad financiera pública a cargo del financiamiento a los Gobiernos Autónomos Descentralizados, las funciones de los numerales 14 y 17 serán resueltas por la Junta General de Accionistas.</w:t>
      </w:r>
    </w:p>
    <w:p w:rsidR="00000000" w:rsidRDefault="0018461E">
      <w:pPr>
        <w:divId w:val="940532388"/>
        <w:rPr>
          <w:rFonts w:eastAsia="Times New Roman"/>
          <w:sz w:val="30"/>
          <w:szCs w:val="30"/>
          <w:lang w:val="es-ES"/>
        </w:rPr>
      </w:pPr>
      <w:r>
        <w:rPr>
          <w:rFonts w:eastAsia="Times New Roman"/>
          <w:sz w:val="30"/>
          <w:szCs w:val="30"/>
          <w:lang w:val="es-ES"/>
        </w:rPr>
        <w:t xml:space="preserve">Art. 376.- </w:t>
      </w:r>
      <w:r>
        <w:rPr>
          <w:rFonts w:eastAsia="Times New Roman"/>
          <w:b/>
          <w:bCs/>
          <w:sz w:val="30"/>
          <w:szCs w:val="30"/>
          <w:lang w:val="es-ES"/>
        </w:rPr>
        <w:t>Fun</w:t>
      </w:r>
      <w:r>
        <w:rPr>
          <w:rFonts w:eastAsia="Times New Roman"/>
          <w:b/>
          <w:bCs/>
          <w:sz w:val="30"/>
          <w:szCs w:val="30"/>
          <w:lang w:val="es-ES"/>
        </w:rPr>
        <w:t xml:space="preserve">ciones del Presidente. </w:t>
      </w:r>
      <w:r>
        <w:rPr>
          <w:rFonts w:eastAsia="Times New Roman"/>
          <w:sz w:val="30"/>
          <w:szCs w:val="30"/>
          <w:lang w:val="es-ES"/>
        </w:rPr>
        <w:t>El presidente del directorio tendrá las siguientes funciones:</w:t>
      </w:r>
      <w:r>
        <w:rPr>
          <w:rFonts w:eastAsia="Times New Roman"/>
          <w:sz w:val="30"/>
          <w:szCs w:val="30"/>
          <w:lang w:val="es-ES"/>
        </w:rPr>
        <w:br/>
      </w:r>
      <w:r>
        <w:rPr>
          <w:rFonts w:eastAsia="Times New Roman"/>
          <w:sz w:val="30"/>
          <w:szCs w:val="30"/>
          <w:lang w:val="es-ES"/>
        </w:rPr>
        <w:br/>
        <w:t>1. Convocar y presidir las sesiones del directorio y suscribir con el Secretario las actas correspondientes;</w:t>
      </w:r>
      <w:r>
        <w:rPr>
          <w:rFonts w:eastAsia="Times New Roman"/>
          <w:sz w:val="30"/>
          <w:szCs w:val="30"/>
          <w:lang w:val="es-ES"/>
        </w:rPr>
        <w:br/>
      </w:r>
      <w:r>
        <w:rPr>
          <w:rFonts w:eastAsia="Times New Roman"/>
          <w:sz w:val="30"/>
          <w:szCs w:val="30"/>
          <w:lang w:val="es-ES"/>
        </w:rPr>
        <w:lastRenderedPageBreak/>
        <w:br/>
        <w:t>2. Informar al directorio sobre la ejecución y aplicación de</w:t>
      </w:r>
      <w:r>
        <w:rPr>
          <w:rFonts w:eastAsia="Times New Roman"/>
          <w:sz w:val="30"/>
          <w:szCs w:val="30"/>
          <w:lang w:val="es-ES"/>
        </w:rPr>
        <w:t xml:space="preserve"> las decisiones adoptadas; y,</w:t>
      </w:r>
      <w:r>
        <w:rPr>
          <w:rFonts w:eastAsia="Times New Roman"/>
          <w:sz w:val="30"/>
          <w:szCs w:val="30"/>
          <w:lang w:val="es-ES"/>
        </w:rPr>
        <w:br/>
      </w:r>
      <w:r>
        <w:rPr>
          <w:rFonts w:eastAsia="Times New Roman"/>
          <w:sz w:val="30"/>
          <w:szCs w:val="30"/>
          <w:lang w:val="es-ES"/>
        </w:rPr>
        <w:br/>
        <w:t>3. Ejercer las demás funciones que le corresponden, de conformidad con este Código y el estatuto de la entidad.</w:t>
      </w:r>
    </w:p>
    <w:p w:rsidR="00000000" w:rsidRDefault="0018461E">
      <w:pPr>
        <w:divId w:val="1181512596"/>
        <w:rPr>
          <w:rFonts w:eastAsia="Times New Roman"/>
          <w:sz w:val="30"/>
          <w:szCs w:val="30"/>
          <w:lang w:val="es-ES"/>
        </w:rPr>
      </w:pPr>
      <w:r>
        <w:rPr>
          <w:rFonts w:eastAsia="Times New Roman"/>
          <w:sz w:val="30"/>
          <w:szCs w:val="30"/>
          <w:lang w:val="es-ES"/>
        </w:rPr>
        <w:t xml:space="preserve">Art. 377.- </w:t>
      </w:r>
      <w:r>
        <w:rPr>
          <w:rFonts w:eastAsia="Times New Roman"/>
          <w:b/>
          <w:bCs/>
          <w:sz w:val="30"/>
          <w:szCs w:val="30"/>
          <w:lang w:val="es-ES"/>
        </w:rPr>
        <w:t xml:space="preserve">Gerente General. </w:t>
      </w:r>
      <w:r>
        <w:rPr>
          <w:rFonts w:eastAsia="Times New Roman"/>
          <w:sz w:val="30"/>
          <w:szCs w:val="30"/>
          <w:lang w:val="es-ES"/>
        </w:rPr>
        <w:t>El Gerente General de la entidad será designado por el directorio y será de libre nom</w:t>
      </w:r>
      <w:r>
        <w:rPr>
          <w:rFonts w:eastAsia="Times New Roman"/>
          <w:sz w:val="30"/>
          <w:szCs w:val="30"/>
          <w:lang w:val="es-ES"/>
        </w:rPr>
        <w:t>bramiento y remoción. Deberá cumplir con los siguientes requisitos:</w:t>
      </w:r>
      <w:r>
        <w:rPr>
          <w:rFonts w:eastAsia="Times New Roman"/>
          <w:sz w:val="30"/>
          <w:szCs w:val="30"/>
          <w:lang w:val="es-ES"/>
        </w:rPr>
        <w:br/>
      </w:r>
      <w:r>
        <w:rPr>
          <w:rFonts w:eastAsia="Times New Roman"/>
          <w:sz w:val="30"/>
          <w:szCs w:val="30"/>
          <w:lang w:val="es-ES"/>
        </w:rPr>
        <w:br/>
        <w:t>1. Ciudadano ecuatoriano;</w:t>
      </w:r>
      <w:r>
        <w:rPr>
          <w:rFonts w:eastAsia="Times New Roman"/>
          <w:sz w:val="30"/>
          <w:szCs w:val="30"/>
          <w:lang w:val="es-ES"/>
        </w:rPr>
        <w:br/>
      </w:r>
      <w:r>
        <w:rPr>
          <w:rFonts w:eastAsia="Times New Roman"/>
          <w:sz w:val="30"/>
          <w:szCs w:val="30"/>
          <w:lang w:val="es-ES"/>
        </w:rPr>
        <w:br/>
        <w:t>2. Título profesional de cuarto nivel en economía, finanzas, administración, derecho o áreas relacionadas;</w:t>
      </w:r>
      <w:r>
        <w:rPr>
          <w:rFonts w:eastAsia="Times New Roman"/>
          <w:sz w:val="30"/>
          <w:szCs w:val="30"/>
          <w:lang w:val="es-ES"/>
        </w:rPr>
        <w:br/>
      </w:r>
      <w:r>
        <w:rPr>
          <w:rFonts w:eastAsia="Times New Roman"/>
          <w:sz w:val="30"/>
          <w:szCs w:val="30"/>
          <w:lang w:val="es-ES"/>
        </w:rPr>
        <w:br/>
        <w:t xml:space="preserve">3. Experiencia profesional en áreas relacionadas de </w:t>
      </w:r>
      <w:r>
        <w:rPr>
          <w:rFonts w:eastAsia="Times New Roman"/>
          <w:sz w:val="30"/>
          <w:szCs w:val="30"/>
          <w:lang w:val="es-ES"/>
        </w:rPr>
        <w:t>por lo menos cinco años;</w:t>
      </w:r>
      <w:r>
        <w:rPr>
          <w:rFonts w:eastAsia="Times New Roman"/>
          <w:sz w:val="30"/>
          <w:szCs w:val="30"/>
          <w:lang w:val="es-ES"/>
        </w:rPr>
        <w:br/>
      </w:r>
      <w:r>
        <w:rPr>
          <w:rFonts w:eastAsia="Times New Roman"/>
          <w:sz w:val="30"/>
          <w:szCs w:val="30"/>
          <w:lang w:val="es-ES"/>
        </w:rPr>
        <w:br/>
        <w:t>4. No estar incurso en conflictos de interés; y,</w:t>
      </w:r>
      <w:r>
        <w:rPr>
          <w:rFonts w:eastAsia="Times New Roman"/>
          <w:sz w:val="30"/>
          <w:szCs w:val="30"/>
          <w:lang w:val="es-ES"/>
        </w:rPr>
        <w:br/>
      </w:r>
      <w:r>
        <w:rPr>
          <w:rFonts w:eastAsia="Times New Roman"/>
          <w:sz w:val="30"/>
          <w:szCs w:val="30"/>
          <w:lang w:val="es-ES"/>
        </w:rPr>
        <w:br/>
        <w:t>5. Cumplir los requisitos exigidos para ser funcionario o servidor público.</w:t>
      </w:r>
      <w:r>
        <w:rPr>
          <w:rFonts w:eastAsia="Times New Roman"/>
          <w:sz w:val="30"/>
          <w:szCs w:val="30"/>
          <w:lang w:val="es-ES"/>
        </w:rPr>
        <w:br/>
      </w:r>
      <w:r>
        <w:rPr>
          <w:rFonts w:eastAsia="Times New Roman"/>
          <w:sz w:val="30"/>
          <w:szCs w:val="30"/>
          <w:lang w:val="es-ES"/>
        </w:rPr>
        <w:br/>
        <w:t>El Gerente General deberá cumplir la calificación de idoneidad exigidos para los delegados al directori</w:t>
      </w:r>
      <w:r>
        <w:rPr>
          <w:rFonts w:eastAsia="Times New Roman"/>
          <w:sz w:val="30"/>
          <w:szCs w:val="30"/>
          <w:lang w:val="es-ES"/>
        </w:rPr>
        <w:t>o.</w:t>
      </w:r>
    </w:p>
    <w:p w:rsidR="00000000" w:rsidRDefault="0018461E">
      <w:pPr>
        <w:divId w:val="752824076"/>
        <w:rPr>
          <w:rFonts w:eastAsia="Times New Roman"/>
          <w:sz w:val="30"/>
          <w:szCs w:val="30"/>
          <w:lang w:val="es-ES"/>
        </w:rPr>
      </w:pPr>
      <w:r>
        <w:rPr>
          <w:rFonts w:eastAsia="Times New Roman"/>
          <w:sz w:val="30"/>
          <w:szCs w:val="30"/>
          <w:lang w:val="es-ES"/>
        </w:rPr>
        <w:t xml:space="preserve">Art. 378.- </w:t>
      </w:r>
      <w:r>
        <w:rPr>
          <w:rFonts w:eastAsia="Times New Roman"/>
          <w:b/>
          <w:bCs/>
          <w:sz w:val="30"/>
          <w:szCs w:val="30"/>
          <w:lang w:val="es-ES"/>
        </w:rPr>
        <w:t xml:space="preserve">Funciones del Gerente General. </w:t>
      </w:r>
      <w:r>
        <w:rPr>
          <w:rFonts w:eastAsia="Times New Roman"/>
          <w:sz w:val="30"/>
          <w:szCs w:val="30"/>
          <w:lang w:val="es-ES"/>
        </w:rPr>
        <w:t>El Gerente General ejercerá las siguientes funciones:</w:t>
      </w:r>
      <w:r>
        <w:rPr>
          <w:rFonts w:eastAsia="Times New Roman"/>
          <w:sz w:val="30"/>
          <w:szCs w:val="30"/>
          <w:lang w:val="es-ES"/>
        </w:rPr>
        <w:br/>
      </w:r>
      <w:r>
        <w:rPr>
          <w:rFonts w:eastAsia="Times New Roman"/>
          <w:sz w:val="30"/>
          <w:szCs w:val="30"/>
          <w:lang w:val="es-ES"/>
        </w:rPr>
        <w:br/>
        <w:t>1. Representar legal, judicial y extrajudicialmente a la entidad;</w:t>
      </w:r>
      <w:r>
        <w:rPr>
          <w:rFonts w:eastAsia="Times New Roman"/>
          <w:sz w:val="30"/>
          <w:szCs w:val="30"/>
          <w:lang w:val="es-ES"/>
        </w:rPr>
        <w:br/>
      </w:r>
      <w:r>
        <w:rPr>
          <w:rFonts w:eastAsia="Times New Roman"/>
          <w:sz w:val="30"/>
          <w:szCs w:val="30"/>
          <w:lang w:val="es-ES"/>
        </w:rPr>
        <w:br/>
        <w:t>2. Acordar, ejecutar y celebrar cualquier acto, hecho, convenio, contrato o negocio juríd</w:t>
      </w:r>
      <w:r>
        <w:rPr>
          <w:rFonts w:eastAsia="Times New Roman"/>
          <w:sz w:val="30"/>
          <w:szCs w:val="30"/>
          <w:lang w:val="es-ES"/>
        </w:rPr>
        <w:t>ico que conduzca al cumplimiento de las finalidades y objetivos de la entidad;</w:t>
      </w:r>
      <w:r>
        <w:rPr>
          <w:rFonts w:eastAsia="Times New Roman"/>
          <w:sz w:val="30"/>
          <w:szCs w:val="30"/>
          <w:lang w:val="es-ES"/>
        </w:rPr>
        <w:br/>
      </w:r>
      <w:r>
        <w:rPr>
          <w:rFonts w:eastAsia="Times New Roman"/>
          <w:sz w:val="30"/>
          <w:szCs w:val="30"/>
          <w:lang w:val="es-ES"/>
        </w:rPr>
        <w:br/>
        <w:t>3. Cumplir y hacer cumplir las resoluciones del directorio;</w:t>
      </w:r>
      <w:r>
        <w:rPr>
          <w:rFonts w:eastAsia="Times New Roman"/>
          <w:sz w:val="30"/>
          <w:szCs w:val="30"/>
          <w:lang w:val="es-ES"/>
        </w:rPr>
        <w:br/>
      </w:r>
      <w:r>
        <w:rPr>
          <w:rFonts w:eastAsia="Times New Roman"/>
          <w:sz w:val="30"/>
          <w:szCs w:val="30"/>
          <w:lang w:val="es-ES"/>
        </w:rPr>
        <w:br/>
        <w:t>4. Dirigir la gestión operativa y administrativa de la entidad;</w:t>
      </w:r>
      <w:r>
        <w:rPr>
          <w:rFonts w:eastAsia="Times New Roman"/>
          <w:sz w:val="30"/>
          <w:szCs w:val="30"/>
          <w:lang w:val="es-ES"/>
        </w:rPr>
        <w:br/>
      </w:r>
      <w:r>
        <w:rPr>
          <w:rFonts w:eastAsia="Times New Roman"/>
          <w:sz w:val="30"/>
          <w:szCs w:val="30"/>
          <w:lang w:val="es-ES"/>
        </w:rPr>
        <w:br/>
        <w:t>5. Preparar el presupuesto, los planes y reglament</w:t>
      </w:r>
      <w:r>
        <w:rPr>
          <w:rFonts w:eastAsia="Times New Roman"/>
          <w:sz w:val="30"/>
          <w:szCs w:val="30"/>
          <w:lang w:val="es-ES"/>
        </w:rPr>
        <w:t>os de la entidad y ponerlos a consideración del directorio;</w:t>
      </w:r>
      <w:r>
        <w:rPr>
          <w:rFonts w:eastAsia="Times New Roman"/>
          <w:sz w:val="30"/>
          <w:szCs w:val="30"/>
          <w:lang w:val="es-ES"/>
        </w:rPr>
        <w:br/>
      </w:r>
      <w:r>
        <w:rPr>
          <w:rFonts w:eastAsia="Times New Roman"/>
          <w:sz w:val="30"/>
          <w:szCs w:val="30"/>
          <w:lang w:val="es-ES"/>
        </w:rPr>
        <w:lastRenderedPageBreak/>
        <w:br/>
        <w:t>6. Presentar los informes que requiera el directorio;</w:t>
      </w:r>
      <w:r>
        <w:rPr>
          <w:rFonts w:eastAsia="Times New Roman"/>
          <w:sz w:val="30"/>
          <w:szCs w:val="30"/>
          <w:lang w:val="es-ES"/>
        </w:rPr>
        <w:br/>
      </w:r>
      <w:r>
        <w:rPr>
          <w:rFonts w:eastAsia="Times New Roman"/>
          <w:sz w:val="30"/>
          <w:szCs w:val="30"/>
          <w:lang w:val="es-ES"/>
        </w:rPr>
        <w:br/>
        <w:t>7. Ejercer la jurisdicción coactiva en representación de la entidad; y,</w:t>
      </w:r>
      <w:r>
        <w:rPr>
          <w:rFonts w:eastAsia="Times New Roman"/>
          <w:sz w:val="30"/>
          <w:szCs w:val="30"/>
          <w:lang w:val="es-ES"/>
        </w:rPr>
        <w:br/>
      </w:r>
      <w:r>
        <w:rPr>
          <w:rFonts w:eastAsia="Times New Roman"/>
          <w:sz w:val="30"/>
          <w:szCs w:val="30"/>
          <w:lang w:val="es-ES"/>
        </w:rPr>
        <w:br/>
        <w:t>8. Las demás que le asigne la ley y el estatuto.</w:t>
      </w:r>
    </w:p>
    <w:p w:rsidR="00000000" w:rsidRDefault="0018461E">
      <w:pPr>
        <w:divId w:val="2060591134"/>
        <w:rPr>
          <w:rFonts w:eastAsia="Times New Roman"/>
          <w:sz w:val="30"/>
          <w:szCs w:val="30"/>
          <w:lang w:val="es-ES"/>
        </w:rPr>
      </w:pPr>
      <w:r>
        <w:rPr>
          <w:rFonts w:eastAsia="Times New Roman"/>
          <w:sz w:val="30"/>
          <w:szCs w:val="30"/>
          <w:lang w:val="es-ES"/>
        </w:rPr>
        <w:t xml:space="preserve">Art. 379.- </w:t>
      </w:r>
      <w:r>
        <w:rPr>
          <w:rFonts w:eastAsia="Times New Roman"/>
          <w:b/>
          <w:bCs/>
          <w:sz w:val="30"/>
          <w:szCs w:val="30"/>
          <w:lang w:val="es-ES"/>
        </w:rPr>
        <w:t>Gestión</w:t>
      </w:r>
      <w:r>
        <w:rPr>
          <w:rFonts w:eastAsia="Times New Roman"/>
          <w:b/>
          <w:bCs/>
          <w:sz w:val="30"/>
          <w:szCs w:val="30"/>
          <w:lang w:val="es-ES"/>
        </w:rPr>
        <w:t xml:space="preserve"> administrativa. </w:t>
      </w:r>
      <w:r>
        <w:rPr>
          <w:rFonts w:eastAsia="Times New Roman"/>
          <w:sz w:val="30"/>
          <w:szCs w:val="30"/>
          <w:lang w:val="es-ES"/>
        </w:rPr>
        <w:t>La gestión administrativa de las entidades del sector financiero público será desconcentrada.</w:t>
      </w:r>
    </w:p>
    <w:p w:rsidR="00000000" w:rsidRDefault="0018461E">
      <w:pPr>
        <w:divId w:val="884606661"/>
        <w:rPr>
          <w:rFonts w:eastAsia="Times New Roman"/>
          <w:sz w:val="30"/>
          <w:szCs w:val="30"/>
          <w:lang w:val="es-ES"/>
        </w:rPr>
      </w:pPr>
      <w:r>
        <w:rPr>
          <w:rFonts w:eastAsia="Times New Roman"/>
          <w:sz w:val="30"/>
          <w:szCs w:val="30"/>
          <w:lang w:val="es-ES"/>
        </w:rPr>
        <w:t xml:space="preserve">Art. 380.- </w:t>
      </w:r>
      <w:r>
        <w:rPr>
          <w:rFonts w:eastAsia="Times New Roman"/>
          <w:b/>
          <w:bCs/>
          <w:sz w:val="30"/>
          <w:szCs w:val="30"/>
          <w:lang w:val="es-ES"/>
        </w:rPr>
        <w:t xml:space="preserve">Personal. </w:t>
      </w:r>
      <w:r>
        <w:rPr>
          <w:rFonts w:eastAsia="Times New Roman"/>
          <w:sz w:val="30"/>
          <w:szCs w:val="30"/>
          <w:lang w:val="es-ES"/>
        </w:rPr>
        <w:t>Los funcionarios y servidores de las entidades del sector financiero público estarán sujetos a las disposiciones de la Ley O</w:t>
      </w:r>
      <w:r>
        <w:rPr>
          <w:rFonts w:eastAsia="Times New Roman"/>
          <w:sz w:val="30"/>
          <w:szCs w:val="30"/>
          <w:lang w:val="es-ES"/>
        </w:rPr>
        <w:t>rgánica del Servicio Público y Código del Trabajo, según el caso.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CAPITAL Y RESERVAS</w:t>
      </w:r>
    </w:p>
    <w:p w:rsidR="00000000" w:rsidRDefault="0018461E">
      <w:pPr>
        <w:divId w:val="812060732"/>
        <w:rPr>
          <w:rFonts w:eastAsia="Times New Roman"/>
          <w:sz w:val="30"/>
          <w:szCs w:val="30"/>
          <w:lang w:val="es-ES"/>
        </w:rPr>
      </w:pPr>
      <w:r>
        <w:rPr>
          <w:rFonts w:eastAsia="Times New Roman"/>
          <w:sz w:val="30"/>
          <w:szCs w:val="30"/>
          <w:lang w:val="es-ES"/>
        </w:rPr>
        <w:t xml:space="preserve">Art. 381.- </w:t>
      </w:r>
      <w:r>
        <w:rPr>
          <w:rFonts w:eastAsia="Times New Roman"/>
          <w:b/>
          <w:bCs/>
          <w:sz w:val="30"/>
          <w:szCs w:val="30"/>
          <w:lang w:val="es-ES"/>
        </w:rPr>
        <w:t xml:space="preserve">Capital y reservas. </w:t>
      </w:r>
      <w:r>
        <w:rPr>
          <w:rFonts w:eastAsia="Times New Roman"/>
          <w:sz w:val="30"/>
          <w:szCs w:val="30"/>
          <w:lang w:val="es-ES"/>
        </w:rPr>
        <w:t>El capital y reservas de las entidades que conforman el sector financiero público constarán en el estatuto social correspond</w:t>
      </w:r>
      <w:r>
        <w:rPr>
          <w:rFonts w:eastAsia="Times New Roman"/>
          <w:sz w:val="30"/>
          <w:szCs w:val="30"/>
          <w:lang w:val="es-ES"/>
        </w:rPr>
        <w:t>iente, y no podrán ser menores que los determinados en las regulaciones que para el efecto dicte la Junta.</w:t>
      </w:r>
    </w:p>
    <w:p w:rsidR="00000000" w:rsidRDefault="0018461E">
      <w:pPr>
        <w:divId w:val="1570725390"/>
        <w:rPr>
          <w:rFonts w:eastAsia="Times New Roman"/>
          <w:sz w:val="30"/>
          <w:szCs w:val="30"/>
          <w:lang w:val="es-ES"/>
        </w:rPr>
      </w:pPr>
      <w:r>
        <w:rPr>
          <w:rFonts w:eastAsia="Times New Roman"/>
          <w:sz w:val="30"/>
          <w:szCs w:val="30"/>
          <w:lang w:val="es-ES"/>
        </w:rPr>
        <w:t xml:space="preserve">Art. 382.- </w:t>
      </w:r>
      <w:r>
        <w:rPr>
          <w:rFonts w:eastAsia="Times New Roman"/>
          <w:b/>
          <w:bCs/>
          <w:sz w:val="30"/>
          <w:szCs w:val="30"/>
          <w:lang w:val="es-ES"/>
        </w:rPr>
        <w:t xml:space="preserve">Aumento de capital. </w:t>
      </w:r>
      <w:r>
        <w:rPr>
          <w:rFonts w:eastAsia="Times New Roman"/>
          <w:sz w:val="30"/>
          <w:szCs w:val="30"/>
          <w:lang w:val="es-ES"/>
        </w:rPr>
        <w:t>El capital suscrito y pagado de las entidades financieras públicas podrá aumentarse por disposición del directorio o p</w:t>
      </w:r>
      <w:r>
        <w:rPr>
          <w:rFonts w:eastAsia="Times New Roman"/>
          <w:sz w:val="30"/>
          <w:szCs w:val="30"/>
          <w:lang w:val="es-ES"/>
        </w:rPr>
        <w:t>or norma de carácter general que expida la Junta de Política y Regulación Monetaria y Financiera.</w:t>
      </w:r>
      <w:r>
        <w:rPr>
          <w:rFonts w:eastAsia="Times New Roman"/>
          <w:sz w:val="30"/>
          <w:szCs w:val="30"/>
          <w:lang w:val="es-ES"/>
        </w:rPr>
        <w:br/>
      </w:r>
      <w:r>
        <w:rPr>
          <w:rFonts w:eastAsia="Times New Roman"/>
          <w:sz w:val="30"/>
          <w:szCs w:val="30"/>
          <w:lang w:val="es-ES"/>
        </w:rPr>
        <w:br/>
        <w:t>Cuando se comprometan recursos del Presupuesto General del Estado para los aumentos de capital suscrito y pagado, se requerirá dictamen previo del ente recto</w:t>
      </w:r>
      <w:r>
        <w:rPr>
          <w:rFonts w:eastAsia="Times New Roman"/>
          <w:sz w:val="30"/>
          <w:szCs w:val="30"/>
          <w:lang w:val="es-ES"/>
        </w:rPr>
        <w:t>r de las finanzas públicas.</w:t>
      </w:r>
      <w:r>
        <w:rPr>
          <w:rFonts w:eastAsia="Times New Roman"/>
          <w:sz w:val="30"/>
          <w:szCs w:val="30"/>
          <w:lang w:val="es-ES"/>
        </w:rPr>
        <w:br/>
      </w:r>
      <w:r>
        <w:rPr>
          <w:rFonts w:eastAsia="Times New Roman"/>
          <w:sz w:val="30"/>
          <w:szCs w:val="30"/>
          <w:lang w:val="es-ES"/>
        </w:rPr>
        <w:br/>
        <w:t>Los incrementos de capital serán notificados a la Superintendencia de Bancos para efectos de verificación y control.</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LAS OPERACIONES DEL SECTOR FINANCIERO PÚBLICO</w:t>
      </w:r>
    </w:p>
    <w:p w:rsidR="00000000" w:rsidRDefault="0018461E">
      <w:pPr>
        <w:divId w:val="1932280233"/>
        <w:rPr>
          <w:rFonts w:eastAsia="Times New Roman"/>
          <w:sz w:val="30"/>
          <w:szCs w:val="30"/>
          <w:lang w:val="es-ES"/>
        </w:rPr>
      </w:pPr>
      <w:r>
        <w:rPr>
          <w:rFonts w:eastAsia="Times New Roman"/>
          <w:sz w:val="30"/>
          <w:szCs w:val="30"/>
          <w:lang w:val="es-ES"/>
        </w:rPr>
        <w:t xml:space="preserve">Art. 383.- </w:t>
      </w:r>
      <w:r>
        <w:rPr>
          <w:rFonts w:eastAsia="Times New Roman"/>
          <w:b/>
          <w:bCs/>
          <w:sz w:val="30"/>
          <w:szCs w:val="30"/>
          <w:lang w:val="es-ES"/>
        </w:rPr>
        <w:t xml:space="preserve">Operaciones. </w:t>
      </w:r>
      <w:r>
        <w:rPr>
          <w:rFonts w:eastAsia="Times New Roman"/>
          <w:sz w:val="30"/>
          <w:szCs w:val="30"/>
          <w:lang w:val="es-ES"/>
        </w:rPr>
        <w:t>Las entidades financieras públicas podrán efectuar las operaciones activas, pasivas, contingentes y de servicios determinadas en el artículo 194, previa autorización del organismo de control pertinente.</w:t>
      </w:r>
      <w:r>
        <w:rPr>
          <w:rFonts w:eastAsia="Times New Roman"/>
          <w:sz w:val="30"/>
          <w:szCs w:val="30"/>
          <w:lang w:val="es-ES"/>
        </w:rPr>
        <w:br/>
      </w:r>
      <w:r>
        <w:rPr>
          <w:rFonts w:eastAsia="Times New Roman"/>
          <w:sz w:val="30"/>
          <w:szCs w:val="30"/>
          <w:lang w:val="es-ES"/>
        </w:rPr>
        <w:br/>
        <w:t xml:space="preserve">La identificación de las operaciones deberá constar </w:t>
      </w:r>
      <w:r>
        <w:rPr>
          <w:rFonts w:eastAsia="Times New Roman"/>
          <w:sz w:val="30"/>
          <w:szCs w:val="30"/>
          <w:lang w:val="es-ES"/>
        </w:rPr>
        <w:t xml:space="preserve">en la autorización </w:t>
      </w:r>
      <w:r>
        <w:rPr>
          <w:rFonts w:eastAsia="Times New Roman"/>
          <w:sz w:val="30"/>
          <w:szCs w:val="30"/>
          <w:lang w:val="es-ES"/>
        </w:rPr>
        <w:lastRenderedPageBreak/>
        <w:t>que expida el organismo de control, conforme lo dispuesto en el artículo 144.</w:t>
      </w:r>
      <w:r>
        <w:rPr>
          <w:rFonts w:eastAsia="Times New Roman"/>
          <w:sz w:val="30"/>
          <w:szCs w:val="30"/>
          <w:lang w:val="es-ES"/>
        </w:rPr>
        <w:br/>
      </w:r>
      <w:r>
        <w:rPr>
          <w:rFonts w:eastAsia="Times New Roman"/>
          <w:sz w:val="30"/>
          <w:szCs w:val="30"/>
          <w:lang w:val="es-ES"/>
        </w:rPr>
        <w:br/>
        <w:t>Para realizar aquellas operaciones no determinadas en este Código deberán obtener la autorización de la Junta de Política y Regulación Monetaria y Financiera.</w:t>
      </w:r>
      <w:r>
        <w:rPr>
          <w:rFonts w:eastAsia="Times New Roman"/>
          <w:sz w:val="30"/>
          <w:szCs w:val="30"/>
          <w:lang w:val="es-ES"/>
        </w:rPr>
        <w:br/>
      </w:r>
      <w:r>
        <w:rPr>
          <w:rFonts w:eastAsia="Times New Roman"/>
          <w:sz w:val="30"/>
          <w:szCs w:val="30"/>
          <w:lang w:val="es-ES"/>
        </w:rPr>
        <w:br/>
        <w:t>Las entidades financieras públicas, antes del inicio de operaciones, deberán obtener del organismo de control el respectivo permiso de funcionamiento, de acuerdo con el trámite que se establezca para el efecto.</w:t>
      </w:r>
    </w:p>
    <w:p w:rsidR="00000000" w:rsidRDefault="0018461E">
      <w:pPr>
        <w:divId w:val="505052045"/>
        <w:rPr>
          <w:rFonts w:eastAsia="Times New Roman"/>
          <w:sz w:val="30"/>
          <w:szCs w:val="30"/>
          <w:lang w:val="es-ES"/>
        </w:rPr>
      </w:pPr>
      <w:r>
        <w:rPr>
          <w:rFonts w:eastAsia="Times New Roman"/>
          <w:sz w:val="30"/>
          <w:szCs w:val="30"/>
          <w:lang w:val="es-ES"/>
        </w:rPr>
        <w:t xml:space="preserve">Art. 384.- </w:t>
      </w:r>
      <w:r>
        <w:rPr>
          <w:rFonts w:eastAsia="Times New Roman"/>
          <w:b/>
          <w:bCs/>
          <w:sz w:val="30"/>
          <w:szCs w:val="30"/>
          <w:lang w:val="es-ES"/>
        </w:rPr>
        <w:t>Inversión en el capital de entid</w:t>
      </w:r>
      <w:r>
        <w:rPr>
          <w:rFonts w:eastAsia="Times New Roman"/>
          <w:b/>
          <w:bCs/>
          <w:sz w:val="30"/>
          <w:szCs w:val="30"/>
          <w:lang w:val="es-ES"/>
        </w:rPr>
        <w:t xml:space="preserve">ades financieras privadas, de seguros y valores. </w:t>
      </w:r>
      <w:r>
        <w:rPr>
          <w:rFonts w:eastAsia="Times New Roman"/>
          <w:sz w:val="30"/>
          <w:szCs w:val="30"/>
          <w:lang w:val="es-ES"/>
        </w:rPr>
        <w:t>Las entidades financieras públicas que a la fecha de vigencia de este Código posean inversiones en el capital de entidades financieras de derecho privado, de seguros y valores por un porcentaje superior al 5</w:t>
      </w:r>
      <w:r>
        <w:rPr>
          <w:rFonts w:eastAsia="Times New Roman"/>
          <w:sz w:val="30"/>
          <w:szCs w:val="30"/>
          <w:lang w:val="es-ES"/>
        </w:rPr>
        <w:t>0% del capital, podrán mantener dichas inversiones de conformidad con las regulaciones que dicte la Junta de Política y Regulación Monetaria y Financiera en cuyo caso deberán consolidar sus estados financieros.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LAS PROHIBICIONES Y EXENCIONES</w:t>
      </w:r>
    </w:p>
    <w:p w:rsidR="00000000" w:rsidRDefault="0018461E">
      <w:pPr>
        <w:divId w:val="174804591"/>
        <w:rPr>
          <w:rFonts w:eastAsia="Times New Roman"/>
          <w:sz w:val="30"/>
          <w:szCs w:val="30"/>
          <w:lang w:val="es-ES"/>
        </w:rPr>
      </w:pPr>
      <w:r>
        <w:rPr>
          <w:rFonts w:eastAsia="Times New Roman"/>
          <w:b/>
          <w:bCs/>
          <w:sz w:val="30"/>
          <w:szCs w:val="30"/>
          <w:lang w:val="es-ES"/>
        </w:rPr>
        <w:t xml:space="preserve">Art. 385.- </w:t>
      </w:r>
      <w:r>
        <w:rPr>
          <w:rFonts w:eastAsia="Times New Roman"/>
          <w:sz w:val="30"/>
          <w:szCs w:val="30"/>
          <w:lang w:val="es-ES"/>
        </w:rPr>
        <w:t>Prohibiciones. Se prohíbe a las entidades financieras públicas:</w:t>
      </w:r>
      <w:r>
        <w:rPr>
          <w:rFonts w:eastAsia="Times New Roman"/>
          <w:sz w:val="30"/>
          <w:szCs w:val="30"/>
          <w:lang w:val="es-ES"/>
        </w:rPr>
        <w:br/>
      </w:r>
      <w:r>
        <w:rPr>
          <w:rFonts w:eastAsia="Times New Roman"/>
          <w:sz w:val="30"/>
          <w:szCs w:val="30"/>
          <w:lang w:val="es-ES"/>
        </w:rPr>
        <w:br/>
        <w:t>1. Efectuar operaciones de crédito que no se enmarquen en la política pública dispuesta para la entidad o en las regulaciones que emita la Junta de Política y Regulación Monetaria</w:t>
      </w:r>
      <w:r>
        <w:rPr>
          <w:rFonts w:eastAsia="Times New Roman"/>
          <w:sz w:val="30"/>
          <w:szCs w:val="30"/>
          <w:lang w:val="es-ES"/>
        </w:rPr>
        <w:t xml:space="preserve"> y Financiera;</w:t>
      </w:r>
      <w:r>
        <w:rPr>
          <w:rFonts w:eastAsia="Times New Roman"/>
          <w:sz w:val="30"/>
          <w:szCs w:val="30"/>
          <w:lang w:val="es-ES"/>
        </w:rPr>
        <w:br/>
      </w:r>
      <w:r>
        <w:rPr>
          <w:rFonts w:eastAsia="Times New Roman"/>
          <w:sz w:val="30"/>
          <w:szCs w:val="30"/>
          <w:lang w:val="es-ES"/>
        </w:rPr>
        <w:br/>
        <w:t>2. Solicitar garantías reales para las operaciones cuyo monto sea inferior al determinado para el efecto por la Junta;</w:t>
      </w:r>
      <w:r>
        <w:rPr>
          <w:rFonts w:eastAsia="Times New Roman"/>
          <w:sz w:val="30"/>
          <w:szCs w:val="30"/>
          <w:lang w:val="es-ES"/>
        </w:rPr>
        <w:br/>
      </w:r>
      <w:r>
        <w:rPr>
          <w:rFonts w:eastAsia="Times New Roman"/>
          <w:sz w:val="30"/>
          <w:szCs w:val="30"/>
          <w:lang w:val="es-ES"/>
        </w:rPr>
        <w:br/>
        <w:t>3. Condonar deudas;</w:t>
      </w:r>
      <w:r>
        <w:rPr>
          <w:rFonts w:eastAsia="Times New Roman"/>
          <w:sz w:val="30"/>
          <w:szCs w:val="30"/>
          <w:lang w:val="es-ES"/>
        </w:rPr>
        <w:br/>
      </w:r>
      <w:r>
        <w:rPr>
          <w:rFonts w:eastAsia="Times New Roman"/>
          <w:sz w:val="30"/>
          <w:szCs w:val="30"/>
          <w:lang w:val="es-ES"/>
        </w:rPr>
        <w:br/>
        <w:t>4. Donar recursos a las personas de derecho privado. Se exceptúa de esta prohibición el uso de recu</w:t>
      </w:r>
      <w:r>
        <w:rPr>
          <w:rFonts w:eastAsia="Times New Roman"/>
          <w:sz w:val="30"/>
          <w:szCs w:val="30"/>
          <w:lang w:val="es-ES"/>
        </w:rPr>
        <w:t>rsos del Presupuesto General del Estado en el marco de lo dispuesto en el artículo 104 del Código Orgánico de Planificación y Finanzas Públicas;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Las demás que establezca este Código.</w:t>
      </w:r>
      <w:r>
        <w:rPr>
          <w:rFonts w:eastAsia="Times New Roman"/>
          <w:sz w:val="30"/>
          <w:szCs w:val="30"/>
          <w:lang w:val="es-ES"/>
        </w:rPr>
        <w:br/>
      </w:r>
      <w:r>
        <w:rPr>
          <w:rFonts w:eastAsia="Times New Roman"/>
          <w:sz w:val="30"/>
          <w:szCs w:val="30"/>
          <w:lang w:val="es-ES"/>
        </w:rPr>
        <w:br/>
        <w:t xml:space="preserve">La inobservancia de las prohibiciones señaladas en los numerales </w:t>
      </w:r>
      <w:r>
        <w:rPr>
          <w:rFonts w:eastAsia="Times New Roman"/>
          <w:sz w:val="30"/>
          <w:szCs w:val="30"/>
          <w:lang w:val="es-ES"/>
        </w:rPr>
        <w:t>1, 2 y 3 serán sancionadas como infracciones muy graves y la inobservancia del numeral 4 será sancionada como infracción grave.</w:t>
      </w:r>
    </w:p>
    <w:p w:rsidR="00000000" w:rsidRDefault="0018461E">
      <w:pPr>
        <w:divId w:val="402021268"/>
        <w:rPr>
          <w:rFonts w:eastAsia="Times New Roman"/>
          <w:sz w:val="30"/>
          <w:szCs w:val="30"/>
          <w:lang w:val="es-ES"/>
        </w:rPr>
      </w:pPr>
      <w:r>
        <w:rPr>
          <w:rFonts w:eastAsia="Times New Roman"/>
          <w:sz w:val="30"/>
          <w:szCs w:val="30"/>
          <w:lang w:val="es-ES"/>
        </w:rPr>
        <w:t xml:space="preserve">Art. 386.- </w:t>
      </w:r>
      <w:r>
        <w:rPr>
          <w:rFonts w:eastAsia="Times New Roman"/>
          <w:b/>
          <w:bCs/>
          <w:sz w:val="30"/>
          <w:szCs w:val="30"/>
          <w:lang w:val="es-ES"/>
        </w:rPr>
        <w:t xml:space="preserve">Privilegios y prerrogativas. </w:t>
      </w:r>
      <w:r>
        <w:rPr>
          <w:rFonts w:eastAsia="Times New Roman"/>
          <w:sz w:val="30"/>
          <w:szCs w:val="30"/>
          <w:lang w:val="es-ES"/>
        </w:rPr>
        <w:t>Las entidades financieras públicas y el Banco Central del Ecuador, en lo que corresponda</w:t>
      </w:r>
      <w:r>
        <w:rPr>
          <w:rFonts w:eastAsia="Times New Roman"/>
          <w:sz w:val="30"/>
          <w:szCs w:val="30"/>
          <w:lang w:val="es-ES"/>
        </w:rPr>
        <w:t>, gozarán de las siguientes exenciones:</w:t>
      </w:r>
      <w:r>
        <w:rPr>
          <w:rFonts w:eastAsia="Times New Roman"/>
          <w:sz w:val="30"/>
          <w:szCs w:val="30"/>
          <w:lang w:val="es-ES"/>
        </w:rPr>
        <w:br/>
      </w:r>
      <w:r>
        <w:rPr>
          <w:rFonts w:eastAsia="Times New Roman"/>
          <w:sz w:val="30"/>
          <w:szCs w:val="30"/>
          <w:lang w:val="es-ES"/>
        </w:rPr>
        <w:br/>
        <w:t>1. Del pago en sus actos y contratos de toda clase de impuestos fiscales, municipales y especiales con excepción del impuesto al valor agregado por servicios;</w:t>
      </w:r>
      <w:r>
        <w:rPr>
          <w:rFonts w:eastAsia="Times New Roman"/>
          <w:sz w:val="30"/>
          <w:szCs w:val="30"/>
          <w:lang w:val="es-ES"/>
        </w:rPr>
        <w:br/>
      </w:r>
      <w:r>
        <w:rPr>
          <w:rFonts w:eastAsia="Times New Roman"/>
          <w:sz w:val="30"/>
          <w:szCs w:val="30"/>
          <w:lang w:val="es-ES"/>
        </w:rPr>
        <w:br/>
        <w:t>2. Del pago de impuestos por la emisión de títulos y ob</w:t>
      </w:r>
      <w:r>
        <w:rPr>
          <w:rFonts w:eastAsia="Times New Roman"/>
          <w:sz w:val="30"/>
          <w:szCs w:val="30"/>
          <w:lang w:val="es-ES"/>
        </w:rPr>
        <w:t>ligaciones de carácter financiero;</w:t>
      </w:r>
      <w:r>
        <w:rPr>
          <w:rFonts w:eastAsia="Times New Roman"/>
          <w:sz w:val="30"/>
          <w:szCs w:val="30"/>
          <w:lang w:val="es-ES"/>
        </w:rPr>
        <w:br/>
      </w:r>
      <w:r>
        <w:rPr>
          <w:rFonts w:eastAsia="Times New Roman"/>
          <w:sz w:val="30"/>
          <w:szCs w:val="30"/>
          <w:lang w:val="es-ES"/>
        </w:rPr>
        <w:br/>
        <w:t>3. Del impuesto de alcabala, de registro y sus respectivos adicionales por las transferencias de dominio de bienes inmuebles en las que intervengan; y,</w:t>
      </w:r>
      <w:r>
        <w:rPr>
          <w:rFonts w:eastAsia="Times New Roman"/>
          <w:sz w:val="30"/>
          <w:szCs w:val="30"/>
          <w:lang w:val="es-ES"/>
        </w:rPr>
        <w:br/>
      </w:r>
      <w:r>
        <w:rPr>
          <w:rFonts w:eastAsia="Times New Roman"/>
          <w:sz w:val="30"/>
          <w:szCs w:val="30"/>
          <w:lang w:val="es-ES"/>
        </w:rPr>
        <w:br/>
        <w:t>4. Las demás que la ley concede a las instituciones de derecho públ</w:t>
      </w:r>
      <w:r>
        <w:rPr>
          <w:rFonts w:eastAsia="Times New Roman"/>
          <w:sz w:val="30"/>
          <w:szCs w:val="30"/>
          <w:lang w:val="es-ES"/>
        </w:rPr>
        <w:t>ico.</w:t>
      </w:r>
      <w:r>
        <w:rPr>
          <w:rFonts w:eastAsia="Times New Roman"/>
          <w:sz w:val="30"/>
          <w:szCs w:val="30"/>
          <w:lang w:val="es-ES"/>
        </w:rPr>
        <w:br/>
      </w:r>
      <w:r>
        <w:rPr>
          <w:rFonts w:eastAsia="Times New Roman"/>
          <w:sz w:val="30"/>
          <w:szCs w:val="30"/>
          <w:lang w:val="es-ES"/>
        </w:rPr>
        <w:br/>
        <w:t>Las entidades del sector financiero público gozarán de los beneficios y privilegios civiles, mercantiles, procesales y de cualquier otra naturaleza que correspondan a las entidades financieras que operan en el país.</w:t>
      </w:r>
      <w:r>
        <w:rPr>
          <w:rFonts w:eastAsia="Times New Roman"/>
          <w:sz w:val="30"/>
          <w:szCs w:val="30"/>
          <w:lang w:val="es-ES"/>
        </w:rPr>
        <w:br/>
      </w:r>
      <w:r>
        <w:rPr>
          <w:rFonts w:eastAsia="Times New Roman"/>
          <w:sz w:val="30"/>
          <w:szCs w:val="30"/>
          <w:lang w:val="es-ES"/>
        </w:rPr>
        <w:br/>
        <w:t>La prescripción de las acciones p</w:t>
      </w:r>
      <w:r>
        <w:rPr>
          <w:rFonts w:eastAsia="Times New Roman"/>
          <w:sz w:val="30"/>
          <w:szCs w:val="30"/>
          <w:lang w:val="es-ES"/>
        </w:rPr>
        <w:t>ara la recuperación de sus créditos, se operarán en el doble del tiempo establecido para la prescripción de las acciones en general.</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DEL CONTROL Y DE LA AUDITORÍA INTERNA</w:t>
      </w:r>
    </w:p>
    <w:p w:rsidR="00000000" w:rsidRDefault="0018461E">
      <w:pPr>
        <w:divId w:val="1667780019"/>
        <w:rPr>
          <w:rFonts w:eastAsia="Times New Roman"/>
          <w:sz w:val="30"/>
          <w:szCs w:val="30"/>
          <w:lang w:val="es-ES"/>
        </w:rPr>
      </w:pPr>
      <w:r>
        <w:rPr>
          <w:rFonts w:eastAsia="Times New Roman"/>
          <w:sz w:val="30"/>
          <w:szCs w:val="30"/>
          <w:lang w:val="es-ES"/>
        </w:rPr>
        <w:t xml:space="preserve">Art. 387.- </w:t>
      </w:r>
      <w:r>
        <w:rPr>
          <w:rFonts w:eastAsia="Times New Roman"/>
          <w:b/>
          <w:bCs/>
          <w:sz w:val="30"/>
          <w:szCs w:val="30"/>
          <w:lang w:val="es-ES"/>
        </w:rPr>
        <w:t xml:space="preserve">Control. </w:t>
      </w:r>
      <w:r>
        <w:rPr>
          <w:rFonts w:eastAsia="Times New Roman"/>
          <w:sz w:val="30"/>
          <w:szCs w:val="30"/>
          <w:lang w:val="es-ES"/>
        </w:rPr>
        <w:t>(Reformado por la Disposición Derogatoria Única de la Ley s/n, R.O. 598-3S, 30-IX-2015).-</w:t>
      </w:r>
      <w:r>
        <w:rPr>
          <w:rFonts w:eastAsia="Times New Roman"/>
          <w:b/>
          <w:bCs/>
          <w:sz w:val="30"/>
          <w:szCs w:val="30"/>
          <w:lang w:val="es-ES"/>
        </w:rPr>
        <w:t xml:space="preserve"> </w:t>
      </w:r>
      <w:r>
        <w:rPr>
          <w:rFonts w:eastAsia="Times New Roman"/>
          <w:sz w:val="30"/>
          <w:szCs w:val="30"/>
          <w:lang w:val="es-ES"/>
        </w:rPr>
        <w:t xml:space="preserve">La Superintendencia de Bancos tendrá a su cargo el control de las actividades financieras de las entidades del sector financiero público, con excepción de la entidad </w:t>
      </w:r>
      <w:r>
        <w:rPr>
          <w:rFonts w:eastAsia="Times New Roman"/>
          <w:sz w:val="30"/>
          <w:szCs w:val="30"/>
          <w:lang w:val="es-ES"/>
        </w:rPr>
        <w:t xml:space="preserve">financiera pública a la que se refiere la Ley de Economía </w:t>
      </w:r>
      <w:r>
        <w:rPr>
          <w:rFonts w:eastAsia="Times New Roman"/>
          <w:sz w:val="30"/>
          <w:szCs w:val="30"/>
          <w:lang w:val="es-ES"/>
        </w:rPr>
        <w:lastRenderedPageBreak/>
        <w:t>Popular y Solidaria, que estará a cargo del control de la Superintendencia de la Economía Popular y Solidaria.</w:t>
      </w:r>
      <w:r>
        <w:rPr>
          <w:rFonts w:eastAsia="Times New Roman"/>
          <w:sz w:val="30"/>
          <w:szCs w:val="30"/>
          <w:lang w:val="es-ES"/>
        </w:rPr>
        <w:br/>
      </w:r>
      <w:r>
        <w:rPr>
          <w:rFonts w:eastAsia="Times New Roman"/>
          <w:sz w:val="30"/>
          <w:szCs w:val="30"/>
          <w:lang w:val="es-ES"/>
        </w:rPr>
        <w:br/>
        <w:t>La Superintendencia de la Economía Popular y Solidaria, tendrá a su cargo el control d</w:t>
      </w:r>
      <w:r>
        <w:rPr>
          <w:rFonts w:eastAsia="Times New Roman"/>
          <w:sz w:val="30"/>
          <w:szCs w:val="30"/>
          <w:lang w:val="es-ES"/>
        </w:rPr>
        <w:t>e las actividades financieras de las entidades del Sector Financiero Popular y Solidario.</w:t>
      </w:r>
      <w:r>
        <w:rPr>
          <w:rFonts w:eastAsia="Times New Roman"/>
          <w:sz w:val="30"/>
          <w:szCs w:val="30"/>
          <w:lang w:val="es-ES"/>
        </w:rPr>
        <w:br/>
      </w:r>
      <w:r>
        <w:rPr>
          <w:rFonts w:eastAsia="Times New Roman"/>
          <w:sz w:val="30"/>
          <w:szCs w:val="30"/>
          <w:lang w:val="es-ES"/>
        </w:rPr>
        <w:br/>
        <w:t>En el caso de que el organismo de control presuma el cometimiento de un delito de acción penal pública, denunciará los antecedentes al Fiscal General del Estado, a l</w:t>
      </w:r>
      <w:r>
        <w:rPr>
          <w:rFonts w:eastAsia="Times New Roman"/>
          <w:sz w:val="30"/>
          <w:szCs w:val="30"/>
          <w:lang w:val="es-ES"/>
        </w:rPr>
        <w:t>os fiscales distritales o agentes fiscales, según corresponda.</w:t>
      </w:r>
    </w:p>
    <w:p w:rsidR="00000000" w:rsidRDefault="0018461E">
      <w:pPr>
        <w:divId w:val="1733231917"/>
        <w:rPr>
          <w:rFonts w:eastAsia="Times New Roman"/>
          <w:sz w:val="30"/>
          <w:szCs w:val="30"/>
          <w:lang w:val="es-ES"/>
        </w:rPr>
      </w:pPr>
      <w:r>
        <w:rPr>
          <w:rFonts w:eastAsia="Times New Roman"/>
          <w:sz w:val="30"/>
          <w:szCs w:val="30"/>
          <w:lang w:val="es-ES"/>
        </w:rPr>
        <w:t xml:space="preserve">Art. 388.- </w:t>
      </w:r>
      <w:r>
        <w:rPr>
          <w:rFonts w:eastAsia="Times New Roman"/>
          <w:b/>
          <w:bCs/>
          <w:sz w:val="30"/>
          <w:szCs w:val="30"/>
          <w:lang w:val="es-ES"/>
        </w:rPr>
        <w:t xml:space="preserve">Ámbitos de control. </w:t>
      </w:r>
      <w:r>
        <w:rPr>
          <w:rFonts w:eastAsia="Times New Roman"/>
          <w:sz w:val="30"/>
          <w:szCs w:val="30"/>
          <w:lang w:val="es-ES"/>
        </w:rPr>
        <w:t>Los ámbitos de control de las superintendencias y de la Contraloría General del Estado estarán expresamente diferenciados, conforme con lo dispuesto en este Códig</w:t>
      </w:r>
      <w:r>
        <w:rPr>
          <w:rFonts w:eastAsia="Times New Roman"/>
          <w:sz w:val="30"/>
          <w:szCs w:val="30"/>
          <w:lang w:val="es-ES"/>
        </w:rPr>
        <w:t>o, evitando conflictos de competencia.</w:t>
      </w:r>
      <w:r>
        <w:rPr>
          <w:rFonts w:eastAsia="Times New Roman"/>
          <w:sz w:val="30"/>
          <w:szCs w:val="30"/>
          <w:lang w:val="es-ES"/>
        </w:rPr>
        <w:br/>
      </w:r>
      <w:r>
        <w:rPr>
          <w:rFonts w:eastAsia="Times New Roman"/>
          <w:sz w:val="30"/>
          <w:szCs w:val="30"/>
          <w:lang w:val="es-ES"/>
        </w:rPr>
        <w:br/>
        <w:t>Los actos de control, fiscalización, vigilancia y auditoría, así como las verificaciones, exámenes, evaluaciones, recomendaciones y resultados obtenidos fuera del ámbito y competencia de cada organismo de control, se</w:t>
      </w:r>
      <w:r>
        <w:rPr>
          <w:rFonts w:eastAsia="Times New Roman"/>
          <w:sz w:val="30"/>
          <w:szCs w:val="30"/>
          <w:lang w:val="es-ES"/>
        </w:rPr>
        <w:t>rán nulos de pleno derecho, careciendo de eficacia jurídica.</w:t>
      </w:r>
      <w:r>
        <w:rPr>
          <w:rFonts w:eastAsia="Times New Roman"/>
          <w:sz w:val="30"/>
          <w:szCs w:val="30"/>
          <w:lang w:val="es-ES"/>
        </w:rPr>
        <w:br/>
      </w:r>
      <w:r>
        <w:rPr>
          <w:rFonts w:eastAsia="Times New Roman"/>
          <w:sz w:val="30"/>
          <w:szCs w:val="30"/>
          <w:lang w:val="es-ES"/>
        </w:rPr>
        <w:br/>
        <w:t>La Contraloría General del Estado ejercerá el control externo de conformidad con su ley exclusivamente en el uso de recursos públicos en la gestión administrativa de las entidades del sector fin</w:t>
      </w:r>
      <w:r>
        <w:rPr>
          <w:rFonts w:eastAsia="Times New Roman"/>
          <w:sz w:val="30"/>
          <w:szCs w:val="30"/>
          <w:lang w:val="es-ES"/>
        </w:rPr>
        <w:t>anciero público. Este control no tiene alcance ni abarca las actividades financieras que ejecuta el sector financiero público. El control interno se efectuará por medio del auditor interno designado por la Contraloría General del Estado.</w:t>
      </w:r>
      <w:r>
        <w:rPr>
          <w:rFonts w:eastAsia="Times New Roman"/>
          <w:sz w:val="30"/>
          <w:szCs w:val="30"/>
          <w:lang w:val="es-ES"/>
        </w:rPr>
        <w:br/>
      </w:r>
      <w:r>
        <w:rPr>
          <w:rFonts w:eastAsia="Times New Roman"/>
          <w:sz w:val="30"/>
          <w:szCs w:val="30"/>
          <w:lang w:val="es-ES"/>
        </w:rPr>
        <w:br/>
        <w:t>Los conflictos de</w:t>
      </w:r>
      <w:r>
        <w:rPr>
          <w:rFonts w:eastAsia="Times New Roman"/>
          <w:sz w:val="30"/>
          <w:szCs w:val="30"/>
          <w:lang w:val="es-ES"/>
        </w:rPr>
        <w:t xml:space="preserve"> competencia en materia de control de las entidades financieras públicas serán resueltos por la Corte Constitucional.</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5 </w:t>
      </w:r>
      <w:r>
        <w:rPr>
          <w:rFonts w:eastAsia="Times New Roman"/>
          <w:b/>
          <w:bCs/>
          <w:sz w:val="36"/>
          <w:szCs w:val="36"/>
          <w:lang w:val="es-ES"/>
        </w:rPr>
        <w:br/>
        <w:t>SECTOR FINANCIERO PRIVADO</w:t>
      </w:r>
    </w:p>
    <w:p w:rsidR="00000000" w:rsidRDefault="0018461E">
      <w:pPr>
        <w:jc w:val="center"/>
        <w:rPr>
          <w:rFonts w:eastAsia="Times New Roman"/>
          <w:sz w:val="36"/>
          <w:szCs w:val="36"/>
          <w:lang w:val="es-ES"/>
        </w:rPr>
      </w:pPr>
      <w:r>
        <w:rPr>
          <w:rFonts w:eastAsia="Times New Roman"/>
          <w:b/>
          <w:bCs/>
          <w:sz w:val="36"/>
          <w:szCs w:val="36"/>
          <w:lang w:val="es-ES"/>
        </w:rPr>
        <w:br/>
        <w:t>Sección 1</w:t>
      </w:r>
      <w:r>
        <w:rPr>
          <w:rFonts w:eastAsia="Times New Roman"/>
          <w:b/>
          <w:bCs/>
          <w:sz w:val="36"/>
          <w:szCs w:val="36"/>
          <w:lang w:val="es-ES"/>
        </w:rPr>
        <w:br/>
        <w:t>CONSTITUCIÓN, DENOMINACIÓN, ORGANIZACIÓN Y LIQUIDACIÓN</w:t>
      </w:r>
    </w:p>
    <w:p w:rsidR="00000000" w:rsidRDefault="0018461E">
      <w:pPr>
        <w:divId w:val="605383322"/>
        <w:rPr>
          <w:rFonts w:eastAsia="Times New Roman"/>
          <w:sz w:val="30"/>
          <w:szCs w:val="30"/>
          <w:lang w:val="es-ES"/>
        </w:rPr>
      </w:pPr>
      <w:r>
        <w:rPr>
          <w:rFonts w:eastAsia="Times New Roman"/>
          <w:sz w:val="30"/>
          <w:szCs w:val="30"/>
          <w:lang w:val="es-ES"/>
        </w:rPr>
        <w:lastRenderedPageBreak/>
        <w:t xml:space="preserve">Art. 389.- </w:t>
      </w:r>
      <w:r>
        <w:rPr>
          <w:rFonts w:eastAsia="Times New Roman"/>
          <w:b/>
          <w:bCs/>
          <w:sz w:val="30"/>
          <w:szCs w:val="30"/>
          <w:lang w:val="es-ES"/>
        </w:rPr>
        <w:t xml:space="preserve">Constitución. </w:t>
      </w:r>
      <w:r>
        <w:rPr>
          <w:rFonts w:eastAsia="Times New Roman"/>
          <w:sz w:val="30"/>
          <w:szCs w:val="30"/>
          <w:lang w:val="es-ES"/>
        </w:rPr>
        <w:t>Las enti</w:t>
      </w:r>
      <w:r>
        <w:rPr>
          <w:rFonts w:eastAsia="Times New Roman"/>
          <w:sz w:val="30"/>
          <w:szCs w:val="30"/>
          <w:lang w:val="es-ES"/>
        </w:rPr>
        <w:t>dades del sector financiero privado se constituirán ante la Superintendencia de Bancos como sociedades anónimas, de conformidad con el presente Código, con un mínimo de dos promotores.</w:t>
      </w:r>
      <w:r>
        <w:rPr>
          <w:rFonts w:eastAsia="Times New Roman"/>
          <w:sz w:val="30"/>
          <w:szCs w:val="30"/>
          <w:lang w:val="es-ES"/>
        </w:rPr>
        <w:br/>
      </w:r>
      <w:r>
        <w:rPr>
          <w:rFonts w:eastAsia="Times New Roman"/>
          <w:sz w:val="30"/>
          <w:szCs w:val="30"/>
          <w:lang w:val="es-ES"/>
        </w:rPr>
        <w:br/>
        <w:t>Se podrá constituir una entidad financiera privada por iniciativa de l</w:t>
      </w:r>
      <w:r>
        <w:rPr>
          <w:rFonts w:eastAsia="Times New Roman"/>
          <w:sz w:val="30"/>
          <w:szCs w:val="30"/>
          <w:lang w:val="es-ES"/>
        </w:rPr>
        <w:t>os promotores interesados, fundadores o por promoción pública.</w:t>
      </w:r>
    </w:p>
    <w:p w:rsidR="00000000" w:rsidRDefault="0018461E">
      <w:pPr>
        <w:divId w:val="941687308"/>
        <w:rPr>
          <w:rFonts w:eastAsia="Times New Roman"/>
          <w:sz w:val="30"/>
          <w:szCs w:val="30"/>
          <w:lang w:val="es-ES"/>
        </w:rPr>
      </w:pPr>
      <w:r>
        <w:rPr>
          <w:rFonts w:eastAsia="Times New Roman"/>
          <w:sz w:val="30"/>
          <w:szCs w:val="30"/>
          <w:lang w:val="es-ES"/>
        </w:rPr>
        <w:t xml:space="preserve">Art. 390.- </w:t>
      </w:r>
      <w:r>
        <w:rPr>
          <w:rFonts w:eastAsia="Times New Roman"/>
          <w:b/>
          <w:bCs/>
          <w:sz w:val="30"/>
          <w:szCs w:val="30"/>
          <w:lang w:val="es-ES"/>
        </w:rPr>
        <w:t xml:space="preserve">Razón social y denominación comercial. </w:t>
      </w:r>
      <w:r>
        <w:rPr>
          <w:rFonts w:eastAsia="Times New Roman"/>
          <w:sz w:val="30"/>
          <w:szCs w:val="30"/>
          <w:lang w:val="es-ES"/>
        </w:rPr>
        <w:t>Para la constitución de una nueva entidad financiera privada, se requerirá contar previamente con la razón social, la que tendrá que ser reserv</w:t>
      </w:r>
      <w:r>
        <w:rPr>
          <w:rFonts w:eastAsia="Times New Roman"/>
          <w:sz w:val="30"/>
          <w:szCs w:val="30"/>
          <w:lang w:val="es-ES"/>
        </w:rPr>
        <w:t>ada y autorizada por la Superintendencia de Bancos. La razón social seleccionada por los promotores deberá asegurar su naturaleza e individualidad, a efectos de evitar confusiones. En la razón social se hará constar la clase de entidad que se pretende cons</w:t>
      </w:r>
      <w:r>
        <w:rPr>
          <w:rFonts w:eastAsia="Times New Roman"/>
          <w:sz w:val="30"/>
          <w:szCs w:val="30"/>
          <w:lang w:val="es-ES"/>
        </w:rPr>
        <w:t>tituir.</w:t>
      </w:r>
      <w:r>
        <w:rPr>
          <w:rFonts w:eastAsia="Times New Roman"/>
          <w:sz w:val="30"/>
          <w:szCs w:val="30"/>
          <w:lang w:val="es-ES"/>
        </w:rPr>
        <w:br/>
      </w:r>
      <w:r>
        <w:rPr>
          <w:rFonts w:eastAsia="Times New Roman"/>
          <w:sz w:val="30"/>
          <w:szCs w:val="30"/>
          <w:lang w:val="es-ES"/>
        </w:rPr>
        <w:br/>
        <w:t>Sin perjuicio de la razón social autorizada, las entidades podrán utilizar denominaciones comerciales autorizadas por la Superintendencia de Bancos. Las denominaciones comerciales solo podrán ser empleadas por las entidades autorizadas por la Supe</w:t>
      </w:r>
      <w:r>
        <w:rPr>
          <w:rFonts w:eastAsia="Times New Roman"/>
          <w:sz w:val="30"/>
          <w:szCs w:val="30"/>
          <w:lang w:val="es-ES"/>
        </w:rPr>
        <w:t>rintendencia de Bancos.</w:t>
      </w:r>
    </w:p>
    <w:p w:rsidR="00000000" w:rsidRDefault="0018461E">
      <w:pPr>
        <w:divId w:val="570388252"/>
        <w:rPr>
          <w:rFonts w:eastAsia="Times New Roman"/>
          <w:sz w:val="30"/>
          <w:szCs w:val="30"/>
          <w:lang w:val="es-ES"/>
        </w:rPr>
      </w:pPr>
      <w:r>
        <w:rPr>
          <w:rFonts w:eastAsia="Times New Roman"/>
          <w:sz w:val="30"/>
          <w:szCs w:val="30"/>
          <w:lang w:val="es-ES"/>
        </w:rPr>
        <w:t xml:space="preserve">Art. 391.- </w:t>
      </w:r>
      <w:r>
        <w:rPr>
          <w:rFonts w:eastAsia="Times New Roman"/>
          <w:b/>
          <w:bCs/>
          <w:sz w:val="30"/>
          <w:szCs w:val="30"/>
          <w:lang w:val="es-ES"/>
        </w:rPr>
        <w:t xml:space="preserve">Requisitos para la constitución. </w:t>
      </w:r>
      <w:r>
        <w:rPr>
          <w:rFonts w:eastAsia="Times New Roman"/>
          <w:sz w:val="30"/>
          <w:szCs w:val="30"/>
          <w:lang w:val="es-ES"/>
        </w:rPr>
        <w:t>Los promotores que pretendan constituir una entidad financiera privada deberán presentar, en los formatos determinados por el organismo de control, lo siguiente:</w:t>
      </w:r>
      <w:r>
        <w:rPr>
          <w:rFonts w:eastAsia="Times New Roman"/>
          <w:sz w:val="30"/>
          <w:szCs w:val="30"/>
          <w:lang w:val="es-ES"/>
        </w:rPr>
        <w:br/>
      </w:r>
      <w:r>
        <w:rPr>
          <w:rFonts w:eastAsia="Times New Roman"/>
          <w:sz w:val="30"/>
          <w:szCs w:val="30"/>
          <w:lang w:val="es-ES"/>
        </w:rPr>
        <w:br/>
        <w:t>1. Solicitud suscrita por</w:t>
      </w:r>
      <w:r>
        <w:rPr>
          <w:rFonts w:eastAsia="Times New Roman"/>
          <w:sz w:val="30"/>
          <w:szCs w:val="30"/>
          <w:lang w:val="es-ES"/>
        </w:rPr>
        <w:t xml:space="preserve"> los promotores, su apoderado o representante;</w:t>
      </w:r>
      <w:r>
        <w:rPr>
          <w:rFonts w:eastAsia="Times New Roman"/>
          <w:sz w:val="30"/>
          <w:szCs w:val="30"/>
          <w:lang w:val="es-ES"/>
        </w:rPr>
        <w:br/>
      </w:r>
      <w:r>
        <w:rPr>
          <w:rFonts w:eastAsia="Times New Roman"/>
          <w:sz w:val="30"/>
          <w:szCs w:val="30"/>
          <w:lang w:val="es-ES"/>
        </w:rPr>
        <w:br/>
        <w:t>2. Documentos en copia certificada que acrediten la identidad, idoneidad, responsabilidad y solvencia de los promotores;</w:t>
      </w:r>
      <w:r>
        <w:rPr>
          <w:rFonts w:eastAsia="Times New Roman"/>
          <w:sz w:val="30"/>
          <w:szCs w:val="30"/>
          <w:lang w:val="es-ES"/>
        </w:rPr>
        <w:br/>
      </w:r>
      <w:r>
        <w:rPr>
          <w:rFonts w:eastAsia="Times New Roman"/>
          <w:sz w:val="30"/>
          <w:szCs w:val="30"/>
          <w:lang w:val="es-ES"/>
        </w:rPr>
        <w:br/>
        <w:t>3. Documento que demuestre la reserva de la denominación o razón social;</w:t>
      </w:r>
      <w:r>
        <w:rPr>
          <w:rFonts w:eastAsia="Times New Roman"/>
          <w:sz w:val="30"/>
          <w:szCs w:val="30"/>
          <w:lang w:val="es-ES"/>
        </w:rPr>
        <w:br/>
      </w:r>
      <w:r>
        <w:rPr>
          <w:rFonts w:eastAsia="Times New Roman"/>
          <w:sz w:val="30"/>
          <w:szCs w:val="30"/>
          <w:lang w:val="es-ES"/>
        </w:rPr>
        <w:br/>
        <w:t>4. El estudi</w:t>
      </w:r>
      <w:r>
        <w:rPr>
          <w:rFonts w:eastAsia="Times New Roman"/>
          <w:sz w:val="30"/>
          <w:szCs w:val="30"/>
          <w:lang w:val="es-ES"/>
        </w:rPr>
        <w:t>o técnico suscrito por un profesional en la materia que contenga al menos lo siguiente: factibilidad económica-financiera de la entidad privada por constituirse y análisis de mercado que demuestre la viabilidad de su constitución e inserción, acorde con la</w:t>
      </w:r>
      <w:r>
        <w:rPr>
          <w:rFonts w:eastAsia="Times New Roman"/>
          <w:sz w:val="30"/>
          <w:szCs w:val="30"/>
          <w:lang w:val="es-ES"/>
        </w:rPr>
        <w:t xml:space="preserve"> capacidad y especialización escogida y su impacto en las otras entidades del sistema;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5. El proyecto de contrato de constitución, que debe incluir el estatuto social de la entidad, cuyo objeto social deberá ser específico, de conformidad con los modelos </w:t>
      </w:r>
      <w:r>
        <w:rPr>
          <w:rFonts w:eastAsia="Times New Roman"/>
          <w:sz w:val="30"/>
          <w:szCs w:val="30"/>
          <w:lang w:val="es-ES"/>
        </w:rPr>
        <w:t>de contrato de constitución y de estatuto social normados por la Superintendencia de Bancos; y,</w:t>
      </w:r>
      <w:r>
        <w:rPr>
          <w:rFonts w:eastAsia="Times New Roman"/>
          <w:sz w:val="30"/>
          <w:szCs w:val="30"/>
          <w:lang w:val="es-ES"/>
        </w:rPr>
        <w:br/>
      </w:r>
      <w:r>
        <w:rPr>
          <w:rFonts w:eastAsia="Times New Roman"/>
          <w:sz w:val="30"/>
          <w:szCs w:val="30"/>
          <w:lang w:val="es-ES"/>
        </w:rPr>
        <w:br/>
        <w:t>6. Acreditar en la cuenta de integración del capital, mediante el comprobante de depósito en cualquier banco, de por lo menos el 50% del capital mínimo requeri</w:t>
      </w:r>
      <w:r>
        <w:rPr>
          <w:rFonts w:eastAsia="Times New Roman"/>
          <w:sz w:val="30"/>
          <w:szCs w:val="30"/>
          <w:lang w:val="es-ES"/>
        </w:rPr>
        <w:t>do para la constitución. Este depósito se hará bajo una modalidad que devengue intereses.</w:t>
      </w:r>
      <w:r>
        <w:rPr>
          <w:rFonts w:eastAsia="Times New Roman"/>
          <w:sz w:val="30"/>
          <w:szCs w:val="30"/>
          <w:lang w:val="es-ES"/>
        </w:rPr>
        <w:br/>
      </w:r>
      <w:r>
        <w:rPr>
          <w:rFonts w:eastAsia="Times New Roman"/>
          <w:sz w:val="30"/>
          <w:szCs w:val="30"/>
          <w:lang w:val="es-ES"/>
        </w:rPr>
        <w:br/>
        <w:t>Las personas jurídicas que actúen como promotores, así como sus socios o accionistas personas naturales, serán calificados cuando su aporte a la entidad financiera p</w:t>
      </w:r>
      <w:r>
        <w:rPr>
          <w:rFonts w:eastAsia="Times New Roman"/>
          <w:sz w:val="30"/>
          <w:szCs w:val="30"/>
          <w:lang w:val="es-ES"/>
        </w:rPr>
        <w:t>or constituirse sea del 6% o más del capital.</w:t>
      </w:r>
    </w:p>
    <w:p w:rsidR="00000000" w:rsidRDefault="0018461E">
      <w:pPr>
        <w:divId w:val="785076572"/>
        <w:rPr>
          <w:rFonts w:eastAsia="Times New Roman"/>
          <w:sz w:val="30"/>
          <w:szCs w:val="30"/>
          <w:lang w:val="es-ES"/>
        </w:rPr>
      </w:pPr>
      <w:r>
        <w:rPr>
          <w:rFonts w:eastAsia="Times New Roman"/>
          <w:sz w:val="30"/>
          <w:szCs w:val="30"/>
          <w:lang w:val="es-ES"/>
        </w:rPr>
        <w:t xml:space="preserve">Art. 392.- </w:t>
      </w:r>
      <w:r>
        <w:rPr>
          <w:rFonts w:eastAsia="Times New Roman"/>
          <w:b/>
          <w:bCs/>
          <w:sz w:val="30"/>
          <w:szCs w:val="30"/>
          <w:lang w:val="es-ES"/>
        </w:rPr>
        <w:t xml:space="preserve">Capital mínimo para la constitución. </w:t>
      </w:r>
      <w:r>
        <w:rPr>
          <w:rFonts w:eastAsia="Times New Roman"/>
          <w:sz w:val="30"/>
          <w:szCs w:val="30"/>
          <w:lang w:val="es-ES"/>
        </w:rPr>
        <w:t>El capital de la entidad financiera privada estará dividido en acciones nominativas. El capital suscrito y pagado mínimo para la constitución de una entidad del s</w:t>
      </w:r>
      <w:r>
        <w:rPr>
          <w:rFonts w:eastAsia="Times New Roman"/>
          <w:sz w:val="30"/>
          <w:szCs w:val="30"/>
          <w:lang w:val="es-ES"/>
        </w:rPr>
        <w:t>ector financiero privado, es:</w:t>
      </w:r>
      <w:r>
        <w:rPr>
          <w:rFonts w:eastAsia="Times New Roman"/>
          <w:sz w:val="30"/>
          <w:szCs w:val="30"/>
          <w:lang w:val="es-ES"/>
        </w:rPr>
        <w:br/>
      </w:r>
      <w:r>
        <w:rPr>
          <w:rFonts w:eastAsia="Times New Roman"/>
          <w:sz w:val="30"/>
          <w:szCs w:val="30"/>
          <w:lang w:val="es-ES"/>
        </w:rPr>
        <w:br/>
        <w:t>1. Bancos: USD 11’000.000.00 (once millones de dólares de los Estados Unidos de América); y,</w:t>
      </w:r>
      <w:r>
        <w:rPr>
          <w:rFonts w:eastAsia="Times New Roman"/>
          <w:sz w:val="30"/>
          <w:szCs w:val="30"/>
          <w:lang w:val="es-ES"/>
        </w:rPr>
        <w:br/>
      </w:r>
      <w:r>
        <w:rPr>
          <w:rFonts w:eastAsia="Times New Roman"/>
          <w:sz w:val="30"/>
          <w:szCs w:val="30"/>
          <w:lang w:val="es-ES"/>
        </w:rPr>
        <w:br/>
        <w:t>2. El capital mínimo y su composición de las entidades de servicios financieros será determinado por la Junta de Política y Regulac</w:t>
      </w:r>
      <w:r>
        <w:rPr>
          <w:rFonts w:eastAsia="Times New Roman"/>
          <w:sz w:val="30"/>
          <w:szCs w:val="30"/>
          <w:lang w:val="es-ES"/>
        </w:rPr>
        <w:t>ión Monetaria y Financiera.</w:t>
      </w:r>
      <w:r>
        <w:rPr>
          <w:rFonts w:eastAsia="Times New Roman"/>
          <w:sz w:val="30"/>
          <w:szCs w:val="30"/>
          <w:lang w:val="es-ES"/>
        </w:rPr>
        <w:br/>
      </w:r>
      <w:r>
        <w:rPr>
          <w:rFonts w:eastAsia="Times New Roman"/>
          <w:sz w:val="30"/>
          <w:szCs w:val="30"/>
          <w:lang w:val="es-ES"/>
        </w:rPr>
        <w:br/>
        <w:t>Los aportes de capital de los bancos deberán pagarse totalmente en dinero, salvo que la Superintendencia de Bancos autorice que se capitalicen obligaciones por compensación de créditos.</w:t>
      </w:r>
      <w:r>
        <w:rPr>
          <w:rFonts w:eastAsia="Times New Roman"/>
          <w:sz w:val="30"/>
          <w:szCs w:val="30"/>
          <w:lang w:val="es-ES"/>
        </w:rPr>
        <w:br/>
      </w:r>
      <w:r>
        <w:rPr>
          <w:rFonts w:eastAsia="Times New Roman"/>
          <w:sz w:val="30"/>
          <w:szCs w:val="30"/>
          <w:lang w:val="es-ES"/>
        </w:rPr>
        <w:br/>
        <w:t>La Junta actualizará anualmente los valo</w:t>
      </w:r>
      <w:r>
        <w:rPr>
          <w:rFonts w:eastAsia="Times New Roman"/>
          <w:sz w:val="30"/>
          <w:szCs w:val="30"/>
          <w:lang w:val="es-ES"/>
        </w:rPr>
        <w:t>res establecidos en los numerales 1 y 2 de este artículo, usando para el efecto la variación del índice de precios al consumidor del año inmediatamente anterior.</w:t>
      </w:r>
    </w:p>
    <w:p w:rsidR="00000000" w:rsidRDefault="0018461E">
      <w:pPr>
        <w:divId w:val="1511917755"/>
        <w:rPr>
          <w:rFonts w:eastAsia="Times New Roman"/>
          <w:sz w:val="30"/>
          <w:szCs w:val="30"/>
          <w:lang w:val="es-ES"/>
        </w:rPr>
      </w:pPr>
      <w:r>
        <w:rPr>
          <w:rFonts w:eastAsia="Times New Roman"/>
          <w:sz w:val="30"/>
          <w:szCs w:val="30"/>
          <w:lang w:val="es-ES"/>
        </w:rPr>
        <w:t xml:space="preserve">Art. 393.- </w:t>
      </w:r>
      <w:r>
        <w:rPr>
          <w:rFonts w:eastAsia="Times New Roman"/>
          <w:b/>
          <w:bCs/>
          <w:sz w:val="30"/>
          <w:szCs w:val="30"/>
          <w:lang w:val="es-ES"/>
        </w:rPr>
        <w:t xml:space="preserve">Trámite para la constitución. </w:t>
      </w:r>
      <w:r>
        <w:rPr>
          <w:rFonts w:eastAsia="Times New Roman"/>
          <w:sz w:val="30"/>
          <w:szCs w:val="30"/>
          <w:lang w:val="es-ES"/>
        </w:rPr>
        <w:t>Una vez presentados los requisitos determinados en el</w:t>
      </w:r>
      <w:r>
        <w:rPr>
          <w:rFonts w:eastAsia="Times New Roman"/>
          <w:sz w:val="30"/>
          <w:szCs w:val="30"/>
          <w:lang w:val="es-ES"/>
        </w:rPr>
        <w:t xml:space="preserve"> artículo 391, la Superintendencia de Bancos procederá a efectuar la verificación, análisis, validación, evaluación y calificación de los requisitos y trámite de oposición, por parte de terceros, dentro del plazo de ciento ochenta días, y requerirá la no o</w:t>
      </w:r>
      <w:r>
        <w:rPr>
          <w:rFonts w:eastAsia="Times New Roman"/>
          <w:sz w:val="30"/>
          <w:szCs w:val="30"/>
          <w:lang w:val="es-ES"/>
        </w:rPr>
        <w:t xml:space="preserve">bjeción de la Junta de Política y Regulación Monetaria y Financiera sobre el impacto de la nueva entidad en el sistema. La </w:t>
      </w:r>
      <w:r>
        <w:rPr>
          <w:rFonts w:eastAsia="Times New Roman"/>
          <w:sz w:val="30"/>
          <w:szCs w:val="30"/>
          <w:lang w:val="es-ES"/>
        </w:rPr>
        <w:lastRenderedPageBreak/>
        <w:t>Superintendencia podrá requerir aclaraciones, documentación adicional o cualquier otra información que complemente los requisitos exi</w:t>
      </w:r>
      <w:r>
        <w:rPr>
          <w:rFonts w:eastAsia="Times New Roman"/>
          <w:sz w:val="30"/>
          <w:szCs w:val="30"/>
          <w:lang w:val="es-ES"/>
        </w:rPr>
        <w:t>gidos para la constitución.</w:t>
      </w:r>
    </w:p>
    <w:p w:rsidR="00000000" w:rsidRDefault="0018461E">
      <w:pPr>
        <w:divId w:val="70733951"/>
        <w:rPr>
          <w:rFonts w:eastAsia="Times New Roman"/>
          <w:sz w:val="30"/>
          <w:szCs w:val="30"/>
          <w:lang w:val="es-ES"/>
        </w:rPr>
      </w:pPr>
      <w:r>
        <w:rPr>
          <w:rFonts w:eastAsia="Times New Roman"/>
          <w:sz w:val="30"/>
          <w:szCs w:val="30"/>
          <w:lang w:val="es-ES"/>
        </w:rPr>
        <w:t xml:space="preserve">Art. 394.- </w:t>
      </w:r>
      <w:r>
        <w:rPr>
          <w:rFonts w:eastAsia="Times New Roman"/>
          <w:b/>
          <w:bCs/>
          <w:sz w:val="30"/>
          <w:szCs w:val="30"/>
          <w:lang w:val="es-ES"/>
        </w:rPr>
        <w:t xml:space="preserve">Causas para negar la constitución. </w:t>
      </w:r>
      <w:r>
        <w:rPr>
          <w:rFonts w:eastAsia="Times New Roman"/>
          <w:sz w:val="30"/>
          <w:szCs w:val="30"/>
          <w:lang w:val="es-ES"/>
        </w:rPr>
        <w:t>La Superintendencia de Bancos podrá negar la constitución de una entidad financiera privada por las siguientes causas, si no hubieran sido subsanadas:</w:t>
      </w:r>
      <w:r>
        <w:rPr>
          <w:rFonts w:eastAsia="Times New Roman"/>
          <w:sz w:val="30"/>
          <w:szCs w:val="30"/>
          <w:lang w:val="es-ES"/>
        </w:rPr>
        <w:br/>
      </w:r>
      <w:r>
        <w:rPr>
          <w:rFonts w:eastAsia="Times New Roman"/>
          <w:sz w:val="30"/>
          <w:szCs w:val="30"/>
          <w:lang w:val="es-ES"/>
        </w:rPr>
        <w:br/>
        <w:t>1. Incumplir los requisitos de</w:t>
      </w:r>
      <w:r>
        <w:rPr>
          <w:rFonts w:eastAsia="Times New Roman"/>
          <w:sz w:val="30"/>
          <w:szCs w:val="30"/>
          <w:lang w:val="es-ES"/>
        </w:rPr>
        <w:t>l artículo 391 para la constitución;</w:t>
      </w:r>
      <w:r>
        <w:rPr>
          <w:rFonts w:eastAsia="Times New Roman"/>
          <w:sz w:val="30"/>
          <w:szCs w:val="30"/>
          <w:lang w:val="es-ES"/>
        </w:rPr>
        <w:br/>
      </w:r>
      <w:r>
        <w:rPr>
          <w:rFonts w:eastAsia="Times New Roman"/>
          <w:sz w:val="30"/>
          <w:szCs w:val="30"/>
          <w:lang w:val="es-ES"/>
        </w:rPr>
        <w:br/>
        <w:t>2. Por moratoria declarada de conformidad con lo dispuesto en el artículo 14 numeral 26;</w:t>
      </w:r>
      <w:r>
        <w:rPr>
          <w:rFonts w:eastAsia="Times New Roman"/>
          <w:sz w:val="30"/>
          <w:szCs w:val="30"/>
          <w:lang w:val="es-ES"/>
        </w:rPr>
        <w:br/>
      </w:r>
      <w:r>
        <w:rPr>
          <w:rFonts w:eastAsia="Times New Roman"/>
          <w:sz w:val="30"/>
          <w:szCs w:val="30"/>
          <w:lang w:val="es-ES"/>
        </w:rPr>
        <w:br/>
        <w:t>3. La objeción de la Junta de Política y Regulación Monetaria y Financiera sobre la constitución de la nueva entidad; y,</w:t>
      </w:r>
      <w:r>
        <w:rPr>
          <w:rFonts w:eastAsia="Times New Roman"/>
          <w:sz w:val="30"/>
          <w:szCs w:val="30"/>
          <w:lang w:val="es-ES"/>
        </w:rPr>
        <w:br/>
      </w:r>
      <w:r>
        <w:rPr>
          <w:rFonts w:eastAsia="Times New Roman"/>
          <w:sz w:val="30"/>
          <w:szCs w:val="30"/>
          <w:lang w:val="es-ES"/>
        </w:rPr>
        <w:br/>
        <w:t>4. Hab</w:t>
      </w:r>
      <w:r>
        <w:rPr>
          <w:rFonts w:eastAsia="Times New Roman"/>
          <w:sz w:val="30"/>
          <w:szCs w:val="30"/>
          <w:lang w:val="es-ES"/>
        </w:rPr>
        <w:t>erse presentado oposición por parte de un tercero, aceptada por la Superintendencia de Bancos.</w:t>
      </w:r>
    </w:p>
    <w:p w:rsidR="00000000" w:rsidRDefault="0018461E">
      <w:pPr>
        <w:divId w:val="1033993938"/>
        <w:rPr>
          <w:rFonts w:eastAsia="Times New Roman"/>
          <w:sz w:val="30"/>
          <w:szCs w:val="30"/>
          <w:lang w:val="es-ES"/>
        </w:rPr>
      </w:pPr>
      <w:r>
        <w:rPr>
          <w:rFonts w:eastAsia="Times New Roman"/>
          <w:sz w:val="30"/>
          <w:szCs w:val="30"/>
          <w:lang w:val="es-ES"/>
        </w:rPr>
        <w:t xml:space="preserve">Art. 395.- </w:t>
      </w:r>
      <w:r>
        <w:rPr>
          <w:rFonts w:eastAsia="Times New Roman"/>
          <w:b/>
          <w:bCs/>
          <w:sz w:val="30"/>
          <w:szCs w:val="30"/>
          <w:lang w:val="es-ES"/>
        </w:rPr>
        <w:t xml:space="preserve">Aprobación de la constitución. </w:t>
      </w:r>
      <w:r>
        <w:rPr>
          <w:rFonts w:eastAsia="Times New Roman"/>
          <w:sz w:val="30"/>
          <w:szCs w:val="30"/>
          <w:lang w:val="es-ES"/>
        </w:rPr>
        <w:t>Cumplido el trámite de constitución, el organismo de control aprobará la constitución de la nueva entidad financiera pr</w:t>
      </w:r>
      <w:r>
        <w:rPr>
          <w:rFonts w:eastAsia="Times New Roman"/>
          <w:sz w:val="30"/>
          <w:szCs w:val="30"/>
          <w:lang w:val="es-ES"/>
        </w:rPr>
        <w:t>ivada y dispondrá las marginaciones y registros correspondientes.</w:t>
      </w:r>
      <w:r>
        <w:rPr>
          <w:rFonts w:eastAsia="Times New Roman"/>
          <w:sz w:val="30"/>
          <w:szCs w:val="30"/>
          <w:lang w:val="es-ES"/>
        </w:rPr>
        <w:br/>
      </w:r>
      <w:r>
        <w:rPr>
          <w:rFonts w:eastAsia="Times New Roman"/>
          <w:sz w:val="30"/>
          <w:szCs w:val="30"/>
          <w:lang w:val="es-ES"/>
        </w:rPr>
        <w:br/>
        <w:t>La nueva entidad financiera privada dispondrá del plazo de seis meses, contados desde la fecha de aprobación de la constitución, para implementar todas las acciones que sean necesarias para</w:t>
      </w:r>
      <w:r>
        <w:rPr>
          <w:rFonts w:eastAsia="Times New Roman"/>
          <w:sz w:val="30"/>
          <w:szCs w:val="30"/>
          <w:lang w:val="es-ES"/>
        </w:rPr>
        <w:t xml:space="preserve"> culminar el proceso de constitución e inicio de actividades. Para tales efectos deberá obtener la infraestructura física necesaria, conseguir la calificación de sus directores y de su representante legal, contar con la estructura organizacional mínima, qu</w:t>
      </w:r>
      <w:r>
        <w:rPr>
          <w:rFonts w:eastAsia="Times New Roman"/>
          <w:sz w:val="30"/>
          <w:szCs w:val="30"/>
          <w:lang w:val="es-ES"/>
        </w:rPr>
        <w:t>e incluya los factores tecnológicos, procesos y recursos humanos necesarios para su funcionamiento, planes de operación, controles internos, de acuerdo a las actividades y mercados en los que proyecte participar y los riesgos que pretenda asumir, de confor</w:t>
      </w:r>
      <w:r>
        <w:rPr>
          <w:rFonts w:eastAsia="Times New Roman"/>
          <w:sz w:val="30"/>
          <w:szCs w:val="30"/>
          <w:lang w:val="es-ES"/>
        </w:rPr>
        <w:t>midad con las normas que expida la Superintendencia de Bancos.</w:t>
      </w:r>
      <w:r>
        <w:rPr>
          <w:rFonts w:eastAsia="Times New Roman"/>
          <w:sz w:val="30"/>
          <w:szCs w:val="30"/>
          <w:lang w:val="es-ES"/>
        </w:rPr>
        <w:br/>
      </w:r>
      <w:r>
        <w:rPr>
          <w:rFonts w:eastAsia="Times New Roman"/>
          <w:sz w:val="30"/>
          <w:szCs w:val="30"/>
          <w:lang w:val="es-ES"/>
        </w:rPr>
        <w:br/>
        <w:t xml:space="preserve">Si la entidad no implementa todas las acciones que sean necesarias para culminar el proceso de constitución e inicio de actividades en el plazo indicado, la aprobación de constitución quedará </w:t>
      </w:r>
      <w:r>
        <w:rPr>
          <w:rFonts w:eastAsia="Times New Roman"/>
          <w:sz w:val="30"/>
          <w:szCs w:val="30"/>
          <w:lang w:val="es-ES"/>
        </w:rPr>
        <w:t xml:space="preserve">sin valor de pleno derecho, salvo que, por causas debidamente justificadas, la </w:t>
      </w:r>
      <w:r>
        <w:rPr>
          <w:rFonts w:eastAsia="Times New Roman"/>
          <w:sz w:val="30"/>
          <w:szCs w:val="30"/>
          <w:lang w:val="es-ES"/>
        </w:rPr>
        <w:lastRenderedPageBreak/>
        <w:t>Superintendencia de Bancos, antes del vencimiento del plazo señalado, lo amplíe por una sola vez hasta por seis meses.</w:t>
      </w:r>
    </w:p>
    <w:p w:rsidR="00000000" w:rsidRDefault="0018461E">
      <w:pPr>
        <w:divId w:val="2122993693"/>
        <w:rPr>
          <w:rFonts w:eastAsia="Times New Roman"/>
          <w:sz w:val="30"/>
          <w:szCs w:val="30"/>
          <w:lang w:val="es-ES"/>
        </w:rPr>
      </w:pPr>
      <w:r>
        <w:rPr>
          <w:rFonts w:eastAsia="Times New Roman"/>
          <w:sz w:val="30"/>
          <w:szCs w:val="30"/>
          <w:lang w:val="es-ES"/>
        </w:rPr>
        <w:t xml:space="preserve">Art. 396.- </w:t>
      </w:r>
      <w:r>
        <w:rPr>
          <w:rFonts w:eastAsia="Times New Roman"/>
          <w:b/>
          <w:bCs/>
          <w:sz w:val="30"/>
          <w:szCs w:val="30"/>
          <w:lang w:val="es-ES"/>
        </w:rPr>
        <w:t xml:space="preserve">Autorización de actividades financieras. </w:t>
      </w:r>
      <w:r>
        <w:rPr>
          <w:rFonts w:eastAsia="Times New Roman"/>
          <w:sz w:val="30"/>
          <w:szCs w:val="30"/>
          <w:lang w:val="es-ES"/>
        </w:rPr>
        <w:t>La ent</w:t>
      </w:r>
      <w:r>
        <w:rPr>
          <w:rFonts w:eastAsia="Times New Roman"/>
          <w:sz w:val="30"/>
          <w:szCs w:val="30"/>
          <w:lang w:val="es-ES"/>
        </w:rPr>
        <w:t>idad financiera privada comunicará a la Superintendencia de Bancos el cumplimiento de las acciones requeridas para su constitución e inicio de actividades y solicitará la autorización correspondiente. El organismo de control verificará la observancia de di</w:t>
      </w:r>
      <w:r>
        <w:rPr>
          <w:rFonts w:eastAsia="Times New Roman"/>
          <w:sz w:val="30"/>
          <w:szCs w:val="30"/>
          <w:lang w:val="es-ES"/>
        </w:rPr>
        <w:t>chas acciones, el pago del 100% del capital suscrito y pagado, y sobre la base de su cumplimiento, extenderá la autorización de acuerdo con lo previsto en este Código.</w:t>
      </w:r>
      <w:r>
        <w:rPr>
          <w:rFonts w:eastAsia="Times New Roman"/>
          <w:sz w:val="30"/>
          <w:szCs w:val="30"/>
          <w:lang w:val="es-ES"/>
        </w:rPr>
        <w:br/>
      </w:r>
      <w:r>
        <w:rPr>
          <w:rFonts w:eastAsia="Times New Roman"/>
          <w:sz w:val="30"/>
          <w:szCs w:val="30"/>
          <w:lang w:val="es-ES"/>
        </w:rPr>
        <w:br/>
        <w:t xml:space="preserve">La autorización constará en acto administrativo motivado, en el que se determinará las </w:t>
      </w:r>
      <w:r>
        <w:rPr>
          <w:rFonts w:eastAsia="Times New Roman"/>
          <w:sz w:val="30"/>
          <w:szCs w:val="30"/>
          <w:lang w:val="es-ES"/>
        </w:rPr>
        <w:t>actividades y operaciones financieras que podrán ser ejercidas por la entidad financiera privada, de acuerdo con su capacidad y especialización.</w:t>
      </w:r>
      <w:r>
        <w:rPr>
          <w:rFonts w:eastAsia="Times New Roman"/>
          <w:sz w:val="30"/>
          <w:szCs w:val="30"/>
          <w:lang w:val="es-ES"/>
        </w:rPr>
        <w:br/>
      </w:r>
      <w:r>
        <w:rPr>
          <w:rFonts w:eastAsia="Times New Roman"/>
          <w:sz w:val="30"/>
          <w:szCs w:val="30"/>
          <w:lang w:val="es-ES"/>
        </w:rPr>
        <w:br/>
        <w:t>El plazo de vigencia de esta autorización será igual al de la duración de la entidad y podrá ser renovado en l</w:t>
      </w:r>
      <w:r>
        <w:rPr>
          <w:rFonts w:eastAsia="Times New Roman"/>
          <w:sz w:val="30"/>
          <w:szCs w:val="30"/>
          <w:lang w:val="es-ES"/>
        </w:rPr>
        <w:t>a medida que el plazo de duración de la entidad sea ampliado.</w:t>
      </w:r>
      <w:r>
        <w:rPr>
          <w:rFonts w:eastAsia="Times New Roman"/>
          <w:sz w:val="30"/>
          <w:szCs w:val="30"/>
          <w:lang w:val="es-ES"/>
        </w:rPr>
        <w:br/>
      </w:r>
      <w:r>
        <w:rPr>
          <w:rFonts w:eastAsia="Times New Roman"/>
          <w:sz w:val="30"/>
          <w:szCs w:val="30"/>
          <w:lang w:val="es-ES"/>
        </w:rPr>
        <w:br/>
        <w:t>La autorización no podrá ser cedida bajo ningún título y podrá ser revocada por la Superintendencia de Bancos por las causas que establece este Código.</w:t>
      </w:r>
      <w:r>
        <w:rPr>
          <w:rFonts w:eastAsia="Times New Roman"/>
          <w:sz w:val="30"/>
          <w:szCs w:val="30"/>
          <w:lang w:val="es-ES"/>
        </w:rPr>
        <w:br/>
      </w:r>
      <w:r>
        <w:rPr>
          <w:rFonts w:eastAsia="Times New Roman"/>
          <w:sz w:val="30"/>
          <w:szCs w:val="30"/>
          <w:lang w:val="es-ES"/>
        </w:rPr>
        <w:br/>
        <w:t>La autorización entrará en vigencia desd</w:t>
      </w:r>
      <w:r>
        <w:rPr>
          <w:rFonts w:eastAsia="Times New Roman"/>
          <w:sz w:val="30"/>
          <w:szCs w:val="30"/>
          <w:lang w:val="es-ES"/>
        </w:rPr>
        <w:t>e la fecha de su notificación a la entidad financiera privada. Para el efecto deberá, además, estar inscrita en el Catastro Público.</w:t>
      </w:r>
    </w:p>
    <w:p w:rsidR="00000000" w:rsidRDefault="0018461E">
      <w:pPr>
        <w:divId w:val="4327767"/>
        <w:rPr>
          <w:rFonts w:eastAsia="Times New Roman"/>
          <w:sz w:val="30"/>
          <w:szCs w:val="30"/>
          <w:lang w:val="es-ES"/>
        </w:rPr>
      </w:pPr>
      <w:r>
        <w:rPr>
          <w:rFonts w:eastAsia="Times New Roman"/>
          <w:sz w:val="30"/>
          <w:szCs w:val="30"/>
          <w:lang w:val="es-ES"/>
        </w:rPr>
        <w:t xml:space="preserve">Art. 397.- </w:t>
      </w:r>
      <w:r>
        <w:rPr>
          <w:rFonts w:eastAsia="Times New Roman"/>
          <w:b/>
          <w:bCs/>
          <w:sz w:val="30"/>
          <w:szCs w:val="30"/>
          <w:lang w:val="es-ES"/>
        </w:rPr>
        <w:t xml:space="preserve">Permiso de funcionamiento. </w:t>
      </w:r>
      <w:r>
        <w:rPr>
          <w:rFonts w:eastAsia="Times New Roman"/>
          <w:sz w:val="30"/>
          <w:szCs w:val="30"/>
          <w:lang w:val="es-ES"/>
        </w:rPr>
        <w:t xml:space="preserve">Notificada la autorización de actividades financieras, la entidad financiera privada </w:t>
      </w:r>
      <w:r>
        <w:rPr>
          <w:rFonts w:eastAsia="Times New Roman"/>
          <w:sz w:val="30"/>
          <w:szCs w:val="30"/>
          <w:lang w:val="es-ES"/>
        </w:rPr>
        <w:t>informará a la Superintendencia de Bancos la fecha de inicio de operaciones, para que el organismo de control expida el permiso de funcionamiento.</w:t>
      </w:r>
      <w:r>
        <w:rPr>
          <w:rFonts w:eastAsia="Times New Roman"/>
          <w:sz w:val="30"/>
          <w:szCs w:val="30"/>
          <w:lang w:val="es-ES"/>
        </w:rPr>
        <w:br/>
      </w:r>
      <w:r>
        <w:rPr>
          <w:rFonts w:eastAsia="Times New Roman"/>
          <w:sz w:val="30"/>
          <w:szCs w:val="30"/>
          <w:lang w:val="es-ES"/>
        </w:rPr>
        <w:br/>
        <w:t xml:space="preserve">El permiso de funcionamiento será expedido para cada una de las oficinas operativas que mantenga la entidad </w:t>
      </w:r>
      <w:r>
        <w:rPr>
          <w:rFonts w:eastAsia="Times New Roman"/>
          <w:sz w:val="30"/>
          <w:szCs w:val="30"/>
          <w:lang w:val="es-ES"/>
        </w:rPr>
        <w:t>y deberá ser exhibido para conocimiento del público en cada una de ellas.</w:t>
      </w:r>
    </w:p>
    <w:p w:rsidR="00000000" w:rsidRDefault="0018461E">
      <w:pPr>
        <w:jc w:val="center"/>
        <w:rPr>
          <w:rFonts w:eastAsia="Times New Roman"/>
          <w:sz w:val="36"/>
          <w:szCs w:val="36"/>
          <w:lang w:val="es-ES"/>
        </w:rPr>
      </w:pPr>
      <w:r>
        <w:rPr>
          <w:rFonts w:eastAsia="Times New Roman"/>
          <w:b/>
          <w:bCs/>
          <w:sz w:val="36"/>
          <w:szCs w:val="36"/>
          <w:lang w:val="es-ES"/>
        </w:rPr>
        <w:br/>
        <w:t>Sección 2</w:t>
      </w:r>
      <w:r>
        <w:rPr>
          <w:rFonts w:eastAsia="Times New Roman"/>
          <w:b/>
          <w:bCs/>
          <w:sz w:val="36"/>
          <w:szCs w:val="36"/>
          <w:lang w:val="es-ES"/>
        </w:rPr>
        <w:br/>
        <w:t>NATURALEZA, OBJETO SOCIAL, DURACIÓN, ESTATUTO Y DOMICILIO</w:t>
      </w:r>
    </w:p>
    <w:p w:rsidR="00000000" w:rsidRDefault="0018461E">
      <w:pPr>
        <w:divId w:val="1255750471"/>
        <w:rPr>
          <w:rFonts w:eastAsia="Times New Roman"/>
          <w:sz w:val="30"/>
          <w:szCs w:val="30"/>
          <w:lang w:val="es-ES"/>
        </w:rPr>
      </w:pPr>
      <w:r>
        <w:rPr>
          <w:rFonts w:eastAsia="Times New Roman"/>
          <w:sz w:val="30"/>
          <w:szCs w:val="30"/>
          <w:lang w:val="es-ES"/>
        </w:rPr>
        <w:lastRenderedPageBreak/>
        <w:t xml:space="preserve">Art. 398.- </w:t>
      </w:r>
      <w:r>
        <w:rPr>
          <w:rFonts w:eastAsia="Times New Roman"/>
          <w:b/>
          <w:bCs/>
          <w:sz w:val="30"/>
          <w:szCs w:val="30"/>
          <w:lang w:val="es-ES"/>
        </w:rPr>
        <w:t xml:space="preserve">Naturaleza. </w:t>
      </w:r>
      <w:r>
        <w:rPr>
          <w:rFonts w:eastAsia="Times New Roman"/>
          <w:sz w:val="30"/>
          <w:szCs w:val="30"/>
          <w:lang w:val="es-ES"/>
        </w:rPr>
        <w:t>Las entidades del sector financiero privado se constituirán como personas jurídicas de der</w:t>
      </w:r>
      <w:r>
        <w:rPr>
          <w:rFonts w:eastAsia="Times New Roman"/>
          <w:sz w:val="30"/>
          <w:szCs w:val="30"/>
          <w:lang w:val="es-ES"/>
        </w:rPr>
        <w:t>echo privado. En el ejercicio de sus operaciones y servicios financieros se regirán por las disposiciones propias y aplicables a las instituciones financieras.</w:t>
      </w:r>
    </w:p>
    <w:p w:rsidR="00000000" w:rsidRDefault="0018461E">
      <w:pPr>
        <w:divId w:val="937636501"/>
        <w:rPr>
          <w:rFonts w:eastAsia="Times New Roman"/>
          <w:sz w:val="30"/>
          <w:szCs w:val="30"/>
          <w:lang w:val="es-ES"/>
        </w:rPr>
      </w:pPr>
      <w:r>
        <w:rPr>
          <w:rFonts w:eastAsia="Times New Roman"/>
          <w:sz w:val="30"/>
          <w:szCs w:val="30"/>
          <w:lang w:val="es-ES"/>
        </w:rPr>
        <w:t xml:space="preserve">Art. 399.- </w:t>
      </w:r>
      <w:r>
        <w:rPr>
          <w:rFonts w:eastAsia="Times New Roman"/>
          <w:b/>
          <w:bCs/>
          <w:sz w:val="30"/>
          <w:szCs w:val="30"/>
          <w:lang w:val="es-ES"/>
        </w:rPr>
        <w:t xml:space="preserve">Accionistas. </w:t>
      </w:r>
      <w:r>
        <w:rPr>
          <w:rFonts w:eastAsia="Times New Roman"/>
          <w:sz w:val="30"/>
          <w:szCs w:val="30"/>
          <w:lang w:val="es-ES"/>
        </w:rPr>
        <w:t>Las entidades financieras privadas deberán contar en todo tiempo al meno</w:t>
      </w:r>
      <w:r>
        <w:rPr>
          <w:rFonts w:eastAsia="Times New Roman"/>
          <w:sz w:val="30"/>
          <w:szCs w:val="30"/>
          <w:lang w:val="es-ES"/>
        </w:rPr>
        <w:t>s con dos accionistas. No podrán ser titulares, directa ni indirectamente, de acciones de las entidades del sector financiero privado, las siguientes:</w:t>
      </w:r>
      <w:r>
        <w:rPr>
          <w:rFonts w:eastAsia="Times New Roman"/>
          <w:sz w:val="30"/>
          <w:szCs w:val="30"/>
          <w:lang w:val="es-ES"/>
        </w:rPr>
        <w:br/>
      </w:r>
      <w:r>
        <w:rPr>
          <w:rFonts w:eastAsia="Times New Roman"/>
          <w:sz w:val="30"/>
          <w:szCs w:val="30"/>
          <w:lang w:val="es-ES"/>
        </w:rPr>
        <w:br/>
        <w:t>1. Las entidades del sector financiero privado, con excepción de la inversión en subsidiarias o afiliada</w:t>
      </w:r>
      <w:r>
        <w:rPr>
          <w:rFonts w:eastAsia="Times New Roman"/>
          <w:sz w:val="30"/>
          <w:szCs w:val="30"/>
          <w:lang w:val="es-ES"/>
        </w:rPr>
        <w:t>s que conformen un grupo financiero;</w:t>
      </w:r>
      <w:r>
        <w:rPr>
          <w:rFonts w:eastAsia="Times New Roman"/>
          <w:sz w:val="30"/>
          <w:szCs w:val="30"/>
          <w:lang w:val="es-ES"/>
        </w:rPr>
        <w:br/>
      </w:r>
      <w:r>
        <w:rPr>
          <w:rFonts w:eastAsia="Times New Roman"/>
          <w:sz w:val="30"/>
          <w:szCs w:val="30"/>
          <w:lang w:val="es-ES"/>
        </w:rPr>
        <w:br/>
        <w:t>2. Las personas jurídicas privadas cuyo objeto social sea la comunicación con cobertura nacional, así como sus directores y principales accionistas;</w:t>
      </w:r>
      <w:r>
        <w:rPr>
          <w:rFonts w:eastAsia="Times New Roman"/>
          <w:sz w:val="30"/>
          <w:szCs w:val="30"/>
          <w:lang w:val="es-ES"/>
        </w:rPr>
        <w:br/>
      </w:r>
      <w:r>
        <w:rPr>
          <w:rFonts w:eastAsia="Times New Roman"/>
          <w:sz w:val="30"/>
          <w:szCs w:val="30"/>
          <w:lang w:val="es-ES"/>
        </w:rPr>
        <w:br/>
        <w:t>3. Las entidades del sector financiero popular y solidario, con exce</w:t>
      </w:r>
      <w:r>
        <w:rPr>
          <w:rFonts w:eastAsia="Times New Roman"/>
          <w:sz w:val="30"/>
          <w:szCs w:val="30"/>
          <w:lang w:val="es-ES"/>
        </w:rPr>
        <w:t>pción de lo dispuesto en el artículo 443;</w:t>
      </w:r>
      <w:r>
        <w:rPr>
          <w:rFonts w:eastAsia="Times New Roman"/>
          <w:sz w:val="30"/>
          <w:szCs w:val="30"/>
          <w:lang w:val="es-ES"/>
        </w:rPr>
        <w:br/>
      </w:r>
      <w:r>
        <w:rPr>
          <w:rFonts w:eastAsia="Times New Roman"/>
          <w:sz w:val="30"/>
          <w:szCs w:val="30"/>
          <w:lang w:val="es-ES"/>
        </w:rPr>
        <w:br/>
        <w:t>4. Las personas naturales o jurídicas que sean personas con propiedad patrimonial con influencia de una entidad bancaria privada solo podrán ser accionistas de otra entidad bancaria privada mientras no se conviert</w:t>
      </w:r>
      <w:r>
        <w:rPr>
          <w:rFonts w:eastAsia="Times New Roman"/>
          <w:sz w:val="30"/>
          <w:szCs w:val="30"/>
          <w:lang w:val="es-ES"/>
        </w:rPr>
        <w:t>an en personas con propiedad patrimonial con influencia en la otra entidad;</w:t>
      </w:r>
      <w:r>
        <w:rPr>
          <w:rFonts w:eastAsia="Times New Roman"/>
          <w:sz w:val="30"/>
          <w:szCs w:val="30"/>
          <w:lang w:val="es-ES"/>
        </w:rPr>
        <w:br/>
      </w:r>
      <w:r>
        <w:rPr>
          <w:rFonts w:eastAsia="Times New Roman"/>
          <w:sz w:val="30"/>
          <w:szCs w:val="30"/>
          <w:lang w:val="es-ES"/>
        </w:rPr>
        <w:br/>
        <w:t>5. Las personas naturales que hayan sido condenadas en sentencia ejecutoriada por delitos de peculado, lavado de activos y financiamiento de delitos como el terrorismo;</w:t>
      </w:r>
      <w:r>
        <w:rPr>
          <w:rFonts w:eastAsia="Times New Roman"/>
          <w:sz w:val="30"/>
          <w:szCs w:val="30"/>
          <w:lang w:val="es-ES"/>
        </w:rPr>
        <w:br/>
      </w:r>
      <w:r>
        <w:rPr>
          <w:rFonts w:eastAsia="Times New Roman"/>
          <w:sz w:val="30"/>
          <w:szCs w:val="30"/>
          <w:lang w:val="es-ES"/>
        </w:rPr>
        <w:br/>
        <w:t>6. Las pe</w:t>
      </w:r>
      <w:r>
        <w:rPr>
          <w:rFonts w:eastAsia="Times New Roman"/>
          <w:sz w:val="30"/>
          <w:szCs w:val="30"/>
          <w:lang w:val="es-ES"/>
        </w:rPr>
        <w:t>rsonas naturales y jurídicas, directivos y personas con propiedad patrimonial con influencia de una entidad financiera privada declarada en liquidación forzosa; y,</w:t>
      </w:r>
      <w:r>
        <w:rPr>
          <w:rFonts w:eastAsia="Times New Roman"/>
          <w:sz w:val="30"/>
          <w:szCs w:val="30"/>
          <w:lang w:val="es-ES"/>
        </w:rPr>
        <w:br/>
      </w:r>
      <w:r>
        <w:rPr>
          <w:rFonts w:eastAsia="Times New Roman"/>
          <w:sz w:val="30"/>
          <w:szCs w:val="30"/>
          <w:lang w:val="es-ES"/>
        </w:rPr>
        <w:br/>
        <w:t>7. Las demás que señale la ley.</w:t>
      </w:r>
      <w:r>
        <w:rPr>
          <w:rFonts w:eastAsia="Times New Roman"/>
          <w:sz w:val="30"/>
          <w:szCs w:val="30"/>
          <w:lang w:val="es-ES"/>
        </w:rPr>
        <w:br/>
      </w:r>
      <w:r>
        <w:rPr>
          <w:rFonts w:eastAsia="Times New Roman"/>
          <w:sz w:val="30"/>
          <w:szCs w:val="30"/>
          <w:lang w:val="es-ES"/>
        </w:rPr>
        <w:br/>
        <w:t xml:space="preserve">Las personas naturales o jurídicas que mantengan acciones </w:t>
      </w:r>
      <w:r>
        <w:rPr>
          <w:rFonts w:eastAsia="Times New Roman"/>
          <w:sz w:val="30"/>
          <w:szCs w:val="30"/>
          <w:lang w:val="es-ES"/>
        </w:rPr>
        <w:t xml:space="preserve">en empresas ajenas a la actividad financiera solo podrán ser accionistas directa o indirectamente de una entidad financiera hasta por debajo de los criterios definidos para ser personas con propiedad patrimonial con </w:t>
      </w:r>
      <w:r>
        <w:rPr>
          <w:rFonts w:eastAsia="Times New Roman"/>
          <w:sz w:val="30"/>
          <w:szCs w:val="30"/>
          <w:lang w:val="es-ES"/>
        </w:rPr>
        <w:lastRenderedPageBreak/>
        <w:t>influencia.</w:t>
      </w:r>
      <w:r>
        <w:rPr>
          <w:rFonts w:eastAsia="Times New Roman"/>
          <w:sz w:val="30"/>
          <w:szCs w:val="30"/>
          <w:lang w:val="es-ES"/>
        </w:rPr>
        <w:br/>
      </w:r>
      <w:r>
        <w:rPr>
          <w:rFonts w:eastAsia="Times New Roman"/>
          <w:sz w:val="30"/>
          <w:szCs w:val="30"/>
          <w:lang w:val="es-ES"/>
        </w:rPr>
        <w:br/>
        <w:t>El organismo de control cal</w:t>
      </w:r>
      <w:r>
        <w:rPr>
          <w:rFonts w:eastAsia="Times New Roman"/>
          <w:sz w:val="30"/>
          <w:szCs w:val="30"/>
          <w:lang w:val="es-ES"/>
        </w:rPr>
        <w:t>ificará la idoneidad, responsabilidad y solvencia de las personas con propiedad patrimonial con influencia, así como a las personas jurídicas sus socios o accionistas personas naturales, cuando su participación en el capital de la entidad financiera sea de</w:t>
      </w:r>
      <w:r>
        <w:rPr>
          <w:rFonts w:eastAsia="Times New Roman"/>
          <w:sz w:val="30"/>
          <w:szCs w:val="30"/>
          <w:lang w:val="es-ES"/>
        </w:rPr>
        <w:t>l 6% o más.</w:t>
      </w:r>
    </w:p>
    <w:p w:rsidR="00000000" w:rsidRDefault="0018461E">
      <w:pPr>
        <w:divId w:val="98186247"/>
        <w:rPr>
          <w:rFonts w:eastAsia="Times New Roman"/>
          <w:sz w:val="30"/>
          <w:szCs w:val="30"/>
          <w:lang w:val="es-ES"/>
        </w:rPr>
      </w:pPr>
      <w:r>
        <w:rPr>
          <w:rFonts w:eastAsia="Times New Roman"/>
          <w:sz w:val="30"/>
          <w:szCs w:val="30"/>
          <w:lang w:val="es-ES"/>
        </w:rPr>
        <w:t xml:space="preserve">Art. 400.- </w:t>
      </w:r>
      <w:r>
        <w:rPr>
          <w:rFonts w:eastAsia="Times New Roman"/>
          <w:b/>
          <w:bCs/>
          <w:sz w:val="30"/>
          <w:szCs w:val="30"/>
          <w:lang w:val="es-ES"/>
        </w:rPr>
        <w:t xml:space="preserve">Objeto social. </w:t>
      </w:r>
      <w:r>
        <w:rPr>
          <w:rFonts w:eastAsia="Times New Roman"/>
          <w:sz w:val="30"/>
          <w:szCs w:val="30"/>
          <w:lang w:val="es-ES"/>
        </w:rPr>
        <w:t>El objeto social de las entidades del sector financiero privado estará determinado en su estatuto social, en el que se establecerá el tipo de entidad y las actividades a las que se va a dedicar.</w:t>
      </w:r>
      <w:r>
        <w:rPr>
          <w:rFonts w:eastAsia="Times New Roman"/>
          <w:sz w:val="30"/>
          <w:szCs w:val="30"/>
          <w:lang w:val="es-ES"/>
        </w:rPr>
        <w:br/>
      </w:r>
      <w:r>
        <w:rPr>
          <w:rFonts w:eastAsia="Times New Roman"/>
          <w:sz w:val="30"/>
          <w:szCs w:val="30"/>
          <w:lang w:val="es-ES"/>
        </w:rPr>
        <w:br/>
        <w:t xml:space="preserve">El objeto social será </w:t>
      </w:r>
      <w:r>
        <w:rPr>
          <w:rFonts w:eastAsia="Times New Roman"/>
          <w:sz w:val="30"/>
          <w:szCs w:val="30"/>
          <w:lang w:val="es-ES"/>
        </w:rPr>
        <w:t>específico al tipo de entidad reconocida en este Código y no podrá contener actividades distintas a la actividad financiera.</w:t>
      </w:r>
    </w:p>
    <w:p w:rsidR="00000000" w:rsidRDefault="0018461E">
      <w:pPr>
        <w:divId w:val="61146958"/>
        <w:rPr>
          <w:rFonts w:eastAsia="Times New Roman"/>
          <w:sz w:val="30"/>
          <w:szCs w:val="30"/>
          <w:lang w:val="es-ES"/>
        </w:rPr>
      </w:pPr>
      <w:r>
        <w:rPr>
          <w:rFonts w:eastAsia="Times New Roman"/>
          <w:sz w:val="30"/>
          <w:szCs w:val="30"/>
          <w:lang w:val="es-ES"/>
        </w:rPr>
        <w:t xml:space="preserve">Art. 401.- </w:t>
      </w:r>
      <w:r>
        <w:rPr>
          <w:rFonts w:eastAsia="Times New Roman"/>
          <w:b/>
          <w:bCs/>
          <w:sz w:val="30"/>
          <w:szCs w:val="30"/>
          <w:lang w:val="es-ES"/>
        </w:rPr>
        <w:t xml:space="preserve">Duración, estatuto y domicilio. </w:t>
      </w:r>
      <w:r>
        <w:rPr>
          <w:rFonts w:eastAsia="Times New Roman"/>
          <w:sz w:val="30"/>
          <w:szCs w:val="30"/>
          <w:lang w:val="es-ES"/>
        </w:rPr>
        <w:t>Las entidades del sector financiero privado tendrán la duración y el domicilio que se es</w:t>
      </w:r>
      <w:r>
        <w:rPr>
          <w:rFonts w:eastAsia="Times New Roman"/>
          <w:sz w:val="30"/>
          <w:szCs w:val="30"/>
          <w:lang w:val="es-ES"/>
        </w:rPr>
        <w:t>tablezca en el estatuto social.</w:t>
      </w:r>
      <w:r>
        <w:rPr>
          <w:rFonts w:eastAsia="Times New Roman"/>
          <w:sz w:val="30"/>
          <w:szCs w:val="30"/>
          <w:lang w:val="es-ES"/>
        </w:rPr>
        <w:br/>
      </w:r>
      <w:r>
        <w:rPr>
          <w:rFonts w:eastAsia="Times New Roman"/>
          <w:sz w:val="30"/>
          <w:szCs w:val="30"/>
          <w:lang w:val="es-ES"/>
        </w:rPr>
        <w:br/>
        <w:t>El estatuto social contendrá la estructura institucional general de la entidad y deberá ser conocido y aprobado internamente por la Junta General de Accionistas y, posteriormente, por parte de la Superintendencia de Bancos.</w:t>
      </w:r>
      <w:r>
        <w:rPr>
          <w:rFonts w:eastAsia="Times New Roman"/>
          <w:sz w:val="30"/>
          <w:szCs w:val="30"/>
          <w:lang w:val="es-ES"/>
        </w:rPr>
        <w:t xml:space="preserve"> En el estatuto se estipulará que el capital se divide en varias clases de acciones, con derechos especiales para cada clase, sin que pueda excluirse a ningún accionista de la participación en las utilidades, asimismo se determinará el valor nominal de las</w:t>
      </w:r>
      <w:r>
        <w:rPr>
          <w:rFonts w:eastAsia="Times New Roman"/>
          <w:sz w:val="30"/>
          <w:szCs w:val="30"/>
          <w:lang w:val="es-ES"/>
        </w:rPr>
        <w:t xml:space="preserve"> acciones que podrá ser de cien o múltiplo de cien.</w:t>
      </w:r>
      <w:r>
        <w:rPr>
          <w:rFonts w:eastAsia="Times New Roman"/>
          <w:sz w:val="30"/>
          <w:szCs w:val="30"/>
          <w:lang w:val="es-ES"/>
        </w:rPr>
        <w:br/>
      </w:r>
      <w:r>
        <w:rPr>
          <w:rFonts w:eastAsia="Times New Roman"/>
          <w:sz w:val="30"/>
          <w:szCs w:val="30"/>
          <w:lang w:val="es-ES"/>
        </w:rPr>
        <w:br/>
        <w:t>La reforma del estatuto social será aprobada por la Junta General de Accionistas y, posteriormente, por parte de la Superintendencia de Bancos.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LAS FINALIDADES Y OBJETIVOS</w:t>
      </w:r>
    </w:p>
    <w:p w:rsidR="00000000" w:rsidRDefault="0018461E">
      <w:pPr>
        <w:divId w:val="1310599064"/>
        <w:rPr>
          <w:rFonts w:eastAsia="Times New Roman"/>
          <w:sz w:val="30"/>
          <w:szCs w:val="30"/>
          <w:lang w:val="es-ES"/>
        </w:rPr>
      </w:pPr>
      <w:r>
        <w:rPr>
          <w:rFonts w:eastAsia="Times New Roman"/>
          <w:sz w:val="30"/>
          <w:szCs w:val="30"/>
          <w:lang w:val="es-ES"/>
        </w:rPr>
        <w:t xml:space="preserve">Art. 402.- </w:t>
      </w:r>
      <w:r>
        <w:rPr>
          <w:rFonts w:eastAsia="Times New Roman"/>
          <w:b/>
          <w:bCs/>
          <w:sz w:val="30"/>
          <w:szCs w:val="30"/>
          <w:lang w:val="es-ES"/>
        </w:rPr>
        <w:t>Final</w:t>
      </w:r>
      <w:r>
        <w:rPr>
          <w:rFonts w:eastAsia="Times New Roman"/>
          <w:b/>
          <w:bCs/>
          <w:sz w:val="30"/>
          <w:szCs w:val="30"/>
          <w:lang w:val="es-ES"/>
        </w:rPr>
        <w:t xml:space="preserve">idades y Objetivos. </w:t>
      </w:r>
      <w:r>
        <w:rPr>
          <w:rFonts w:eastAsia="Times New Roman"/>
          <w:sz w:val="30"/>
          <w:szCs w:val="30"/>
          <w:lang w:val="es-ES"/>
        </w:rPr>
        <w:t xml:space="preserve">Las entidades que conforman el sector financiero privado, tendrán como finalidad y objetivo el ejercicio de actividades financieras, las cuales podrán ejercerlas, previa autorización del Estado, de acuerdo con este Código, </w:t>
      </w:r>
      <w:r>
        <w:rPr>
          <w:rFonts w:eastAsia="Times New Roman"/>
          <w:sz w:val="30"/>
          <w:szCs w:val="30"/>
          <w:lang w:val="es-ES"/>
        </w:rPr>
        <w:lastRenderedPageBreak/>
        <w:t>preservando l</w:t>
      </w:r>
      <w:r>
        <w:rPr>
          <w:rFonts w:eastAsia="Times New Roman"/>
          <w:sz w:val="30"/>
          <w:szCs w:val="30"/>
          <w:lang w:val="es-ES"/>
        </w:rPr>
        <w:t>os depósitos y atendiendo los requerimientos de intermediación financiera de la ciudadanía.</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4 </w:t>
      </w:r>
      <w:r>
        <w:rPr>
          <w:rFonts w:eastAsia="Times New Roman"/>
          <w:b/>
          <w:bCs/>
          <w:sz w:val="36"/>
          <w:szCs w:val="36"/>
          <w:lang w:val="es-ES"/>
        </w:rPr>
        <w:br/>
        <w:t>DEL CAPITAL, RESERVAS Y UTILIDADES</w:t>
      </w:r>
    </w:p>
    <w:p w:rsidR="00000000" w:rsidRDefault="0018461E">
      <w:pPr>
        <w:divId w:val="88430593"/>
        <w:rPr>
          <w:rFonts w:eastAsia="Times New Roman"/>
          <w:sz w:val="30"/>
          <w:szCs w:val="30"/>
          <w:lang w:val="es-ES"/>
        </w:rPr>
      </w:pPr>
      <w:r>
        <w:rPr>
          <w:rFonts w:eastAsia="Times New Roman"/>
          <w:sz w:val="30"/>
          <w:szCs w:val="30"/>
          <w:lang w:val="es-ES"/>
        </w:rPr>
        <w:t xml:space="preserve">Art. 403.- </w:t>
      </w:r>
      <w:r>
        <w:rPr>
          <w:rFonts w:eastAsia="Times New Roman"/>
          <w:b/>
          <w:bCs/>
          <w:sz w:val="30"/>
          <w:szCs w:val="30"/>
          <w:lang w:val="es-ES"/>
        </w:rPr>
        <w:t xml:space="preserve">Capital. </w:t>
      </w:r>
      <w:r>
        <w:rPr>
          <w:rFonts w:eastAsia="Times New Roman"/>
          <w:sz w:val="30"/>
          <w:szCs w:val="30"/>
          <w:lang w:val="es-ES"/>
        </w:rPr>
        <w:t>Las entidades financieras privadas podrán aumentar su capital autorizado, de acuerdo con lo estab</w:t>
      </w:r>
      <w:r>
        <w:rPr>
          <w:rFonts w:eastAsia="Times New Roman"/>
          <w:sz w:val="30"/>
          <w:szCs w:val="30"/>
          <w:lang w:val="es-ES"/>
        </w:rPr>
        <w:t>lecido en este Código.</w:t>
      </w:r>
      <w:r>
        <w:rPr>
          <w:rFonts w:eastAsia="Times New Roman"/>
          <w:sz w:val="30"/>
          <w:szCs w:val="30"/>
          <w:lang w:val="es-ES"/>
        </w:rPr>
        <w:br/>
      </w:r>
      <w:r>
        <w:rPr>
          <w:rFonts w:eastAsia="Times New Roman"/>
          <w:sz w:val="30"/>
          <w:szCs w:val="30"/>
          <w:lang w:val="es-ES"/>
        </w:rPr>
        <w:br/>
        <w:t>El capital suscrito y pagado de las entidades financieras privadas se incrementará de acuerdo con las regulaciones que emita la Junta de Política y Regulación Monetaria y Financiera.</w:t>
      </w:r>
      <w:r>
        <w:rPr>
          <w:rFonts w:eastAsia="Times New Roman"/>
          <w:sz w:val="30"/>
          <w:szCs w:val="30"/>
          <w:lang w:val="es-ES"/>
        </w:rPr>
        <w:br/>
      </w:r>
      <w:r>
        <w:rPr>
          <w:rFonts w:eastAsia="Times New Roman"/>
          <w:sz w:val="30"/>
          <w:szCs w:val="30"/>
          <w:lang w:val="es-ES"/>
        </w:rPr>
        <w:br/>
        <w:t>Los recursos para el pago del capital suscrito y</w:t>
      </w:r>
      <w:r>
        <w:rPr>
          <w:rFonts w:eastAsia="Times New Roman"/>
          <w:sz w:val="30"/>
          <w:szCs w:val="30"/>
          <w:lang w:val="es-ES"/>
        </w:rPr>
        <w:t xml:space="preserve"> pagado solamente podrán provenir:</w:t>
      </w:r>
      <w:r>
        <w:rPr>
          <w:rFonts w:eastAsia="Times New Roman"/>
          <w:sz w:val="30"/>
          <w:szCs w:val="30"/>
          <w:lang w:val="es-ES"/>
        </w:rPr>
        <w:br/>
      </w:r>
      <w:r>
        <w:rPr>
          <w:rFonts w:eastAsia="Times New Roman"/>
          <w:sz w:val="30"/>
          <w:szCs w:val="30"/>
          <w:lang w:val="es-ES"/>
        </w:rPr>
        <w:br/>
        <w:t>1. De aportes en dinero o por compensación de créditos;</w:t>
      </w:r>
      <w:r>
        <w:rPr>
          <w:rFonts w:eastAsia="Times New Roman"/>
          <w:sz w:val="30"/>
          <w:szCs w:val="30"/>
          <w:lang w:val="es-ES"/>
        </w:rPr>
        <w:br/>
      </w:r>
      <w:r>
        <w:rPr>
          <w:rFonts w:eastAsia="Times New Roman"/>
          <w:sz w:val="30"/>
          <w:szCs w:val="30"/>
          <w:lang w:val="es-ES"/>
        </w:rPr>
        <w:br/>
        <w:t>2. Por capitalización de acreencias por vencer, previa valoración hecha por al menos dos compañías calificadoras de riesgo;</w:t>
      </w:r>
      <w:r>
        <w:rPr>
          <w:rFonts w:eastAsia="Times New Roman"/>
          <w:sz w:val="30"/>
          <w:szCs w:val="30"/>
          <w:lang w:val="es-ES"/>
        </w:rPr>
        <w:br/>
      </w:r>
      <w:r>
        <w:rPr>
          <w:rFonts w:eastAsia="Times New Roman"/>
          <w:sz w:val="30"/>
          <w:szCs w:val="30"/>
          <w:lang w:val="es-ES"/>
        </w:rPr>
        <w:br/>
        <w:t>3. Del excedente de la reserva legal;</w:t>
      </w:r>
      <w:r>
        <w:rPr>
          <w:rFonts w:eastAsia="Times New Roman"/>
          <w:sz w:val="30"/>
          <w:szCs w:val="30"/>
          <w:lang w:val="es-ES"/>
        </w:rPr>
        <w:br/>
      </w:r>
      <w:r>
        <w:rPr>
          <w:rFonts w:eastAsia="Times New Roman"/>
          <w:sz w:val="30"/>
          <w:szCs w:val="30"/>
          <w:lang w:val="es-ES"/>
        </w:rPr>
        <w:br/>
        <w:t>4. De utilidades no distribuidas; y,</w:t>
      </w:r>
      <w:r>
        <w:rPr>
          <w:rFonts w:eastAsia="Times New Roman"/>
          <w:sz w:val="30"/>
          <w:szCs w:val="30"/>
          <w:lang w:val="es-ES"/>
        </w:rPr>
        <w:br/>
      </w:r>
      <w:r>
        <w:rPr>
          <w:rFonts w:eastAsia="Times New Roman"/>
          <w:sz w:val="30"/>
          <w:szCs w:val="30"/>
          <w:lang w:val="es-ES"/>
        </w:rPr>
        <w:br/>
        <w:t>5. De reservas especiales, siempre que estuvieran destinadas para este fin.</w:t>
      </w:r>
      <w:r>
        <w:rPr>
          <w:rFonts w:eastAsia="Times New Roman"/>
          <w:sz w:val="30"/>
          <w:szCs w:val="30"/>
          <w:lang w:val="es-ES"/>
        </w:rPr>
        <w:br/>
      </w:r>
      <w:r>
        <w:rPr>
          <w:rFonts w:eastAsia="Times New Roman"/>
          <w:sz w:val="30"/>
          <w:szCs w:val="30"/>
          <w:lang w:val="es-ES"/>
        </w:rPr>
        <w:br/>
        <w:t xml:space="preserve">La capitalización hecha por compensación de créditos y las acreencias por vencer, sin perjuicio de la aprobación previa de la Junta General </w:t>
      </w:r>
      <w:r>
        <w:rPr>
          <w:rFonts w:eastAsia="Times New Roman"/>
          <w:sz w:val="30"/>
          <w:szCs w:val="30"/>
          <w:lang w:val="es-ES"/>
        </w:rPr>
        <w:t>de Accionistas, requerirá la autorización de la Superintendencia de Bancos.</w:t>
      </w:r>
      <w:r>
        <w:rPr>
          <w:rFonts w:eastAsia="Times New Roman"/>
          <w:sz w:val="30"/>
          <w:szCs w:val="30"/>
          <w:lang w:val="es-ES"/>
        </w:rPr>
        <w:br/>
      </w:r>
      <w:r>
        <w:rPr>
          <w:rFonts w:eastAsia="Times New Roman"/>
          <w:sz w:val="30"/>
          <w:szCs w:val="30"/>
          <w:lang w:val="es-ES"/>
        </w:rPr>
        <w:br/>
        <w:t>Los accionistas que aparezcan registrados como tales en el libro de acciones y accionistas de la entidad, a la fecha en la que se publique por la prensa el llamado al aumento de c</w:t>
      </w:r>
      <w:r>
        <w:rPr>
          <w:rFonts w:eastAsia="Times New Roman"/>
          <w:sz w:val="30"/>
          <w:szCs w:val="30"/>
          <w:lang w:val="es-ES"/>
        </w:rPr>
        <w:t>apital, podrán ejercer el derecho preferente para la suscripción de acciones, así como para recibir el certificado de preferencia.</w:t>
      </w:r>
    </w:p>
    <w:p w:rsidR="00000000" w:rsidRDefault="0018461E">
      <w:pPr>
        <w:divId w:val="970670362"/>
        <w:rPr>
          <w:rFonts w:eastAsia="Times New Roman"/>
          <w:sz w:val="30"/>
          <w:szCs w:val="30"/>
          <w:lang w:val="es-ES"/>
        </w:rPr>
      </w:pPr>
      <w:r>
        <w:rPr>
          <w:rFonts w:eastAsia="Times New Roman"/>
          <w:sz w:val="30"/>
          <w:szCs w:val="30"/>
          <w:lang w:val="es-ES"/>
        </w:rPr>
        <w:lastRenderedPageBreak/>
        <w:t xml:space="preserve">Art. 404.- </w:t>
      </w:r>
      <w:r>
        <w:rPr>
          <w:rFonts w:eastAsia="Times New Roman"/>
          <w:b/>
          <w:bCs/>
          <w:sz w:val="30"/>
          <w:szCs w:val="30"/>
          <w:lang w:val="es-ES"/>
        </w:rPr>
        <w:t xml:space="preserve">Fondo de reserva legal. </w:t>
      </w:r>
      <w:r>
        <w:rPr>
          <w:rFonts w:eastAsia="Times New Roman"/>
          <w:sz w:val="30"/>
          <w:szCs w:val="30"/>
          <w:lang w:val="es-ES"/>
        </w:rPr>
        <w:t>Las entidades financieras privadas, deberán mantener el fondo de reserva legal en los térm</w:t>
      </w:r>
      <w:r>
        <w:rPr>
          <w:rFonts w:eastAsia="Times New Roman"/>
          <w:sz w:val="30"/>
          <w:szCs w:val="30"/>
          <w:lang w:val="es-ES"/>
        </w:rPr>
        <w:t>inos del artículo 168.</w:t>
      </w:r>
    </w:p>
    <w:p w:rsidR="00000000" w:rsidRDefault="0018461E">
      <w:pPr>
        <w:divId w:val="757751380"/>
        <w:rPr>
          <w:rFonts w:eastAsia="Times New Roman"/>
          <w:sz w:val="30"/>
          <w:szCs w:val="30"/>
          <w:lang w:val="es-ES"/>
        </w:rPr>
      </w:pPr>
      <w:r>
        <w:rPr>
          <w:rFonts w:eastAsia="Times New Roman"/>
          <w:sz w:val="30"/>
          <w:szCs w:val="30"/>
          <w:lang w:val="es-ES"/>
        </w:rPr>
        <w:t xml:space="preserve">Art. 405.- </w:t>
      </w:r>
      <w:r>
        <w:rPr>
          <w:rFonts w:eastAsia="Times New Roman"/>
          <w:b/>
          <w:bCs/>
          <w:sz w:val="30"/>
          <w:szCs w:val="30"/>
          <w:lang w:val="es-ES"/>
        </w:rPr>
        <w:t xml:space="preserve">Reparto de utilidades. </w:t>
      </w:r>
      <w:r>
        <w:rPr>
          <w:rFonts w:eastAsia="Times New Roman"/>
          <w:sz w:val="30"/>
          <w:szCs w:val="30"/>
          <w:lang w:val="es-ES"/>
        </w:rPr>
        <w:t>Las utilidades generadas por las entidades financieras privadas podrán ser distribuidas de acuerdo con lo dispuesto por la Junta General de Accionistas, atendiendo lo dispuesto por la Superintendenci</w:t>
      </w:r>
      <w:r>
        <w:rPr>
          <w:rFonts w:eastAsia="Times New Roman"/>
          <w:sz w:val="30"/>
          <w:szCs w:val="30"/>
          <w:lang w:val="es-ES"/>
        </w:rPr>
        <w:t>a de Bancos, y de conformidad con las regulaciones de la Junta de Política y Regulación Monetaria y Financiera, siempre que se cumplan las siguientes condiciones:</w:t>
      </w:r>
      <w:r>
        <w:rPr>
          <w:rFonts w:eastAsia="Times New Roman"/>
          <w:sz w:val="30"/>
          <w:szCs w:val="30"/>
          <w:lang w:val="es-ES"/>
        </w:rPr>
        <w:br/>
      </w:r>
      <w:r>
        <w:rPr>
          <w:rFonts w:eastAsia="Times New Roman"/>
          <w:sz w:val="30"/>
          <w:szCs w:val="30"/>
          <w:lang w:val="es-ES"/>
        </w:rPr>
        <w:br/>
        <w:t>1. Estén constituidas todas las provisiones, ajustes y reservas exigidas, incluyendo las cor</w:t>
      </w:r>
      <w:r>
        <w:rPr>
          <w:rFonts w:eastAsia="Times New Roman"/>
          <w:sz w:val="30"/>
          <w:szCs w:val="30"/>
          <w:lang w:val="es-ES"/>
        </w:rPr>
        <w:t>respondientes al pago de tributos y a las utilidades correspondientes a los trabajadores;</w:t>
      </w:r>
      <w:r>
        <w:rPr>
          <w:rFonts w:eastAsia="Times New Roman"/>
          <w:sz w:val="30"/>
          <w:szCs w:val="30"/>
          <w:lang w:val="es-ES"/>
        </w:rPr>
        <w:br/>
      </w:r>
      <w:r>
        <w:rPr>
          <w:rFonts w:eastAsia="Times New Roman"/>
          <w:sz w:val="30"/>
          <w:szCs w:val="30"/>
          <w:lang w:val="es-ES"/>
        </w:rPr>
        <w:br/>
        <w:t>2. El cumplimiento de los límites establecidos en las disposiciones relativas a solvencia, liquidez, patrimonio técnico, vinculación, activos, contingentes y límites</w:t>
      </w:r>
      <w:r>
        <w:rPr>
          <w:rFonts w:eastAsia="Times New Roman"/>
          <w:sz w:val="30"/>
          <w:szCs w:val="30"/>
          <w:lang w:val="es-ES"/>
        </w:rPr>
        <w:t xml:space="preserve"> de crédito.</w:t>
      </w:r>
      <w:r>
        <w:rPr>
          <w:rFonts w:eastAsia="Times New Roman"/>
          <w:sz w:val="30"/>
          <w:szCs w:val="30"/>
          <w:lang w:val="es-ES"/>
        </w:rPr>
        <w:br/>
      </w:r>
      <w:r>
        <w:rPr>
          <w:rFonts w:eastAsia="Times New Roman"/>
          <w:sz w:val="30"/>
          <w:szCs w:val="30"/>
          <w:lang w:val="es-ES"/>
        </w:rPr>
        <w:br/>
        <w:t>Tendrán derecho a utilidades los accionistas que consten como tales en el libro de acciones y accionistas, a la fecha de haber sido declaradas.</w:t>
      </w:r>
    </w:p>
    <w:p w:rsidR="00000000" w:rsidRDefault="0018461E">
      <w:pPr>
        <w:divId w:val="1629974674"/>
        <w:rPr>
          <w:rFonts w:eastAsia="Times New Roman"/>
          <w:sz w:val="30"/>
          <w:szCs w:val="30"/>
          <w:lang w:val="es-ES"/>
        </w:rPr>
      </w:pPr>
      <w:r>
        <w:rPr>
          <w:rFonts w:eastAsia="Times New Roman"/>
          <w:sz w:val="30"/>
          <w:szCs w:val="30"/>
          <w:lang w:val="es-ES"/>
        </w:rPr>
        <w:t xml:space="preserve">Art. 406.- </w:t>
      </w:r>
      <w:r>
        <w:rPr>
          <w:rFonts w:eastAsia="Times New Roman"/>
          <w:b/>
          <w:bCs/>
          <w:sz w:val="30"/>
          <w:szCs w:val="30"/>
          <w:lang w:val="es-ES"/>
        </w:rPr>
        <w:t xml:space="preserve">Dividendos anticipados. </w:t>
      </w:r>
      <w:r>
        <w:rPr>
          <w:rFonts w:eastAsia="Times New Roman"/>
          <w:sz w:val="30"/>
          <w:szCs w:val="30"/>
          <w:lang w:val="es-ES"/>
        </w:rPr>
        <w:t xml:space="preserve">El directorio de una entidad financiera privada podrá resolver </w:t>
      </w:r>
      <w:r>
        <w:rPr>
          <w:rFonts w:eastAsia="Times New Roman"/>
          <w:sz w:val="30"/>
          <w:szCs w:val="30"/>
          <w:lang w:val="es-ES"/>
        </w:rPr>
        <w:t>el pago de dividendos anticipados, que consisten en las utilidades generadas por la entidad antes del cierre del ejercicio económico.</w:t>
      </w:r>
      <w:r>
        <w:rPr>
          <w:rFonts w:eastAsia="Times New Roman"/>
          <w:sz w:val="30"/>
          <w:szCs w:val="30"/>
          <w:lang w:val="es-ES"/>
        </w:rPr>
        <w:br/>
      </w:r>
      <w:r>
        <w:rPr>
          <w:rFonts w:eastAsia="Times New Roman"/>
          <w:sz w:val="30"/>
          <w:szCs w:val="30"/>
          <w:lang w:val="es-ES"/>
        </w:rPr>
        <w:br/>
        <w:t>Para el reparto de dividendos anticipados la entidad deberá cumplir previamente con las condiciones exigidas para el repa</w:t>
      </w:r>
      <w:r>
        <w:rPr>
          <w:rFonts w:eastAsia="Times New Roman"/>
          <w:sz w:val="30"/>
          <w:szCs w:val="30"/>
          <w:lang w:val="es-ES"/>
        </w:rPr>
        <w:t>rto de utilidades y contar con la autorización de la Superintendencia de Bancos. El monto de los dividendos anticipados a ser distribuidos no podrá exceder del 40% de las utilidades acumuladas del ejercicio en curso, ni ser superior al 80% del monto de las</w:t>
      </w:r>
      <w:r>
        <w:rPr>
          <w:rFonts w:eastAsia="Times New Roman"/>
          <w:sz w:val="30"/>
          <w:szCs w:val="30"/>
          <w:lang w:val="es-ES"/>
        </w:rPr>
        <w:t xml:space="preserve"> utilidades no distribuidas de ejercicios anteriores. El máximo valor para el reparto será el menor valor de las dos opciones.</w:t>
      </w:r>
      <w:r>
        <w:rPr>
          <w:rFonts w:eastAsia="Times New Roman"/>
          <w:sz w:val="30"/>
          <w:szCs w:val="30"/>
          <w:lang w:val="es-ES"/>
        </w:rPr>
        <w:br/>
      </w:r>
      <w:r>
        <w:rPr>
          <w:rFonts w:eastAsia="Times New Roman"/>
          <w:sz w:val="30"/>
          <w:szCs w:val="30"/>
          <w:lang w:val="es-ES"/>
        </w:rPr>
        <w:br/>
        <w:t>Los administradores de una entidad financiera privada que autoricen el pago de dividendos anticipados en contravención de lo pre</w:t>
      </w:r>
      <w:r>
        <w:rPr>
          <w:rFonts w:eastAsia="Times New Roman"/>
          <w:sz w:val="30"/>
          <w:szCs w:val="30"/>
          <w:lang w:val="es-ES"/>
        </w:rPr>
        <w:t xml:space="preserve">visto en este artículo, serán solidariamente responsables de tal pago y reembolsarán a la entidad, de su propio peculio, el monto de los </w:t>
      </w:r>
      <w:r>
        <w:rPr>
          <w:rFonts w:eastAsia="Times New Roman"/>
          <w:sz w:val="30"/>
          <w:szCs w:val="30"/>
          <w:lang w:val="es-ES"/>
        </w:rPr>
        <w:lastRenderedPageBreak/>
        <w:t>dividendos repartidos. La Superintendencia de Bancos hará efectiva esta obligación a través del ejercicio de la jurisdi</w:t>
      </w:r>
      <w:r>
        <w:rPr>
          <w:rFonts w:eastAsia="Times New Roman"/>
          <w:sz w:val="30"/>
          <w:szCs w:val="30"/>
          <w:lang w:val="es-ES"/>
        </w:rPr>
        <w:t>cción coactiva.</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GOBIERNO Y ADMINISTRACIÓN</w:t>
      </w:r>
    </w:p>
    <w:p w:rsidR="00000000" w:rsidRDefault="0018461E">
      <w:pPr>
        <w:divId w:val="1302811036"/>
        <w:rPr>
          <w:rFonts w:eastAsia="Times New Roman"/>
          <w:sz w:val="30"/>
          <w:szCs w:val="30"/>
          <w:lang w:val="es-ES"/>
        </w:rPr>
      </w:pPr>
      <w:r>
        <w:rPr>
          <w:rFonts w:eastAsia="Times New Roman"/>
          <w:sz w:val="30"/>
          <w:szCs w:val="30"/>
          <w:lang w:val="es-ES"/>
        </w:rPr>
        <w:t xml:space="preserve">Art. 407.- </w:t>
      </w:r>
      <w:r>
        <w:rPr>
          <w:rFonts w:eastAsia="Times New Roman"/>
          <w:b/>
          <w:bCs/>
          <w:sz w:val="30"/>
          <w:szCs w:val="30"/>
          <w:lang w:val="es-ES"/>
        </w:rPr>
        <w:t xml:space="preserve">Estructura. </w:t>
      </w:r>
      <w:r>
        <w:rPr>
          <w:rFonts w:eastAsia="Times New Roman"/>
          <w:sz w:val="30"/>
          <w:szCs w:val="30"/>
          <w:lang w:val="es-ES"/>
        </w:rPr>
        <w:t>El gobierno de las entidades financieras privadas estará integrado por:</w:t>
      </w:r>
      <w:r>
        <w:rPr>
          <w:rFonts w:eastAsia="Times New Roman"/>
          <w:sz w:val="30"/>
          <w:szCs w:val="30"/>
          <w:lang w:val="es-ES"/>
        </w:rPr>
        <w:br/>
      </w:r>
      <w:r>
        <w:rPr>
          <w:rFonts w:eastAsia="Times New Roman"/>
          <w:sz w:val="30"/>
          <w:szCs w:val="30"/>
          <w:lang w:val="es-ES"/>
        </w:rPr>
        <w:br/>
        <w:t>1. Junta General de Accionistas;</w:t>
      </w:r>
      <w:r>
        <w:rPr>
          <w:rFonts w:eastAsia="Times New Roman"/>
          <w:sz w:val="30"/>
          <w:szCs w:val="30"/>
          <w:lang w:val="es-ES"/>
        </w:rPr>
        <w:br/>
      </w:r>
      <w:r>
        <w:rPr>
          <w:rFonts w:eastAsia="Times New Roman"/>
          <w:sz w:val="30"/>
          <w:szCs w:val="30"/>
          <w:lang w:val="es-ES"/>
        </w:rPr>
        <w:br/>
        <w:t>2. Directorio; y</w:t>
      </w:r>
      <w:r>
        <w:rPr>
          <w:rFonts w:eastAsia="Times New Roman"/>
          <w:sz w:val="30"/>
          <w:szCs w:val="30"/>
          <w:lang w:val="es-ES"/>
        </w:rPr>
        <w:br/>
      </w:r>
      <w:r>
        <w:rPr>
          <w:rFonts w:eastAsia="Times New Roman"/>
          <w:sz w:val="30"/>
          <w:szCs w:val="30"/>
          <w:lang w:val="es-ES"/>
        </w:rPr>
        <w:br/>
        <w:t>3. Representante legal</w:t>
      </w:r>
      <w:r>
        <w:rPr>
          <w:rFonts w:eastAsia="Times New Roman"/>
          <w:sz w:val="30"/>
          <w:szCs w:val="30"/>
          <w:lang w:val="es-ES"/>
        </w:rPr>
        <w:br/>
      </w:r>
      <w:r>
        <w:rPr>
          <w:rFonts w:eastAsia="Times New Roman"/>
          <w:sz w:val="30"/>
          <w:szCs w:val="30"/>
          <w:lang w:val="es-ES"/>
        </w:rPr>
        <w:br/>
        <w:t>Los miembros del directori</w:t>
      </w:r>
      <w:r>
        <w:rPr>
          <w:rFonts w:eastAsia="Times New Roman"/>
          <w:sz w:val="30"/>
          <w:szCs w:val="30"/>
          <w:lang w:val="es-ES"/>
        </w:rPr>
        <w:t>o y los representantes legales serán considerados los administradores de la entidad. No se considerarán administradores a los procuradores judiciales que actúen en nombre de la entidad.</w:t>
      </w:r>
    </w:p>
    <w:p w:rsidR="00000000" w:rsidRDefault="0018461E">
      <w:pPr>
        <w:divId w:val="1687321293"/>
        <w:rPr>
          <w:rFonts w:eastAsia="Times New Roman"/>
          <w:sz w:val="30"/>
          <w:szCs w:val="30"/>
          <w:lang w:val="es-ES"/>
        </w:rPr>
      </w:pPr>
      <w:r>
        <w:rPr>
          <w:rFonts w:eastAsia="Times New Roman"/>
          <w:sz w:val="30"/>
          <w:szCs w:val="30"/>
          <w:lang w:val="es-ES"/>
        </w:rPr>
        <w:t xml:space="preserve">Art. 408.- </w:t>
      </w:r>
      <w:r>
        <w:rPr>
          <w:rFonts w:eastAsia="Times New Roman"/>
          <w:b/>
          <w:bCs/>
          <w:sz w:val="30"/>
          <w:szCs w:val="30"/>
          <w:lang w:val="es-ES"/>
        </w:rPr>
        <w:t xml:space="preserve">Junta general de accionistas. </w:t>
      </w:r>
      <w:r>
        <w:rPr>
          <w:rFonts w:eastAsia="Times New Roman"/>
          <w:sz w:val="30"/>
          <w:szCs w:val="30"/>
          <w:lang w:val="es-ES"/>
        </w:rPr>
        <w:t>La junta general, formada por</w:t>
      </w:r>
      <w:r>
        <w:rPr>
          <w:rFonts w:eastAsia="Times New Roman"/>
          <w:sz w:val="30"/>
          <w:szCs w:val="30"/>
          <w:lang w:val="es-ES"/>
        </w:rPr>
        <w:t xml:space="preserve"> los accionistas legalmente convocados y reunidos, es el órgano supremo de administración, con poderes para resolver todos los asuntos relativos a los negocios sociales y para tomar las decisiones que juzgue convenientes en defensa de la entidad y sus depo</w:t>
      </w:r>
      <w:r>
        <w:rPr>
          <w:rFonts w:eastAsia="Times New Roman"/>
          <w:sz w:val="30"/>
          <w:szCs w:val="30"/>
          <w:lang w:val="es-ES"/>
        </w:rPr>
        <w:t>sitantes y acreedores.</w:t>
      </w:r>
      <w:r>
        <w:rPr>
          <w:rFonts w:eastAsia="Times New Roman"/>
          <w:sz w:val="30"/>
          <w:szCs w:val="30"/>
          <w:lang w:val="es-ES"/>
        </w:rPr>
        <w:br/>
      </w:r>
      <w:r>
        <w:rPr>
          <w:rFonts w:eastAsia="Times New Roman"/>
          <w:sz w:val="30"/>
          <w:szCs w:val="30"/>
          <w:lang w:val="es-ES"/>
        </w:rPr>
        <w:br/>
        <w:t>Entre sus funciones estarán:</w:t>
      </w:r>
      <w:r>
        <w:rPr>
          <w:rFonts w:eastAsia="Times New Roman"/>
          <w:sz w:val="30"/>
          <w:szCs w:val="30"/>
          <w:lang w:val="es-ES"/>
        </w:rPr>
        <w:br/>
      </w:r>
      <w:r>
        <w:rPr>
          <w:rFonts w:eastAsia="Times New Roman"/>
          <w:sz w:val="30"/>
          <w:szCs w:val="30"/>
          <w:lang w:val="es-ES"/>
        </w:rPr>
        <w:br/>
        <w:t>1. Aprobar los informes del directorio sobre la marcha del negocio;</w:t>
      </w:r>
      <w:r>
        <w:rPr>
          <w:rFonts w:eastAsia="Times New Roman"/>
          <w:sz w:val="30"/>
          <w:szCs w:val="30"/>
          <w:lang w:val="es-ES"/>
        </w:rPr>
        <w:br/>
      </w:r>
      <w:r>
        <w:rPr>
          <w:rFonts w:eastAsia="Times New Roman"/>
          <w:sz w:val="30"/>
          <w:szCs w:val="30"/>
          <w:lang w:val="es-ES"/>
        </w:rPr>
        <w:br/>
        <w:t>2. Aprobar los estados financieros y opinar sobre estos, bajo su responsabilidad;</w:t>
      </w:r>
      <w:r>
        <w:rPr>
          <w:rFonts w:eastAsia="Times New Roman"/>
          <w:sz w:val="30"/>
          <w:szCs w:val="30"/>
          <w:lang w:val="es-ES"/>
        </w:rPr>
        <w:br/>
      </w:r>
      <w:r>
        <w:rPr>
          <w:rFonts w:eastAsia="Times New Roman"/>
          <w:sz w:val="30"/>
          <w:szCs w:val="30"/>
          <w:lang w:val="es-ES"/>
        </w:rPr>
        <w:br/>
        <w:t>3. Aprobar la distribución de utilidades;</w:t>
      </w:r>
      <w:r>
        <w:rPr>
          <w:rFonts w:eastAsia="Times New Roman"/>
          <w:sz w:val="30"/>
          <w:szCs w:val="30"/>
          <w:lang w:val="es-ES"/>
        </w:rPr>
        <w:br/>
      </w:r>
      <w:r>
        <w:rPr>
          <w:rFonts w:eastAsia="Times New Roman"/>
          <w:sz w:val="30"/>
          <w:szCs w:val="30"/>
          <w:lang w:val="es-ES"/>
        </w:rPr>
        <w:br/>
        <w:t>4. Envi</w:t>
      </w:r>
      <w:r>
        <w:rPr>
          <w:rFonts w:eastAsia="Times New Roman"/>
          <w:sz w:val="30"/>
          <w:szCs w:val="30"/>
          <w:lang w:val="es-ES"/>
        </w:rPr>
        <w:t>ar al organismo de control los informes señalados en los numerales precedentes, de conformidad con las normas que emita;</w:t>
      </w:r>
      <w:r>
        <w:rPr>
          <w:rFonts w:eastAsia="Times New Roman"/>
          <w:sz w:val="30"/>
          <w:szCs w:val="30"/>
          <w:lang w:val="es-ES"/>
        </w:rPr>
        <w:br/>
      </w:r>
      <w:r>
        <w:rPr>
          <w:rFonts w:eastAsia="Times New Roman"/>
          <w:sz w:val="30"/>
          <w:szCs w:val="30"/>
          <w:lang w:val="es-ES"/>
        </w:rPr>
        <w:br/>
        <w:t>5. Aprobar los aumentos del capital autorizado;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Nombrar a los auditores interno y externo;</w:t>
      </w:r>
      <w:r>
        <w:rPr>
          <w:rFonts w:eastAsia="Times New Roman"/>
          <w:sz w:val="30"/>
          <w:szCs w:val="30"/>
          <w:lang w:val="es-ES"/>
        </w:rPr>
        <w:br/>
      </w:r>
      <w:r>
        <w:rPr>
          <w:rFonts w:eastAsia="Times New Roman"/>
          <w:sz w:val="30"/>
          <w:szCs w:val="30"/>
          <w:lang w:val="es-ES"/>
        </w:rPr>
        <w:br/>
        <w:t>7. Aprobar los informes anuales de los</w:t>
      </w:r>
      <w:r>
        <w:rPr>
          <w:rFonts w:eastAsia="Times New Roman"/>
          <w:sz w:val="30"/>
          <w:szCs w:val="30"/>
          <w:lang w:val="es-ES"/>
        </w:rPr>
        <w:t xml:space="preserve"> auditores interno y externo; y,</w:t>
      </w:r>
      <w:r>
        <w:rPr>
          <w:rFonts w:eastAsia="Times New Roman"/>
          <w:sz w:val="30"/>
          <w:szCs w:val="30"/>
          <w:lang w:val="es-ES"/>
        </w:rPr>
        <w:br/>
      </w:r>
      <w:r>
        <w:rPr>
          <w:rFonts w:eastAsia="Times New Roman"/>
          <w:sz w:val="30"/>
          <w:szCs w:val="30"/>
          <w:lang w:val="es-ES"/>
        </w:rPr>
        <w:br/>
        <w:t>8. Las demás funciones que establezca este Código.</w:t>
      </w:r>
      <w:r>
        <w:rPr>
          <w:rFonts w:eastAsia="Times New Roman"/>
          <w:sz w:val="30"/>
          <w:szCs w:val="30"/>
          <w:lang w:val="es-ES"/>
        </w:rPr>
        <w:br/>
      </w:r>
      <w:r>
        <w:rPr>
          <w:rFonts w:eastAsia="Times New Roman"/>
          <w:sz w:val="30"/>
          <w:szCs w:val="30"/>
          <w:lang w:val="es-ES"/>
        </w:rPr>
        <w:br/>
        <w:t xml:space="preserve">La junta general de accionistas se reunirá en la forma y para los efectos determinados en este artículo y en las regulaciones que se dicten para el efecto, dentro de los </w:t>
      </w:r>
      <w:r>
        <w:rPr>
          <w:rFonts w:eastAsia="Times New Roman"/>
          <w:sz w:val="30"/>
          <w:szCs w:val="30"/>
          <w:lang w:val="es-ES"/>
        </w:rPr>
        <w:t>noventa días siguientes al cierre de cada ejercicio anual.</w:t>
      </w:r>
      <w:r>
        <w:rPr>
          <w:rFonts w:eastAsia="Times New Roman"/>
          <w:sz w:val="30"/>
          <w:szCs w:val="30"/>
          <w:lang w:val="es-ES"/>
        </w:rPr>
        <w:br/>
      </w:r>
      <w:r>
        <w:rPr>
          <w:rFonts w:eastAsia="Times New Roman"/>
          <w:sz w:val="30"/>
          <w:szCs w:val="30"/>
          <w:lang w:val="es-ES"/>
        </w:rPr>
        <w:br/>
        <w:t>La junta asimismo, si es del caso, conocerá el informe del auditor externo sobre el grupo financiero. Toda elección que realice la junta general de accionistas se efectuará por voto escrito, de cu</w:t>
      </w:r>
      <w:r>
        <w:rPr>
          <w:rFonts w:eastAsia="Times New Roman"/>
          <w:sz w:val="30"/>
          <w:szCs w:val="30"/>
          <w:lang w:val="es-ES"/>
        </w:rPr>
        <w:t>yo escrutinio se dejará constancia en el acta respectiva.</w:t>
      </w:r>
    </w:p>
    <w:p w:rsidR="00000000" w:rsidRDefault="0018461E">
      <w:pPr>
        <w:divId w:val="661205493"/>
        <w:rPr>
          <w:rFonts w:eastAsia="Times New Roman"/>
          <w:sz w:val="30"/>
          <w:szCs w:val="30"/>
          <w:lang w:val="es-ES"/>
        </w:rPr>
      </w:pPr>
      <w:r>
        <w:rPr>
          <w:rFonts w:eastAsia="Times New Roman"/>
          <w:sz w:val="30"/>
          <w:szCs w:val="30"/>
          <w:lang w:val="es-ES"/>
        </w:rPr>
        <w:t xml:space="preserve">Art. 409.- </w:t>
      </w:r>
      <w:r>
        <w:rPr>
          <w:rFonts w:eastAsia="Times New Roman"/>
          <w:b/>
          <w:bCs/>
          <w:sz w:val="30"/>
          <w:szCs w:val="30"/>
          <w:lang w:val="es-ES"/>
        </w:rPr>
        <w:t xml:space="preserve">Directorio. </w:t>
      </w:r>
      <w:r>
        <w:rPr>
          <w:rFonts w:eastAsia="Times New Roman"/>
          <w:sz w:val="30"/>
          <w:szCs w:val="30"/>
          <w:lang w:val="es-ES"/>
        </w:rPr>
        <w:t>Cada una de las entidades financieras privadas tendrá un directorio, conformado por un número impar de miembros, con un mínimo de cinco y un máximo de quince directores principales, elegidos por un período de hasta dos años por la junta general de accionis</w:t>
      </w:r>
      <w:r>
        <w:rPr>
          <w:rFonts w:eastAsia="Times New Roman"/>
          <w:sz w:val="30"/>
          <w:szCs w:val="30"/>
          <w:lang w:val="es-ES"/>
        </w:rPr>
        <w:t>tas, pudiendo ser reelegidos indefinidamente. La Junta designará además tantos directores suplentes cuantos principales tenga, por igual período.</w:t>
      </w:r>
      <w:r>
        <w:rPr>
          <w:rFonts w:eastAsia="Times New Roman"/>
          <w:sz w:val="30"/>
          <w:szCs w:val="30"/>
          <w:lang w:val="es-ES"/>
        </w:rPr>
        <w:br/>
      </w:r>
      <w:r>
        <w:rPr>
          <w:rFonts w:eastAsia="Times New Roman"/>
          <w:sz w:val="30"/>
          <w:szCs w:val="30"/>
          <w:lang w:val="es-ES"/>
        </w:rPr>
        <w:br/>
        <w:t>Para la designación de los directores principales y suplentes del directorio de una entidad financiera privad</w:t>
      </w:r>
      <w:r>
        <w:rPr>
          <w:rFonts w:eastAsia="Times New Roman"/>
          <w:sz w:val="30"/>
          <w:szCs w:val="30"/>
          <w:lang w:val="es-ES"/>
        </w:rPr>
        <w:t>a, se garantizará el derecho de la minoría, de acuerdo con las normas que dicte la Superintendencia de Bancos.</w:t>
      </w:r>
      <w:r>
        <w:rPr>
          <w:rFonts w:eastAsia="Times New Roman"/>
          <w:sz w:val="30"/>
          <w:szCs w:val="30"/>
          <w:lang w:val="es-ES"/>
        </w:rPr>
        <w:br/>
      </w:r>
      <w:r>
        <w:rPr>
          <w:rFonts w:eastAsia="Times New Roman"/>
          <w:sz w:val="30"/>
          <w:szCs w:val="30"/>
          <w:lang w:val="es-ES"/>
        </w:rPr>
        <w:br/>
        <w:t>La entidad financiera privada notificará al organismo de control la designación de directores, representantes legales y auditores interno y exte</w:t>
      </w:r>
      <w:r>
        <w:rPr>
          <w:rFonts w:eastAsia="Times New Roman"/>
          <w:sz w:val="30"/>
          <w:szCs w:val="30"/>
          <w:lang w:val="es-ES"/>
        </w:rPr>
        <w:t>rno, dentro del plazo de ocho días de su designación.</w:t>
      </w:r>
    </w:p>
    <w:p w:rsidR="00000000" w:rsidRDefault="0018461E">
      <w:pPr>
        <w:divId w:val="638924552"/>
        <w:rPr>
          <w:rFonts w:eastAsia="Times New Roman"/>
          <w:sz w:val="30"/>
          <w:szCs w:val="30"/>
          <w:lang w:val="es-ES"/>
        </w:rPr>
      </w:pPr>
      <w:r>
        <w:rPr>
          <w:rFonts w:eastAsia="Times New Roman"/>
          <w:sz w:val="30"/>
          <w:szCs w:val="30"/>
          <w:lang w:val="es-ES"/>
        </w:rPr>
        <w:t xml:space="preserve">Art. 410.- </w:t>
      </w:r>
      <w:r>
        <w:rPr>
          <w:rFonts w:eastAsia="Times New Roman"/>
          <w:b/>
          <w:bCs/>
          <w:sz w:val="30"/>
          <w:szCs w:val="30"/>
          <w:lang w:val="es-ES"/>
        </w:rPr>
        <w:t xml:space="preserve">Funciones del directorio. </w:t>
      </w:r>
      <w:r>
        <w:rPr>
          <w:rFonts w:eastAsia="Times New Roman"/>
          <w:sz w:val="30"/>
          <w:szCs w:val="30"/>
          <w:lang w:val="es-ES"/>
        </w:rPr>
        <w:t>El directorio de las entidades financieras privadas tendrá como funciones las siguientes:</w:t>
      </w:r>
      <w:r>
        <w:rPr>
          <w:rFonts w:eastAsia="Times New Roman"/>
          <w:sz w:val="30"/>
          <w:szCs w:val="30"/>
          <w:lang w:val="es-ES"/>
        </w:rPr>
        <w:br/>
      </w:r>
      <w:r>
        <w:rPr>
          <w:rFonts w:eastAsia="Times New Roman"/>
          <w:sz w:val="30"/>
          <w:szCs w:val="30"/>
          <w:lang w:val="es-ES"/>
        </w:rPr>
        <w:br/>
        <w:t>1. Conocer y resolver sobre el contenido y cumplimiento de las comunicacio</w:t>
      </w:r>
      <w:r>
        <w:rPr>
          <w:rFonts w:eastAsia="Times New Roman"/>
          <w:sz w:val="30"/>
          <w:szCs w:val="30"/>
          <w:lang w:val="es-ES"/>
        </w:rPr>
        <w:t>nes de la Superintendencia de Bancos referentes a disposiciones, observaciones, recomendaciones e iniciativas sobre la marcha de la entidad;</w:t>
      </w:r>
      <w:r>
        <w:rPr>
          <w:rFonts w:eastAsia="Times New Roman"/>
          <w:sz w:val="30"/>
          <w:szCs w:val="30"/>
          <w:lang w:val="es-ES"/>
        </w:rPr>
        <w:br/>
      </w:r>
      <w:r>
        <w:rPr>
          <w:rFonts w:eastAsia="Times New Roman"/>
          <w:sz w:val="30"/>
          <w:szCs w:val="30"/>
          <w:lang w:val="es-ES"/>
        </w:rPr>
        <w:br/>
        <w:t xml:space="preserve">2. Analizar y aprobar las políticas de la entidad, controlar su </w:t>
      </w:r>
      <w:r>
        <w:rPr>
          <w:rFonts w:eastAsia="Times New Roman"/>
          <w:sz w:val="30"/>
          <w:szCs w:val="30"/>
          <w:lang w:val="es-ES"/>
        </w:rPr>
        <w:lastRenderedPageBreak/>
        <w:t>ejecución, y los informes de riesgo;</w:t>
      </w:r>
      <w:r>
        <w:rPr>
          <w:rFonts w:eastAsia="Times New Roman"/>
          <w:sz w:val="30"/>
          <w:szCs w:val="30"/>
          <w:lang w:val="es-ES"/>
        </w:rPr>
        <w:br/>
      </w:r>
      <w:r>
        <w:rPr>
          <w:rFonts w:eastAsia="Times New Roman"/>
          <w:sz w:val="30"/>
          <w:szCs w:val="30"/>
          <w:lang w:val="es-ES"/>
        </w:rPr>
        <w:br/>
        <w:t>3. Aprobar l</w:t>
      </w:r>
      <w:r>
        <w:rPr>
          <w:rFonts w:eastAsia="Times New Roman"/>
          <w:sz w:val="30"/>
          <w:szCs w:val="30"/>
          <w:lang w:val="es-ES"/>
        </w:rPr>
        <w:t>as operaciones activas y contingentes que individualmente excedan el 2% del patrimonio técnico, y sus garantías, y conocer las operaciones pasivas que superen dicho porcentaje;</w:t>
      </w:r>
      <w:r>
        <w:rPr>
          <w:rFonts w:eastAsia="Times New Roman"/>
          <w:sz w:val="30"/>
          <w:szCs w:val="30"/>
          <w:lang w:val="es-ES"/>
        </w:rPr>
        <w:br/>
      </w:r>
      <w:r>
        <w:rPr>
          <w:rFonts w:eastAsia="Times New Roman"/>
          <w:sz w:val="30"/>
          <w:szCs w:val="30"/>
          <w:lang w:val="es-ES"/>
        </w:rPr>
        <w:br/>
        <w:t>4. Aprobar los aumentos de capital suscrito y pagado;</w:t>
      </w:r>
      <w:r>
        <w:rPr>
          <w:rFonts w:eastAsia="Times New Roman"/>
          <w:sz w:val="30"/>
          <w:szCs w:val="30"/>
          <w:lang w:val="es-ES"/>
        </w:rPr>
        <w:br/>
      </w:r>
      <w:r>
        <w:rPr>
          <w:rFonts w:eastAsia="Times New Roman"/>
          <w:sz w:val="30"/>
          <w:szCs w:val="30"/>
          <w:lang w:val="es-ES"/>
        </w:rPr>
        <w:br/>
        <w:t>5. Cumplir y hacer cump</w:t>
      </w:r>
      <w:r>
        <w:rPr>
          <w:rFonts w:eastAsia="Times New Roman"/>
          <w:sz w:val="30"/>
          <w:szCs w:val="30"/>
          <w:lang w:val="es-ES"/>
        </w:rPr>
        <w:t>lir las disposiciones de este Código, las regulaciones de la Junta de Política y Regulación Monetaria y Financiera, las normas de la Superintendencia de Bancos, las resoluciones de la junta general de accionistas y del directorio;</w:t>
      </w:r>
      <w:r>
        <w:rPr>
          <w:rFonts w:eastAsia="Times New Roman"/>
          <w:sz w:val="30"/>
          <w:szCs w:val="30"/>
          <w:lang w:val="es-ES"/>
        </w:rPr>
        <w:br/>
      </w:r>
      <w:r>
        <w:rPr>
          <w:rFonts w:eastAsia="Times New Roman"/>
          <w:sz w:val="30"/>
          <w:szCs w:val="30"/>
          <w:lang w:val="es-ES"/>
        </w:rPr>
        <w:br/>
        <w:t>6. Aprobar los reglament</w:t>
      </w:r>
      <w:r>
        <w:rPr>
          <w:rFonts w:eastAsia="Times New Roman"/>
          <w:sz w:val="30"/>
          <w:szCs w:val="30"/>
          <w:lang w:val="es-ES"/>
        </w:rPr>
        <w:t>os internos;</w:t>
      </w:r>
      <w:r>
        <w:rPr>
          <w:rFonts w:eastAsia="Times New Roman"/>
          <w:sz w:val="30"/>
          <w:szCs w:val="30"/>
          <w:lang w:val="es-ES"/>
        </w:rPr>
        <w:br/>
      </w:r>
      <w:r>
        <w:rPr>
          <w:rFonts w:eastAsia="Times New Roman"/>
          <w:sz w:val="30"/>
          <w:szCs w:val="30"/>
          <w:lang w:val="es-ES"/>
        </w:rPr>
        <w:br/>
        <w:t>7. Designar al representante legal;</w:t>
      </w:r>
      <w:r>
        <w:rPr>
          <w:rFonts w:eastAsia="Times New Roman"/>
          <w:sz w:val="30"/>
          <w:szCs w:val="30"/>
          <w:lang w:val="es-ES"/>
        </w:rPr>
        <w:br/>
      </w:r>
      <w:r>
        <w:rPr>
          <w:rFonts w:eastAsia="Times New Roman"/>
          <w:sz w:val="30"/>
          <w:szCs w:val="30"/>
          <w:lang w:val="es-ES"/>
        </w:rPr>
        <w:br/>
        <w:t>8. Designar peritos valuadores y a la firma calificadora de riesgos sujetos a calificación previa por parte de la Superintendencia de Bancos;</w:t>
      </w:r>
      <w:r>
        <w:rPr>
          <w:rFonts w:eastAsia="Times New Roman"/>
          <w:sz w:val="30"/>
          <w:szCs w:val="30"/>
          <w:lang w:val="es-ES"/>
        </w:rPr>
        <w:br/>
      </w:r>
      <w:r>
        <w:rPr>
          <w:rFonts w:eastAsia="Times New Roman"/>
          <w:sz w:val="30"/>
          <w:szCs w:val="30"/>
          <w:lang w:val="es-ES"/>
        </w:rPr>
        <w:br/>
        <w:t xml:space="preserve">9. Emitir opinión, bajo su responsabilidad, sobre los estados </w:t>
      </w:r>
      <w:r>
        <w:rPr>
          <w:rFonts w:eastAsia="Times New Roman"/>
          <w:sz w:val="30"/>
          <w:szCs w:val="30"/>
          <w:lang w:val="es-ES"/>
        </w:rPr>
        <w:t>financieros y el informe de auditoría interna, que deberá incluir la opinión del auditor, referente al cumplimiento de los controles para evitar actividades ilícitas, incluyendo el lavado de activos y el financiamiento de delitos como el terrorismo. La opi</w:t>
      </w:r>
      <w:r>
        <w:rPr>
          <w:rFonts w:eastAsia="Times New Roman"/>
          <w:sz w:val="30"/>
          <w:szCs w:val="30"/>
          <w:lang w:val="es-ES"/>
        </w:rPr>
        <w:t>nión del directorio deberá ser enviada al organismo de control observando las instrucciones dispuestas para el efecto;</w:t>
      </w:r>
      <w:r>
        <w:rPr>
          <w:rFonts w:eastAsia="Times New Roman"/>
          <w:sz w:val="30"/>
          <w:szCs w:val="30"/>
          <w:lang w:val="es-ES"/>
        </w:rPr>
        <w:br/>
      </w:r>
      <w:r>
        <w:rPr>
          <w:rFonts w:eastAsia="Times New Roman"/>
          <w:sz w:val="30"/>
          <w:szCs w:val="30"/>
          <w:lang w:val="es-ES"/>
        </w:rPr>
        <w:br/>
        <w:t>10. Presentar los informes que le sean requeridos por los organismos de control; y,</w:t>
      </w:r>
      <w:r>
        <w:rPr>
          <w:rFonts w:eastAsia="Times New Roman"/>
          <w:sz w:val="30"/>
          <w:szCs w:val="30"/>
          <w:lang w:val="es-ES"/>
        </w:rPr>
        <w:br/>
      </w:r>
      <w:r>
        <w:rPr>
          <w:rFonts w:eastAsia="Times New Roman"/>
          <w:sz w:val="30"/>
          <w:szCs w:val="30"/>
          <w:lang w:val="es-ES"/>
        </w:rPr>
        <w:br/>
        <w:t xml:space="preserve">11. Las demás que le asigne el respectivo estatuto </w:t>
      </w:r>
      <w:r>
        <w:rPr>
          <w:rFonts w:eastAsia="Times New Roman"/>
          <w:sz w:val="30"/>
          <w:szCs w:val="30"/>
          <w:lang w:val="es-ES"/>
        </w:rPr>
        <w:t>social.</w:t>
      </w:r>
      <w:r>
        <w:rPr>
          <w:rFonts w:eastAsia="Times New Roman"/>
          <w:sz w:val="30"/>
          <w:szCs w:val="30"/>
          <w:lang w:val="es-ES"/>
        </w:rPr>
        <w:br/>
      </w:r>
      <w:r>
        <w:rPr>
          <w:rFonts w:eastAsia="Times New Roman"/>
          <w:sz w:val="30"/>
          <w:szCs w:val="30"/>
          <w:lang w:val="es-ES"/>
        </w:rPr>
        <w:br/>
        <w:t>Los miembros del directorio serán civil y penalmente responsables por sus acciones u omisiones en el cumplimiento de sus respectivas funciones y deberes.</w:t>
      </w:r>
    </w:p>
    <w:p w:rsidR="00000000" w:rsidRDefault="0018461E">
      <w:pPr>
        <w:divId w:val="1131896183"/>
        <w:rPr>
          <w:rFonts w:eastAsia="Times New Roman"/>
          <w:sz w:val="30"/>
          <w:szCs w:val="30"/>
          <w:lang w:val="es-ES"/>
        </w:rPr>
      </w:pPr>
      <w:r>
        <w:rPr>
          <w:rFonts w:eastAsia="Times New Roman"/>
          <w:sz w:val="30"/>
          <w:szCs w:val="30"/>
          <w:lang w:val="es-ES"/>
        </w:rPr>
        <w:t xml:space="preserve">Art. 411.- </w:t>
      </w:r>
      <w:r>
        <w:rPr>
          <w:rFonts w:eastAsia="Times New Roman"/>
          <w:b/>
          <w:bCs/>
          <w:sz w:val="30"/>
          <w:szCs w:val="30"/>
          <w:lang w:val="es-ES"/>
        </w:rPr>
        <w:t xml:space="preserve">Inoperancia del directorio. </w:t>
      </w:r>
      <w:r>
        <w:rPr>
          <w:rFonts w:eastAsia="Times New Roman"/>
          <w:sz w:val="30"/>
          <w:szCs w:val="30"/>
          <w:lang w:val="es-ES"/>
        </w:rPr>
        <w:t xml:space="preserve">Se presumirá la inoperancia del directorio cuando no se hubiese completado el quórum requerido en dos convocatorias sucesivas a reuniones de directorio y siempre </w:t>
      </w:r>
      <w:r>
        <w:rPr>
          <w:rFonts w:eastAsia="Times New Roman"/>
          <w:sz w:val="30"/>
          <w:szCs w:val="30"/>
          <w:lang w:val="es-ES"/>
        </w:rPr>
        <w:lastRenderedPageBreak/>
        <w:t>que se hubiese notificado en la forma estatutaria a todos los miembros. En este caso, se proce</w:t>
      </w:r>
      <w:r>
        <w:rPr>
          <w:rFonts w:eastAsia="Times New Roman"/>
          <w:sz w:val="30"/>
          <w:szCs w:val="30"/>
          <w:lang w:val="es-ES"/>
        </w:rPr>
        <w:t>derá a su renovación; para tal efecto, el representante legal, a requerimiento del organismo de control, convocará de inmediato a junta general de accionistas para elegir a todos los vocales, de acuerdo al respectivo estatuto.</w:t>
      </w:r>
    </w:p>
    <w:p w:rsidR="00000000" w:rsidRDefault="0018461E">
      <w:pPr>
        <w:divId w:val="1114908676"/>
        <w:rPr>
          <w:rFonts w:eastAsia="Times New Roman"/>
          <w:sz w:val="30"/>
          <w:szCs w:val="30"/>
          <w:lang w:val="es-ES"/>
        </w:rPr>
      </w:pPr>
      <w:r>
        <w:rPr>
          <w:rFonts w:eastAsia="Times New Roman"/>
          <w:sz w:val="30"/>
          <w:szCs w:val="30"/>
          <w:lang w:val="es-ES"/>
        </w:rPr>
        <w:t xml:space="preserve">Art. 412.- </w:t>
      </w:r>
      <w:r>
        <w:rPr>
          <w:rFonts w:eastAsia="Times New Roman"/>
          <w:b/>
          <w:bCs/>
          <w:sz w:val="30"/>
          <w:szCs w:val="30"/>
          <w:lang w:val="es-ES"/>
        </w:rPr>
        <w:t>Remoción del direc</w:t>
      </w:r>
      <w:r>
        <w:rPr>
          <w:rFonts w:eastAsia="Times New Roman"/>
          <w:b/>
          <w:bCs/>
          <w:sz w:val="30"/>
          <w:szCs w:val="30"/>
          <w:lang w:val="es-ES"/>
        </w:rPr>
        <w:t xml:space="preserve">torio. </w:t>
      </w:r>
      <w:r>
        <w:rPr>
          <w:rFonts w:eastAsia="Times New Roman"/>
          <w:sz w:val="30"/>
          <w:szCs w:val="30"/>
          <w:lang w:val="es-ES"/>
        </w:rPr>
        <w:t>Los miembros del directorio de una entidad financiera privada podrán ser removidos, en cualquier tiempo, por el organismo de control por cualquiera de las siguientes causas:</w:t>
      </w:r>
      <w:r>
        <w:rPr>
          <w:rFonts w:eastAsia="Times New Roman"/>
          <w:sz w:val="30"/>
          <w:szCs w:val="30"/>
          <w:lang w:val="es-ES"/>
        </w:rPr>
        <w:br/>
      </w:r>
      <w:r>
        <w:rPr>
          <w:rFonts w:eastAsia="Times New Roman"/>
          <w:sz w:val="30"/>
          <w:szCs w:val="30"/>
          <w:lang w:val="es-ES"/>
        </w:rPr>
        <w:br/>
        <w:t>1. Estar incurso en los impedimentos determinados en el artículo 258;</w:t>
      </w:r>
      <w:r>
        <w:rPr>
          <w:rFonts w:eastAsia="Times New Roman"/>
          <w:sz w:val="30"/>
          <w:szCs w:val="30"/>
          <w:lang w:val="es-ES"/>
        </w:rPr>
        <w:br/>
      </w:r>
      <w:r>
        <w:rPr>
          <w:rFonts w:eastAsia="Times New Roman"/>
          <w:sz w:val="30"/>
          <w:szCs w:val="30"/>
          <w:lang w:val="es-ES"/>
        </w:rPr>
        <w:br/>
        <w:t xml:space="preserve">2. </w:t>
      </w:r>
      <w:r>
        <w:rPr>
          <w:rFonts w:eastAsia="Times New Roman"/>
          <w:sz w:val="30"/>
          <w:szCs w:val="30"/>
          <w:lang w:val="es-ES"/>
        </w:rPr>
        <w:t>Reticencia en cumplir las disposiciones impartidas por el organismo de control;</w:t>
      </w:r>
      <w:r>
        <w:rPr>
          <w:rFonts w:eastAsia="Times New Roman"/>
          <w:sz w:val="30"/>
          <w:szCs w:val="30"/>
          <w:lang w:val="es-ES"/>
        </w:rPr>
        <w:br/>
      </w:r>
      <w:r>
        <w:rPr>
          <w:rFonts w:eastAsia="Times New Roman"/>
          <w:sz w:val="30"/>
          <w:szCs w:val="30"/>
          <w:lang w:val="es-ES"/>
        </w:rPr>
        <w:br/>
        <w:t>3. Adulterar o distorsionar los estados financieros;</w:t>
      </w:r>
      <w:r>
        <w:rPr>
          <w:rFonts w:eastAsia="Times New Roman"/>
          <w:sz w:val="30"/>
          <w:szCs w:val="30"/>
          <w:lang w:val="es-ES"/>
        </w:rPr>
        <w:br/>
      </w:r>
      <w:r>
        <w:rPr>
          <w:rFonts w:eastAsia="Times New Roman"/>
          <w:sz w:val="30"/>
          <w:szCs w:val="30"/>
          <w:lang w:val="es-ES"/>
        </w:rPr>
        <w:br/>
        <w:t>4. Obstaculizar las acciones de control;</w:t>
      </w:r>
      <w:r>
        <w:rPr>
          <w:rFonts w:eastAsia="Times New Roman"/>
          <w:sz w:val="30"/>
          <w:szCs w:val="30"/>
          <w:lang w:val="es-ES"/>
        </w:rPr>
        <w:br/>
      </w:r>
      <w:r>
        <w:rPr>
          <w:rFonts w:eastAsia="Times New Roman"/>
          <w:sz w:val="30"/>
          <w:szCs w:val="30"/>
          <w:lang w:val="es-ES"/>
        </w:rPr>
        <w:br/>
        <w:t>5. Realizar operaciones que fomenten o comporten actos ilícitos;</w:t>
      </w:r>
      <w:r>
        <w:rPr>
          <w:rFonts w:eastAsia="Times New Roman"/>
          <w:sz w:val="30"/>
          <w:szCs w:val="30"/>
          <w:lang w:val="es-ES"/>
        </w:rPr>
        <w:br/>
      </w:r>
      <w:r>
        <w:rPr>
          <w:rFonts w:eastAsia="Times New Roman"/>
          <w:sz w:val="30"/>
          <w:szCs w:val="30"/>
          <w:lang w:val="es-ES"/>
        </w:rPr>
        <w:br/>
        <w:t>6. Ejecutar a</w:t>
      </w:r>
      <w:r>
        <w:rPr>
          <w:rFonts w:eastAsia="Times New Roman"/>
          <w:sz w:val="30"/>
          <w:szCs w:val="30"/>
          <w:lang w:val="es-ES"/>
        </w:rPr>
        <w:t>ctos graves que hagan temer por la estabilidad de la entidad; y,</w:t>
      </w:r>
      <w:r>
        <w:rPr>
          <w:rFonts w:eastAsia="Times New Roman"/>
          <w:sz w:val="30"/>
          <w:szCs w:val="30"/>
          <w:lang w:val="es-ES"/>
        </w:rPr>
        <w:br/>
      </w:r>
      <w:r>
        <w:rPr>
          <w:rFonts w:eastAsia="Times New Roman"/>
          <w:sz w:val="30"/>
          <w:szCs w:val="30"/>
          <w:lang w:val="es-ES"/>
        </w:rPr>
        <w:br/>
        <w:t>7. Por cualquier otra causa determinada en este Código.</w:t>
      </w:r>
      <w:r>
        <w:rPr>
          <w:rFonts w:eastAsia="Times New Roman"/>
          <w:sz w:val="30"/>
          <w:szCs w:val="30"/>
          <w:lang w:val="es-ES"/>
        </w:rPr>
        <w:br/>
      </w:r>
      <w:r>
        <w:rPr>
          <w:rFonts w:eastAsia="Times New Roman"/>
          <w:sz w:val="30"/>
          <w:szCs w:val="30"/>
          <w:lang w:val="es-ES"/>
        </w:rPr>
        <w:br/>
        <w:t>La junta general de accionistas, en el plazo de tres días, convocará a sesión para la designación de los nuevos directores; en caso d</w:t>
      </w:r>
      <w:r>
        <w:rPr>
          <w:rFonts w:eastAsia="Times New Roman"/>
          <w:sz w:val="30"/>
          <w:szCs w:val="30"/>
          <w:lang w:val="es-ES"/>
        </w:rPr>
        <w:t>e no hacerlo, el organismo de control procederá a convocarla.</w:t>
      </w:r>
      <w:r>
        <w:rPr>
          <w:rFonts w:eastAsia="Times New Roman"/>
          <w:sz w:val="30"/>
          <w:szCs w:val="30"/>
          <w:lang w:val="es-ES"/>
        </w:rPr>
        <w:br/>
      </w:r>
      <w:r>
        <w:rPr>
          <w:rFonts w:eastAsia="Times New Roman"/>
          <w:sz w:val="30"/>
          <w:szCs w:val="30"/>
          <w:lang w:val="es-ES"/>
        </w:rPr>
        <w:br/>
        <w:t xml:space="preserve">Si transcurrido el plazo de treinta días contados desde la fecha en que el organismo de control dispuso las referidas remociones, la entidad financiera no hubiese modificado sus procedimientos </w:t>
      </w:r>
      <w:r>
        <w:rPr>
          <w:rFonts w:eastAsia="Times New Roman"/>
          <w:sz w:val="30"/>
          <w:szCs w:val="30"/>
          <w:lang w:val="es-ES"/>
        </w:rPr>
        <w:t>o si el órgano competente no se reuniese o no tomase los acuerdos correspondientes, se dispondrá sin más trámite la liquidación forzosa de la entidad.</w:t>
      </w:r>
    </w:p>
    <w:p w:rsidR="00000000" w:rsidRDefault="0018461E">
      <w:pPr>
        <w:divId w:val="631642484"/>
        <w:rPr>
          <w:rFonts w:eastAsia="Times New Roman"/>
          <w:sz w:val="30"/>
          <w:szCs w:val="30"/>
          <w:lang w:val="es-ES"/>
        </w:rPr>
      </w:pPr>
      <w:r>
        <w:rPr>
          <w:rFonts w:eastAsia="Times New Roman"/>
          <w:sz w:val="30"/>
          <w:szCs w:val="30"/>
          <w:lang w:val="es-ES"/>
        </w:rPr>
        <w:t xml:space="preserve">Art. 413.- </w:t>
      </w:r>
      <w:r>
        <w:rPr>
          <w:rFonts w:eastAsia="Times New Roman"/>
          <w:b/>
          <w:bCs/>
          <w:sz w:val="30"/>
          <w:szCs w:val="30"/>
          <w:lang w:val="es-ES"/>
        </w:rPr>
        <w:t xml:space="preserve">Representante legal. </w:t>
      </w:r>
      <w:r>
        <w:rPr>
          <w:rFonts w:eastAsia="Times New Roman"/>
          <w:sz w:val="30"/>
          <w:szCs w:val="30"/>
          <w:lang w:val="es-ES"/>
        </w:rPr>
        <w:t>La representación legal de la entidad será ejercida por la persona o pers</w:t>
      </w:r>
      <w:r>
        <w:rPr>
          <w:rFonts w:eastAsia="Times New Roman"/>
          <w:sz w:val="30"/>
          <w:szCs w:val="30"/>
          <w:lang w:val="es-ES"/>
        </w:rPr>
        <w:t>onas que designe el órgano competente, de conformidad con lo establecido en el estatuto social. Le serán aplicables las disposiciones de los artículos 258 y 412, en lo que corresponda.</w:t>
      </w:r>
    </w:p>
    <w:p w:rsidR="00000000" w:rsidRDefault="0018461E">
      <w:pPr>
        <w:divId w:val="149105315"/>
        <w:rPr>
          <w:rFonts w:eastAsia="Times New Roman"/>
          <w:sz w:val="30"/>
          <w:szCs w:val="30"/>
          <w:lang w:val="es-ES"/>
        </w:rPr>
      </w:pPr>
      <w:r>
        <w:rPr>
          <w:rFonts w:eastAsia="Times New Roman"/>
          <w:sz w:val="30"/>
          <w:szCs w:val="30"/>
          <w:lang w:val="es-ES"/>
        </w:rPr>
        <w:lastRenderedPageBreak/>
        <w:t xml:space="preserve">Art. 414.- </w:t>
      </w:r>
      <w:r>
        <w:rPr>
          <w:rFonts w:eastAsia="Times New Roman"/>
          <w:b/>
          <w:bCs/>
          <w:sz w:val="30"/>
          <w:szCs w:val="30"/>
          <w:lang w:val="es-ES"/>
        </w:rPr>
        <w:t xml:space="preserve">Funciones del representante legal. </w:t>
      </w:r>
      <w:r>
        <w:rPr>
          <w:rFonts w:eastAsia="Times New Roman"/>
          <w:sz w:val="30"/>
          <w:szCs w:val="30"/>
          <w:lang w:val="es-ES"/>
        </w:rPr>
        <w:t>Sin perjuicio de las func</w:t>
      </w:r>
      <w:r>
        <w:rPr>
          <w:rFonts w:eastAsia="Times New Roman"/>
          <w:sz w:val="30"/>
          <w:szCs w:val="30"/>
          <w:lang w:val="es-ES"/>
        </w:rPr>
        <w:t>iones que le asigne el estatuto social y del cumplimiento de otras obligaciones legales, el representante legal de una entidad financiera privada estará obligado a:</w:t>
      </w:r>
      <w:r>
        <w:rPr>
          <w:rFonts w:eastAsia="Times New Roman"/>
          <w:sz w:val="30"/>
          <w:szCs w:val="30"/>
          <w:lang w:val="es-ES"/>
        </w:rPr>
        <w:br/>
      </w:r>
      <w:r>
        <w:rPr>
          <w:rFonts w:eastAsia="Times New Roman"/>
          <w:sz w:val="30"/>
          <w:szCs w:val="30"/>
          <w:lang w:val="es-ES"/>
        </w:rPr>
        <w:br/>
        <w:t>1. Informar al directorio, al menos mensualmente, de las operaciones de crédito, inversion</w:t>
      </w:r>
      <w:r>
        <w:rPr>
          <w:rFonts w:eastAsia="Times New Roman"/>
          <w:sz w:val="30"/>
          <w:szCs w:val="30"/>
          <w:lang w:val="es-ES"/>
        </w:rPr>
        <w:t>es, operaciones pasivas, contingentes y sobre sus garantías realizadas con una misma persona o personas relacionadas entre sí, que sean superiores al 2% del patrimonio técnico de la entidad. Una copia de tal informe se archivará con el acta de la respectiv</w:t>
      </w:r>
      <w:r>
        <w:rPr>
          <w:rFonts w:eastAsia="Times New Roman"/>
          <w:sz w:val="30"/>
          <w:szCs w:val="30"/>
          <w:lang w:val="es-ES"/>
        </w:rPr>
        <w:t>a sesión del directorio;</w:t>
      </w:r>
      <w:r>
        <w:rPr>
          <w:rFonts w:eastAsia="Times New Roman"/>
          <w:sz w:val="30"/>
          <w:szCs w:val="30"/>
          <w:lang w:val="es-ES"/>
        </w:rPr>
        <w:br/>
      </w:r>
      <w:r>
        <w:rPr>
          <w:rFonts w:eastAsia="Times New Roman"/>
          <w:sz w:val="30"/>
          <w:szCs w:val="30"/>
          <w:lang w:val="es-ES"/>
        </w:rPr>
        <w:br/>
        <w:t xml:space="preserve">2. Poner en conocimiento del directorio, en la próxima reunión que éste celebre, toda comunicación de la superintendencia que contenga observaciones y cuando así lo exija, dejando constancia de ello en el acta de la sesión, en la </w:t>
      </w:r>
      <w:r>
        <w:rPr>
          <w:rFonts w:eastAsia="Times New Roman"/>
          <w:sz w:val="30"/>
          <w:szCs w:val="30"/>
          <w:lang w:val="es-ES"/>
        </w:rPr>
        <w:t>que constará, además, la resolución adoptada por el directorio. Copia certificada se remitirá a la Superintendencia de Bancos dentro del término de un día contado a partir de la fecha en la que concluyó la sesión.; y,</w:t>
      </w:r>
      <w:r>
        <w:rPr>
          <w:rFonts w:eastAsia="Times New Roman"/>
          <w:sz w:val="30"/>
          <w:szCs w:val="30"/>
          <w:lang w:val="es-ES"/>
        </w:rPr>
        <w:br/>
      </w:r>
      <w:r>
        <w:rPr>
          <w:rFonts w:eastAsia="Times New Roman"/>
          <w:sz w:val="30"/>
          <w:szCs w:val="30"/>
          <w:lang w:val="es-ES"/>
        </w:rPr>
        <w:br/>
        <w:t>3. Poner en conocimiento del director</w:t>
      </w:r>
      <w:r>
        <w:rPr>
          <w:rFonts w:eastAsia="Times New Roman"/>
          <w:sz w:val="30"/>
          <w:szCs w:val="30"/>
          <w:lang w:val="es-ES"/>
        </w:rPr>
        <w:t>io, en la próxima reunión que éste celebre, toda comunicación proveniente de la Junta de Política y Regulación Monetaria y Financiera, Corporación del Seguro de Depósitos y Fondo de Liquidez y Banco Central del Ecuador, relacionada con las actividades de l</w:t>
      </w:r>
      <w:r>
        <w:rPr>
          <w:rFonts w:eastAsia="Times New Roman"/>
          <w:sz w:val="30"/>
          <w:szCs w:val="30"/>
          <w:lang w:val="es-ES"/>
        </w:rPr>
        <w:t>a entidad.</w:t>
      </w:r>
    </w:p>
    <w:p w:rsidR="00000000" w:rsidRDefault="0018461E">
      <w:pPr>
        <w:jc w:val="center"/>
        <w:rPr>
          <w:rFonts w:eastAsia="Times New Roman"/>
          <w:sz w:val="36"/>
          <w:szCs w:val="36"/>
          <w:lang w:val="es-ES"/>
        </w:rPr>
      </w:pPr>
      <w:r>
        <w:rPr>
          <w:rFonts w:eastAsia="Times New Roman"/>
          <w:b/>
          <w:bCs/>
          <w:sz w:val="36"/>
          <w:szCs w:val="36"/>
          <w:lang w:val="es-ES"/>
        </w:rPr>
        <w:br/>
        <w:t>Sección 6</w:t>
      </w:r>
      <w:r>
        <w:rPr>
          <w:rFonts w:eastAsia="Times New Roman"/>
          <w:b/>
          <w:bCs/>
          <w:sz w:val="36"/>
          <w:szCs w:val="36"/>
          <w:lang w:val="es-ES"/>
        </w:rPr>
        <w:br/>
        <w:t>DE LAS OPERACIONES DEL SECTOR FINANCIERO PRIVADO</w:t>
      </w:r>
    </w:p>
    <w:p w:rsidR="00000000" w:rsidRDefault="0018461E">
      <w:pPr>
        <w:divId w:val="910390976"/>
        <w:rPr>
          <w:rFonts w:eastAsia="Times New Roman"/>
          <w:sz w:val="30"/>
          <w:szCs w:val="30"/>
          <w:lang w:val="es-ES"/>
        </w:rPr>
      </w:pPr>
      <w:r>
        <w:rPr>
          <w:rFonts w:eastAsia="Times New Roman"/>
          <w:sz w:val="30"/>
          <w:szCs w:val="30"/>
          <w:lang w:val="es-ES"/>
        </w:rPr>
        <w:t xml:space="preserve">Art. 415.- </w:t>
      </w:r>
      <w:r>
        <w:rPr>
          <w:rFonts w:eastAsia="Times New Roman"/>
          <w:b/>
          <w:bCs/>
          <w:sz w:val="30"/>
          <w:szCs w:val="30"/>
          <w:lang w:val="es-ES"/>
        </w:rPr>
        <w:t xml:space="preserve">Operaciones. </w:t>
      </w:r>
      <w:r>
        <w:rPr>
          <w:rFonts w:eastAsia="Times New Roman"/>
          <w:sz w:val="30"/>
          <w:szCs w:val="30"/>
          <w:lang w:val="es-ES"/>
        </w:rPr>
        <w:t xml:space="preserve">Las entidades financieras privadas podrán efectuar las operaciones determinadas en el artículo 194 que fueren previamente autorizadas por la Superintendencia de </w:t>
      </w:r>
      <w:r>
        <w:rPr>
          <w:rFonts w:eastAsia="Times New Roman"/>
          <w:sz w:val="30"/>
          <w:szCs w:val="30"/>
          <w:lang w:val="es-ES"/>
        </w:rPr>
        <w:t>Bancos.</w:t>
      </w:r>
      <w:r>
        <w:rPr>
          <w:rFonts w:eastAsia="Times New Roman"/>
          <w:sz w:val="30"/>
          <w:szCs w:val="30"/>
          <w:lang w:val="es-ES"/>
        </w:rPr>
        <w:br/>
      </w:r>
      <w:r>
        <w:rPr>
          <w:rFonts w:eastAsia="Times New Roman"/>
          <w:sz w:val="30"/>
          <w:szCs w:val="30"/>
          <w:lang w:val="es-ES"/>
        </w:rPr>
        <w:br/>
        <w:t>Para realizar aquellas operaciones no definidas en este Código, deberán obtener la autorización de la Junta de Política y Regulación Monetaria y Financiera.</w:t>
      </w:r>
    </w:p>
    <w:p w:rsidR="00000000" w:rsidRDefault="0018461E">
      <w:pPr>
        <w:divId w:val="1053044572"/>
        <w:rPr>
          <w:rFonts w:eastAsia="Times New Roman"/>
          <w:sz w:val="30"/>
          <w:szCs w:val="30"/>
          <w:lang w:val="es-ES"/>
        </w:rPr>
      </w:pPr>
      <w:r>
        <w:rPr>
          <w:rFonts w:eastAsia="Times New Roman"/>
          <w:sz w:val="30"/>
          <w:szCs w:val="30"/>
          <w:lang w:val="es-ES"/>
        </w:rPr>
        <w:t xml:space="preserve">Art. 416.- </w:t>
      </w:r>
      <w:r>
        <w:rPr>
          <w:rFonts w:eastAsia="Times New Roman"/>
          <w:b/>
          <w:bCs/>
          <w:sz w:val="30"/>
          <w:szCs w:val="30"/>
          <w:lang w:val="es-ES"/>
        </w:rPr>
        <w:t xml:space="preserve">Servicios auxiliares. </w:t>
      </w:r>
      <w:r>
        <w:rPr>
          <w:rFonts w:eastAsia="Times New Roman"/>
          <w:sz w:val="30"/>
          <w:szCs w:val="30"/>
          <w:lang w:val="es-ES"/>
        </w:rPr>
        <w:t>Las entidades financieras privadas en sus operaciones pod</w:t>
      </w:r>
      <w:r>
        <w:rPr>
          <w:rFonts w:eastAsia="Times New Roman"/>
          <w:sz w:val="30"/>
          <w:szCs w:val="30"/>
          <w:lang w:val="es-ES"/>
        </w:rPr>
        <w:t xml:space="preserve">rán requerir de servicios auxiliares prestados por </w:t>
      </w:r>
      <w:r>
        <w:rPr>
          <w:rFonts w:eastAsia="Times New Roman"/>
          <w:sz w:val="30"/>
          <w:szCs w:val="30"/>
          <w:lang w:val="es-ES"/>
        </w:rPr>
        <w:lastRenderedPageBreak/>
        <w:t>otras sociedades no financieras, de acuerdo con las disposiciones de este Código.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LOS GRUPOS FINANCIEROS</w:t>
      </w:r>
    </w:p>
    <w:p w:rsidR="00000000" w:rsidRDefault="0018461E">
      <w:pPr>
        <w:divId w:val="1781140516"/>
        <w:rPr>
          <w:rFonts w:eastAsia="Times New Roman"/>
          <w:sz w:val="30"/>
          <w:szCs w:val="30"/>
          <w:lang w:val="es-ES"/>
        </w:rPr>
      </w:pPr>
      <w:r>
        <w:rPr>
          <w:rFonts w:eastAsia="Times New Roman"/>
          <w:sz w:val="30"/>
          <w:szCs w:val="30"/>
          <w:lang w:val="es-ES"/>
        </w:rPr>
        <w:t xml:space="preserve">Art. 417.- </w:t>
      </w:r>
      <w:r>
        <w:rPr>
          <w:rFonts w:eastAsia="Times New Roman"/>
          <w:b/>
          <w:bCs/>
          <w:sz w:val="30"/>
          <w:szCs w:val="30"/>
          <w:lang w:val="es-ES"/>
        </w:rPr>
        <w:t xml:space="preserve">Grupo financiero. </w:t>
      </w:r>
      <w:r>
        <w:rPr>
          <w:rFonts w:eastAsia="Times New Roman"/>
          <w:sz w:val="30"/>
          <w:szCs w:val="30"/>
          <w:lang w:val="es-ES"/>
        </w:rPr>
        <w:t>Se entenderá por grupo financiero al conformado por un b</w:t>
      </w:r>
      <w:r>
        <w:rPr>
          <w:rFonts w:eastAsia="Times New Roman"/>
          <w:sz w:val="30"/>
          <w:szCs w:val="30"/>
          <w:lang w:val="es-ES"/>
        </w:rPr>
        <w:t>anco nacional privado que posea las subsidiarias o afiliadas, previstas en este Código.</w:t>
      </w:r>
      <w:r>
        <w:rPr>
          <w:rFonts w:eastAsia="Times New Roman"/>
          <w:sz w:val="30"/>
          <w:szCs w:val="30"/>
          <w:lang w:val="es-ES"/>
        </w:rPr>
        <w:br/>
      </w:r>
      <w:r>
        <w:rPr>
          <w:rFonts w:eastAsia="Times New Roman"/>
          <w:sz w:val="30"/>
          <w:szCs w:val="30"/>
          <w:lang w:val="es-ES"/>
        </w:rPr>
        <w:br/>
        <w:t>Un grupo financiero no podrá estar integrado por más de un banco nacional ni por más de una sociedad de servicios financieros y de servicios auxiliares del sistema fin</w:t>
      </w:r>
      <w:r>
        <w:rPr>
          <w:rFonts w:eastAsia="Times New Roman"/>
          <w:sz w:val="30"/>
          <w:szCs w:val="30"/>
          <w:lang w:val="es-ES"/>
        </w:rPr>
        <w:t>anciero nacional, dedicados a la misma actividad.</w:t>
      </w:r>
      <w:r>
        <w:rPr>
          <w:rFonts w:eastAsia="Times New Roman"/>
          <w:sz w:val="30"/>
          <w:szCs w:val="30"/>
          <w:lang w:val="es-ES"/>
        </w:rPr>
        <w:br/>
      </w:r>
      <w:r>
        <w:rPr>
          <w:rFonts w:eastAsia="Times New Roman"/>
          <w:sz w:val="30"/>
          <w:szCs w:val="30"/>
          <w:lang w:val="es-ES"/>
        </w:rPr>
        <w:br/>
        <w:t>Las entidades financieras del exterior, subsidiarias o afiliadas del banco nacional, también formarán parte de los grupos financieros establecidos en este artículo.</w:t>
      </w:r>
      <w:r>
        <w:rPr>
          <w:rFonts w:eastAsia="Times New Roman"/>
          <w:sz w:val="30"/>
          <w:szCs w:val="30"/>
          <w:lang w:val="es-ES"/>
        </w:rPr>
        <w:br/>
      </w:r>
      <w:r>
        <w:rPr>
          <w:rFonts w:eastAsia="Times New Roman"/>
          <w:sz w:val="30"/>
          <w:szCs w:val="30"/>
          <w:lang w:val="es-ES"/>
        </w:rPr>
        <w:br/>
        <w:t>Se entenderá conformado un grupo financ</w:t>
      </w:r>
      <w:r>
        <w:rPr>
          <w:rFonts w:eastAsia="Times New Roman"/>
          <w:sz w:val="30"/>
          <w:szCs w:val="30"/>
          <w:lang w:val="es-ES"/>
        </w:rPr>
        <w:t>iero desde el momento en que el banco posea una o más de las entidades señaladas en los párrafos que anteceden.</w:t>
      </w:r>
    </w:p>
    <w:p w:rsidR="00000000" w:rsidRDefault="0018461E">
      <w:pPr>
        <w:divId w:val="1282955642"/>
        <w:rPr>
          <w:rFonts w:eastAsia="Times New Roman"/>
          <w:sz w:val="30"/>
          <w:szCs w:val="30"/>
          <w:lang w:val="es-ES"/>
        </w:rPr>
      </w:pPr>
      <w:r>
        <w:rPr>
          <w:rFonts w:eastAsia="Times New Roman"/>
          <w:sz w:val="30"/>
          <w:szCs w:val="30"/>
          <w:lang w:val="es-ES"/>
        </w:rPr>
        <w:t xml:space="preserve">Art. 418.- </w:t>
      </w:r>
      <w:r>
        <w:rPr>
          <w:rFonts w:eastAsia="Times New Roman"/>
          <w:b/>
          <w:bCs/>
          <w:sz w:val="30"/>
          <w:szCs w:val="30"/>
          <w:lang w:val="es-ES"/>
        </w:rPr>
        <w:t xml:space="preserve">Prohibición de adquirir acciones. </w:t>
      </w:r>
      <w:r>
        <w:rPr>
          <w:rFonts w:eastAsia="Times New Roman"/>
          <w:sz w:val="30"/>
          <w:szCs w:val="30"/>
          <w:lang w:val="es-ES"/>
        </w:rPr>
        <w:t>Las compañías subsidiarias y afiliadas de las entidades del sistema financiero privado no podrán ad</w:t>
      </w:r>
      <w:r>
        <w:rPr>
          <w:rFonts w:eastAsia="Times New Roman"/>
          <w:sz w:val="30"/>
          <w:szCs w:val="30"/>
          <w:lang w:val="es-ES"/>
        </w:rPr>
        <w:t>quirir ni ser propietarias de acciones del banco que haga cabeza de grupo financiero o de cualquier otra entidad del grupo financiero; tampoco podrán ser accionistas o participar en el capital de las personas jurídicas que sean accionistas de ellas, ni pod</w:t>
      </w:r>
      <w:r>
        <w:rPr>
          <w:rFonts w:eastAsia="Times New Roman"/>
          <w:sz w:val="30"/>
          <w:szCs w:val="30"/>
          <w:lang w:val="es-ES"/>
        </w:rPr>
        <w:t>rán invertir en el capital de las personas jurídicas mercantiles que operen en un ámbito distinto al financiero.</w:t>
      </w:r>
    </w:p>
    <w:p w:rsidR="00000000" w:rsidRDefault="0018461E">
      <w:pPr>
        <w:divId w:val="1110470357"/>
        <w:rPr>
          <w:rFonts w:eastAsia="Times New Roman"/>
          <w:sz w:val="30"/>
          <w:szCs w:val="30"/>
          <w:lang w:val="es-ES"/>
        </w:rPr>
      </w:pPr>
      <w:r>
        <w:rPr>
          <w:rFonts w:eastAsia="Times New Roman"/>
          <w:sz w:val="30"/>
          <w:szCs w:val="30"/>
          <w:lang w:val="es-ES"/>
        </w:rPr>
        <w:t xml:space="preserve">Art. 419.- </w:t>
      </w:r>
      <w:r>
        <w:rPr>
          <w:rFonts w:eastAsia="Times New Roman"/>
          <w:b/>
          <w:bCs/>
          <w:sz w:val="30"/>
          <w:szCs w:val="30"/>
          <w:lang w:val="es-ES"/>
        </w:rPr>
        <w:t xml:space="preserve">Presunción de grupo financiero. </w:t>
      </w:r>
      <w:r>
        <w:rPr>
          <w:rFonts w:eastAsia="Times New Roman"/>
          <w:sz w:val="30"/>
          <w:szCs w:val="30"/>
          <w:lang w:val="es-ES"/>
        </w:rPr>
        <w:t>Se presumirá la existencia de un grupo financiero para todos los propósitos establecidos en el prese</w:t>
      </w:r>
      <w:r>
        <w:rPr>
          <w:rFonts w:eastAsia="Times New Roman"/>
          <w:sz w:val="30"/>
          <w:szCs w:val="30"/>
          <w:lang w:val="es-ES"/>
        </w:rPr>
        <w:t>nte Código, cuando el organismo de control determine que entre un banco y las sociedades de servicios financieros o de servicios auxiliares, determinadas en el artículo 162, o con entidades del exterior que realicen las actividades previstas en el artículo</w:t>
      </w:r>
      <w:r>
        <w:rPr>
          <w:rFonts w:eastAsia="Times New Roman"/>
          <w:sz w:val="30"/>
          <w:szCs w:val="30"/>
          <w:lang w:val="es-ES"/>
        </w:rPr>
        <w:t xml:space="preserve"> 194, existan relaciones de negocio, de dirección o de propiedad indirecta, u otras, con la entidad financiera nacional o con sus mayores accionistas.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configuración de estas presunciones convertirá a dichas sociedades o entidades del exterior, en integ</w:t>
      </w:r>
      <w:r>
        <w:rPr>
          <w:rFonts w:eastAsia="Times New Roman"/>
          <w:sz w:val="30"/>
          <w:szCs w:val="30"/>
          <w:lang w:val="es-ES"/>
        </w:rPr>
        <w:t>rantes del grupo financiero del banco nacional.</w:t>
      </w:r>
      <w:r>
        <w:rPr>
          <w:rFonts w:eastAsia="Times New Roman"/>
          <w:sz w:val="30"/>
          <w:szCs w:val="30"/>
          <w:lang w:val="es-ES"/>
        </w:rPr>
        <w:br/>
      </w:r>
      <w:r>
        <w:rPr>
          <w:rFonts w:eastAsia="Times New Roman"/>
          <w:sz w:val="30"/>
          <w:szCs w:val="30"/>
          <w:lang w:val="es-ES"/>
        </w:rPr>
        <w:br/>
        <w:t>El organismo de control mediante norma determinará los criterios para presumir la conformación de grupo financiero.</w:t>
      </w:r>
    </w:p>
    <w:p w:rsidR="00000000" w:rsidRDefault="0018461E">
      <w:pPr>
        <w:divId w:val="2085295554"/>
        <w:rPr>
          <w:rFonts w:eastAsia="Times New Roman"/>
          <w:sz w:val="30"/>
          <w:szCs w:val="30"/>
          <w:lang w:val="es-ES"/>
        </w:rPr>
      </w:pPr>
      <w:r>
        <w:rPr>
          <w:rFonts w:eastAsia="Times New Roman"/>
          <w:sz w:val="30"/>
          <w:szCs w:val="30"/>
          <w:lang w:val="es-ES"/>
        </w:rPr>
        <w:t xml:space="preserve">Art. 420.- </w:t>
      </w:r>
      <w:r>
        <w:rPr>
          <w:rFonts w:eastAsia="Times New Roman"/>
          <w:b/>
          <w:bCs/>
          <w:sz w:val="30"/>
          <w:szCs w:val="30"/>
          <w:lang w:val="es-ES"/>
        </w:rPr>
        <w:t xml:space="preserve">Actividades del grupo financiero. </w:t>
      </w:r>
      <w:r>
        <w:rPr>
          <w:rFonts w:eastAsia="Times New Roman"/>
          <w:sz w:val="30"/>
          <w:szCs w:val="30"/>
          <w:lang w:val="es-ES"/>
        </w:rPr>
        <w:t>Las entidades que formen parte de un grupo fin</w:t>
      </w:r>
      <w:r>
        <w:rPr>
          <w:rFonts w:eastAsia="Times New Roman"/>
          <w:sz w:val="30"/>
          <w:szCs w:val="30"/>
          <w:lang w:val="es-ES"/>
        </w:rPr>
        <w:t>anciero podrán:</w:t>
      </w:r>
      <w:r>
        <w:rPr>
          <w:rFonts w:eastAsia="Times New Roman"/>
          <w:sz w:val="30"/>
          <w:szCs w:val="30"/>
          <w:lang w:val="es-ES"/>
        </w:rPr>
        <w:br/>
      </w:r>
      <w:r>
        <w:rPr>
          <w:rFonts w:eastAsia="Times New Roman"/>
          <w:sz w:val="30"/>
          <w:szCs w:val="30"/>
          <w:lang w:val="es-ES"/>
        </w:rPr>
        <w:br/>
        <w:t>1. Actuar de manera conjunta frente al público; y,</w:t>
      </w:r>
      <w:r>
        <w:rPr>
          <w:rFonts w:eastAsia="Times New Roman"/>
          <w:sz w:val="30"/>
          <w:szCs w:val="30"/>
          <w:lang w:val="es-ES"/>
        </w:rPr>
        <w:br/>
      </w:r>
      <w:r>
        <w:rPr>
          <w:rFonts w:eastAsia="Times New Roman"/>
          <w:sz w:val="30"/>
          <w:szCs w:val="30"/>
          <w:lang w:val="es-ES"/>
        </w:rPr>
        <w:br/>
        <w:t xml:space="preserve">2. Usar denominaciones iguales o semejantes que las identifiquen frente al público como integrantes de un mismo grupo o bien conservar la denominación que tenían antes de formar parte de </w:t>
      </w:r>
      <w:r>
        <w:rPr>
          <w:rFonts w:eastAsia="Times New Roman"/>
          <w:sz w:val="30"/>
          <w:szCs w:val="30"/>
          <w:lang w:val="es-ES"/>
        </w:rPr>
        <w:t>dicho grupo, en todo caso, deberán añadir las palabras: "Grupo Financiero" y su denominación.</w:t>
      </w:r>
      <w:r>
        <w:rPr>
          <w:rFonts w:eastAsia="Times New Roman"/>
          <w:sz w:val="30"/>
          <w:szCs w:val="30"/>
          <w:lang w:val="es-ES"/>
        </w:rPr>
        <w:br/>
      </w:r>
      <w:r>
        <w:rPr>
          <w:rFonts w:eastAsia="Times New Roman"/>
          <w:sz w:val="30"/>
          <w:szCs w:val="30"/>
          <w:lang w:val="es-ES"/>
        </w:rPr>
        <w:br/>
        <w:t>Las entidades integrantes del grupo financiero no podrán efectuar operaciones comerciales, financieras o de prestación de servicios entre sí, en condiciones de p</w:t>
      </w:r>
      <w:r>
        <w:rPr>
          <w:rFonts w:eastAsia="Times New Roman"/>
          <w:sz w:val="30"/>
          <w:szCs w:val="30"/>
          <w:lang w:val="es-ES"/>
        </w:rPr>
        <w:t>lazo, precios, tasas, montos, garantías y comisiones diferentes a las que utilicen en operaciones similares con terceros.</w:t>
      </w:r>
    </w:p>
    <w:p w:rsidR="00000000" w:rsidRDefault="0018461E">
      <w:pPr>
        <w:divId w:val="784887714"/>
        <w:rPr>
          <w:rFonts w:eastAsia="Times New Roman"/>
          <w:sz w:val="30"/>
          <w:szCs w:val="30"/>
          <w:lang w:val="es-ES"/>
        </w:rPr>
      </w:pPr>
      <w:r>
        <w:rPr>
          <w:rFonts w:eastAsia="Times New Roman"/>
          <w:sz w:val="30"/>
          <w:szCs w:val="30"/>
          <w:lang w:val="es-ES"/>
        </w:rPr>
        <w:t xml:space="preserve">Art. 421.- </w:t>
      </w:r>
      <w:r>
        <w:rPr>
          <w:rFonts w:eastAsia="Times New Roman"/>
          <w:b/>
          <w:bCs/>
          <w:sz w:val="30"/>
          <w:szCs w:val="30"/>
          <w:lang w:val="es-ES"/>
        </w:rPr>
        <w:t xml:space="preserve">Responsabilidad de la cabeza de grupo. </w:t>
      </w:r>
      <w:r>
        <w:rPr>
          <w:rFonts w:eastAsia="Times New Roman"/>
          <w:sz w:val="30"/>
          <w:szCs w:val="30"/>
          <w:lang w:val="es-ES"/>
        </w:rPr>
        <w:t>La entidad financiera que haga cabeza de grupo responderá por las pérdidas patrimoni</w:t>
      </w:r>
      <w:r>
        <w:rPr>
          <w:rFonts w:eastAsia="Times New Roman"/>
          <w:sz w:val="30"/>
          <w:szCs w:val="30"/>
          <w:lang w:val="es-ES"/>
        </w:rPr>
        <w:t>ales de las integrantes del grupo financiero hasta por el valor porcentual de su participación, para lo cual suscribirá un convenio de responsabilidad con cada una de ellas, conforme al cual se obliga a:</w:t>
      </w:r>
      <w:r>
        <w:rPr>
          <w:rFonts w:eastAsia="Times New Roman"/>
          <w:sz w:val="30"/>
          <w:szCs w:val="30"/>
          <w:lang w:val="es-ES"/>
        </w:rPr>
        <w:br/>
      </w:r>
      <w:r>
        <w:rPr>
          <w:rFonts w:eastAsia="Times New Roman"/>
          <w:sz w:val="30"/>
          <w:szCs w:val="30"/>
          <w:lang w:val="es-ES"/>
        </w:rPr>
        <w:br/>
        <w:t>1. Efectuar los aumentos de capital que sean necesa</w:t>
      </w:r>
      <w:r>
        <w:rPr>
          <w:rFonts w:eastAsia="Times New Roman"/>
          <w:sz w:val="30"/>
          <w:szCs w:val="30"/>
          <w:lang w:val="es-ES"/>
        </w:rPr>
        <w:t>rios en las entidades integrantes o si esto no es posible, dar todas las facilidades para que terceros inversionistas suscriban y paguen dichos aumentos de capital; y,</w:t>
      </w:r>
      <w:r>
        <w:rPr>
          <w:rFonts w:eastAsia="Times New Roman"/>
          <w:sz w:val="30"/>
          <w:szCs w:val="30"/>
          <w:lang w:val="es-ES"/>
        </w:rPr>
        <w:br/>
      </w:r>
      <w:r>
        <w:rPr>
          <w:rFonts w:eastAsia="Times New Roman"/>
          <w:sz w:val="30"/>
          <w:szCs w:val="30"/>
          <w:lang w:val="es-ES"/>
        </w:rPr>
        <w:br/>
        <w:t>2. Enajenar, a solicitud de la superintendencia, acciones de las demás entidades integr</w:t>
      </w:r>
      <w:r>
        <w:rPr>
          <w:rFonts w:eastAsia="Times New Roman"/>
          <w:sz w:val="30"/>
          <w:szCs w:val="30"/>
          <w:lang w:val="es-ES"/>
        </w:rPr>
        <w:t>antes o acordar la venta o enajenación de activos de sus subsidiarias, con el objeto de efectuar los aportes de capital en la entidad que lo requiera.</w:t>
      </w:r>
      <w:r>
        <w:rPr>
          <w:rFonts w:eastAsia="Times New Roman"/>
          <w:sz w:val="30"/>
          <w:szCs w:val="30"/>
          <w:lang w:val="es-ES"/>
        </w:rPr>
        <w:br/>
      </w:r>
      <w:r>
        <w:rPr>
          <w:rFonts w:eastAsia="Times New Roman"/>
          <w:sz w:val="30"/>
          <w:szCs w:val="30"/>
          <w:lang w:val="es-ES"/>
        </w:rPr>
        <w:br/>
        <w:t xml:space="preserve">Las referidas responsabilidades estarán previstas expresamente o se </w:t>
      </w:r>
      <w:r>
        <w:rPr>
          <w:rFonts w:eastAsia="Times New Roman"/>
          <w:sz w:val="30"/>
          <w:szCs w:val="30"/>
          <w:lang w:val="es-ES"/>
        </w:rPr>
        <w:lastRenderedPageBreak/>
        <w:t>entenderán incorporadas en los estat</w:t>
      </w:r>
      <w:r>
        <w:rPr>
          <w:rFonts w:eastAsia="Times New Roman"/>
          <w:sz w:val="30"/>
          <w:szCs w:val="30"/>
          <w:lang w:val="es-ES"/>
        </w:rPr>
        <w:t>utos de la entidad matriz de la inversión.</w:t>
      </w:r>
    </w:p>
    <w:p w:rsidR="00000000" w:rsidRDefault="0018461E">
      <w:pPr>
        <w:divId w:val="932864196"/>
        <w:rPr>
          <w:rFonts w:eastAsia="Times New Roman"/>
          <w:sz w:val="30"/>
          <w:szCs w:val="30"/>
          <w:lang w:val="es-ES"/>
        </w:rPr>
      </w:pPr>
      <w:r>
        <w:rPr>
          <w:rFonts w:eastAsia="Times New Roman"/>
          <w:sz w:val="30"/>
          <w:szCs w:val="30"/>
          <w:lang w:val="es-ES"/>
        </w:rPr>
        <w:t xml:space="preserve">Art. 422.- </w:t>
      </w:r>
      <w:r>
        <w:rPr>
          <w:rFonts w:eastAsia="Times New Roman"/>
          <w:b/>
          <w:bCs/>
          <w:sz w:val="30"/>
          <w:szCs w:val="30"/>
          <w:lang w:val="es-ES"/>
        </w:rPr>
        <w:t xml:space="preserve">Solvencia, prudencia y control del grupo financiero. </w:t>
      </w:r>
      <w:r>
        <w:rPr>
          <w:rFonts w:eastAsia="Times New Roman"/>
          <w:sz w:val="30"/>
          <w:szCs w:val="30"/>
          <w:lang w:val="es-ES"/>
        </w:rPr>
        <w:t xml:space="preserve">Las entidades que integren un grupo financiero, conforme lo previsto en esta sección, en forma individual y consolidada, estarán sujetas a todas las </w:t>
      </w:r>
      <w:r>
        <w:rPr>
          <w:rFonts w:eastAsia="Times New Roman"/>
          <w:sz w:val="30"/>
          <w:szCs w:val="30"/>
          <w:lang w:val="es-ES"/>
        </w:rPr>
        <w:t>normas de solvencia, prudencia financiera y de control determinadas en este Código y al control de la Superintendencia de Bancos.</w:t>
      </w:r>
    </w:p>
    <w:p w:rsidR="00000000" w:rsidRDefault="0018461E">
      <w:pPr>
        <w:divId w:val="1666203653"/>
        <w:rPr>
          <w:rFonts w:eastAsia="Times New Roman"/>
          <w:sz w:val="30"/>
          <w:szCs w:val="30"/>
          <w:lang w:val="es-ES"/>
        </w:rPr>
      </w:pPr>
      <w:r>
        <w:rPr>
          <w:rFonts w:eastAsia="Times New Roman"/>
          <w:sz w:val="30"/>
          <w:szCs w:val="30"/>
          <w:lang w:val="es-ES"/>
        </w:rPr>
        <w:t xml:space="preserve">Art. 423.- </w:t>
      </w:r>
      <w:r>
        <w:rPr>
          <w:rFonts w:eastAsia="Times New Roman"/>
          <w:b/>
          <w:bCs/>
          <w:sz w:val="30"/>
          <w:szCs w:val="30"/>
          <w:lang w:val="es-ES"/>
        </w:rPr>
        <w:t xml:space="preserve">Solvencia de los grupos financieros. </w:t>
      </w:r>
      <w:r>
        <w:rPr>
          <w:rFonts w:eastAsia="Times New Roman"/>
          <w:sz w:val="30"/>
          <w:szCs w:val="30"/>
          <w:lang w:val="es-ES"/>
        </w:rPr>
        <w:t>Para la determinación de la solvencia de los grupos financieros, se deducirá d</w:t>
      </w:r>
      <w:r>
        <w:rPr>
          <w:rFonts w:eastAsia="Times New Roman"/>
          <w:sz w:val="30"/>
          <w:szCs w:val="30"/>
          <w:lang w:val="es-ES"/>
        </w:rPr>
        <w:t>el patrimonio técnico total de la cabeza de grupo el capital invertido en sus subsidiarias y afiliadas.</w:t>
      </w:r>
      <w:r>
        <w:rPr>
          <w:rFonts w:eastAsia="Times New Roman"/>
          <w:sz w:val="30"/>
          <w:szCs w:val="30"/>
          <w:lang w:val="es-ES"/>
        </w:rPr>
        <w:br/>
      </w:r>
      <w:r>
        <w:rPr>
          <w:rFonts w:eastAsia="Times New Roman"/>
          <w:sz w:val="30"/>
          <w:szCs w:val="30"/>
          <w:lang w:val="es-ES"/>
        </w:rPr>
        <w:br/>
        <w:t>La Junta establecerá las disposiciones que se deben aplicar para la consolidación y/o combinación de los estados financieros de grupos financieros, por</w:t>
      </w:r>
      <w:r>
        <w:rPr>
          <w:rFonts w:eastAsia="Times New Roman"/>
          <w:sz w:val="30"/>
          <w:szCs w:val="30"/>
          <w:lang w:val="es-ES"/>
        </w:rPr>
        <w:t xml:space="preserve"> efectos de la participación directa de la casa matriz o por su influencia significativa en las entidades integrantes, así como establecerá las demás deducciones del patrimonio técnico total de la matriz, provenientes de partidas contables relacionadas con</w:t>
      </w:r>
      <w:r>
        <w:rPr>
          <w:rFonts w:eastAsia="Times New Roman"/>
          <w:sz w:val="30"/>
          <w:szCs w:val="30"/>
          <w:lang w:val="es-ES"/>
        </w:rPr>
        <w:t xml:space="preserve"> sus subsidiarias o afiliadas o de los riesgos identificados y no cubiertos por ellas.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DE LAS PROHIBICIONES</w:t>
      </w:r>
    </w:p>
    <w:p w:rsidR="00000000" w:rsidRDefault="0018461E">
      <w:pPr>
        <w:divId w:val="260530809"/>
        <w:rPr>
          <w:rFonts w:eastAsia="Times New Roman"/>
          <w:sz w:val="30"/>
          <w:szCs w:val="30"/>
          <w:lang w:val="es-ES"/>
        </w:rPr>
      </w:pPr>
      <w:r>
        <w:rPr>
          <w:rFonts w:eastAsia="Times New Roman"/>
          <w:sz w:val="30"/>
          <w:szCs w:val="30"/>
          <w:lang w:val="es-ES"/>
        </w:rPr>
        <w:t xml:space="preserve">Art. 424.- </w:t>
      </w:r>
      <w:r>
        <w:rPr>
          <w:rFonts w:eastAsia="Times New Roman"/>
          <w:b/>
          <w:bCs/>
          <w:sz w:val="30"/>
          <w:szCs w:val="30"/>
          <w:lang w:val="es-ES"/>
        </w:rPr>
        <w:t xml:space="preserve">Prohibiciones. </w:t>
      </w:r>
      <w:r>
        <w:rPr>
          <w:rFonts w:eastAsia="Times New Roman"/>
          <w:sz w:val="30"/>
          <w:szCs w:val="30"/>
          <w:lang w:val="es-ES"/>
        </w:rPr>
        <w:t>Se prohíbe a las entidades financieras privadas:</w:t>
      </w:r>
      <w:r>
        <w:rPr>
          <w:rFonts w:eastAsia="Times New Roman"/>
          <w:sz w:val="30"/>
          <w:szCs w:val="30"/>
          <w:lang w:val="es-ES"/>
        </w:rPr>
        <w:br/>
      </w:r>
      <w:r>
        <w:rPr>
          <w:rFonts w:eastAsia="Times New Roman"/>
          <w:sz w:val="30"/>
          <w:szCs w:val="30"/>
          <w:lang w:val="es-ES"/>
        </w:rPr>
        <w:br/>
        <w:t xml:space="preserve">1. Ser socio de una entidad del sector financiero popular y </w:t>
      </w:r>
      <w:r>
        <w:rPr>
          <w:rFonts w:eastAsia="Times New Roman"/>
          <w:sz w:val="30"/>
          <w:szCs w:val="30"/>
          <w:lang w:val="es-ES"/>
        </w:rPr>
        <w:t>solidario;</w:t>
      </w:r>
      <w:r>
        <w:rPr>
          <w:rFonts w:eastAsia="Times New Roman"/>
          <w:sz w:val="30"/>
          <w:szCs w:val="30"/>
          <w:lang w:val="es-ES"/>
        </w:rPr>
        <w:br/>
      </w:r>
      <w:r>
        <w:rPr>
          <w:rFonts w:eastAsia="Times New Roman"/>
          <w:sz w:val="30"/>
          <w:szCs w:val="30"/>
          <w:lang w:val="es-ES"/>
        </w:rPr>
        <w:br/>
        <w:t>2. Otorgar operaciones de crédito a favor de sus funcionarios o empleados, o sus respectivos cónyuges, salvo lo dispuesto en el artículo 215;</w:t>
      </w:r>
      <w:r>
        <w:rPr>
          <w:rFonts w:eastAsia="Times New Roman"/>
          <w:sz w:val="30"/>
          <w:szCs w:val="30"/>
          <w:lang w:val="es-ES"/>
        </w:rPr>
        <w:br/>
      </w:r>
      <w:r>
        <w:rPr>
          <w:rFonts w:eastAsia="Times New Roman"/>
          <w:sz w:val="30"/>
          <w:szCs w:val="30"/>
          <w:lang w:val="es-ES"/>
        </w:rPr>
        <w:br/>
        <w:t>3. Lo determinado en el artículo 255;</w:t>
      </w:r>
      <w:r>
        <w:rPr>
          <w:rFonts w:eastAsia="Times New Roman"/>
          <w:sz w:val="30"/>
          <w:szCs w:val="30"/>
          <w:lang w:val="es-ES"/>
        </w:rPr>
        <w:br/>
      </w:r>
      <w:r>
        <w:rPr>
          <w:rFonts w:eastAsia="Times New Roman"/>
          <w:sz w:val="30"/>
          <w:szCs w:val="30"/>
          <w:lang w:val="es-ES"/>
        </w:rPr>
        <w:br/>
        <w:t xml:space="preserve">4. Constituir gravámenes sobre sus bienes inmuebles, incluido </w:t>
      </w:r>
      <w:r>
        <w:rPr>
          <w:rFonts w:eastAsia="Times New Roman"/>
          <w:sz w:val="30"/>
          <w:szCs w:val="30"/>
          <w:lang w:val="es-ES"/>
        </w:rPr>
        <w:t>los recibidos en dación en pago, salvo que cuenten con la autorización previa de la superintendencia;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Las demás que establezca la ley.</w:t>
      </w:r>
      <w:r>
        <w:rPr>
          <w:rFonts w:eastAsia="Times New Roman"/>
          <w:sz w:val="30"/>
          <w:szCs w:val="30"/>
          <w:lang w:val="es-ES"/>
        </w:rPr>
        <w:br/>
      </w:r>
      <w:r>
        <w:rPr>
          <w:rFonts w:eastAsia="Times New Roman"/>
          <w:sz w:val="30"/>
          <w:szCs w:val="30"/>
          <w:lang w:val="es-ES"/>
        </w:rPr>
        <w:br/>
        <w:t>Las prohibiciones señaladas en los numerales 1, 2 y 3 serán sancionadas como infracciones muy graves y la determi</w:t>
      </w:r>
      <w:r>
        <w:rPr>
          <w:rFonts w:eastAsia="Times New Roman"/>
          <w:sz w:val="30"/>
          <w:szCs w:val="30"/>
          <w:lang w:val="es-ES"/>
        </w:rPr>
        <w:t>nada en el numeral 4 será sancionada como infracción grave, sin perjuicio de las sanciones y correctivos que se disponga y la nulidad de los actos prohibidos por este Código.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9 </w:t>
      </w:r>
      <w:r>
        <w:rPr>
          <w:rFonts w:eastAsia="Times New Roman"/>
          <w:b/>
          <w:bCs/>
          <w:sz w:val="36"/>
          <w:szCs w:val="36"/>
          <w:lang w:val="es-ES"/>
        </w:rPr>
        <w:br/>
        <w:t>DEL CONTROL Y DE LA AUDITORÍA</w:t>
      </w:r>
    </w:p>
    <w:p w:rsidR="00000000" w:rsidRDefault="0018461E">
      <w:pPr>
        <w:divId w:val="1884710198"/>
        <w:rPr>
          <w:rFonts w:eastAsia="Times New Roman"/>
          <w:sz w:val="30"/>
          <w:szCs w:val="30"/>
          <w:lang w:val="es-ES"/>
        </w:rPr>
      </w:pPr>
      <w:r>
        <w:rPr>
          <w:rFonts w:eastAsia="Times New Roman"/>
          <w:sz w:val="30"/>
          <w:szCs w:val="30"/>
          <w:lang w:val="es-ES"/>
        </w:rPr>
        <w:t xml:space="preserve">Art. 425.- </w:t>
      </w:r>
      <w:r>
        <w:rPr>
          <w:rFonts w:eastAsia="Times New Roman"/>
          <w:b/>
          <w:bCs/>
          <w:sz w:val="30"/>
          <w:szCs w:val="30"/>
          <w:lang w:val="es-ES"/>
        </w:rPr>
        <w:t>Control de la Superintendenc</w:t>
      </w:r>
      <w:r>
        <w:rPr>
          <w:rFonts w:eastAsia="Times New Roman"/>
          <w:b/>
          <w:bCs/>
          <w:sz w:val="30"/>
          <w:szCs w:val="30"/>
          <w:lang w:val="es-ES"/>
        </w:rPr>
        <w:t xml:space="preserve">ia de Bancos. </w:t>
      </w:r>
      <w:r>
        <w:rPr>
          <w:rFonts w:eastAsia="Times New Roman"/>
          <w:sz w:val="30"/>
          <w:szCs w:val="30"/>
          <w:lang w:val="es-ES"/>
        </w:rPr>
        <w:t>La Superintendencia de Bancos, tendrá a su cargo el control de las entidades financieras privadas.</w:t>
      </w:r>
    </w:p>
    <w:p w:rsidR="00000000" w:rsidRDefault="0018461E">
      <w:pPr>
        <w:divId w:val="1777285543"/>
        <w:rPr>
          <w:rFonts w:eastAsia="Times New Roman"/>
          <w:sz w:val="30"/>
          <w:szCs w:val="30"/>
          <w:lang w:val="es-ES"/>
        </w:rPr>
      </w:pPr>
      <w:r>
        <w:rPr>
          <w:rFonts w:eastAsia="Times New Roman"/>
          <w:sz w:val="30"/>
          <w:szCs w:val="30"/>
          <w:lang w:val="es-ES"/>
        </w:rPr>
        <w:t xml:space="preserve">Art. 426.- </w:t>
      </w:r>
      <w:r>
        <w:rPr>
          <w:rFonts w:eastAsia="Times New Roman"/>
          <w:b/>
          <w:bCs/>
          <w:sz w:val="30"/>
          <w:szCs w:val="30"/>
          <w:lang w:val="es-ES"/>
        </w:rPr>
        <w:t xml:space="preserve">Del auditor interno y externo. </w:t>
      </w:r>
      <w:r>
        <w:rPr>
          <w:rFonts w:eastAsia="Times New Roman"/>
          <w:sz w:val="30"/>
          <w:szCs w:val="30"/>
          <w:lang w:val="es-ES"/>
        </w:rPr>
        <w:t>Las entidades financieras privadas contarán con un auditor interno y externo, de acuerdo con lo dispu</w:t>
      </w:r>
      <w:r>
        <w:rPr>
          <w:rFonts w:eastAsia="Times New Roman"/>
          <w:sz w:val="30"/>
          <w:szCs w:val="30"/>
          <w:lang w:val="es-ES"/>
        </w:rPr>
        <w:t>esto en el título II, capítulo 3, sección 8.</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10 </w:t>
      </w:r>
      <w:r>
        <w:rPr>
          <w:rFonts w:eastAsia="Times New Roman"/>
          <w:b/>
          <w:bCs/>
          <w:sz w:val="36"/>
          <w:szCs w:val="36"/>
          <w:lang w:val="es-ES"/>
        </w:rPr>
        <w:br/>
        <w:t>DE LAS ENTIDADES DE SERVICIOS FINANCIEROS</w:t>
      </w:r>
    </w:p>
    <w:p w:rsidR="00000000" w:rsidRDefault="0018461E">
      <w:pPr>
        <w:divId w:val="1636177514"/>
        <w:rPr>
          <w:rFonts w:eastAsia="Times New Roman"/>
          <w:sz w:val="30"/>
          <w:szCs w:val="30"/>
          <w:lang w:val="es-ES"/>
        </w:rPr>
      </w:pPr>
      <w:r>
        <w:rPr>
          <w:rFonts w:eastAsia="Times New Roman"/>
          <w:sz w:val="30"/>
          <w:szCs w:val="30"/>
          <w:lang w:val="es-ES"/>
        </w:rPr>
        <w:t xml:space="preserve">Art. 427.- </w:t>
      </w:r>
      <w:r>
        <w:rPr>
          <w:rFonts w:eastAsia="Times New Roman"/>
          <w:b/>
          <w:bCs/>
          <w:sz w:val="30"/>
          <w:szCs w:val="30"/>
          <w:lang w:val="es-ES"/>
        </w:rPr>
        <w:t xml:space="preserve">Entidades de servicios financieros. </w:t>
      </w:r>
      <w:r>
        <w:rPr>
          <w:rFonts w:eastAsia="Times New Roman"/>
          <w:sz w:val="30"/>
          <w:szCs w:val="30"/>
          <w:lang w:val="es-ES"/>
        </w:rPr>
        <w:t>Las entidades de servicios financieros son los almacenes generales de depósito, las casas de cambio y las cor</w:t>
      </w:r>
      <w:r>
        <w:rPr>
          <w:rFonts w:eastAsia="Times New Roman"/>
          <w:sz w:val="30"/>
          <w:szCs w:val="30"/>
          <w:lang w:val="es-ES"/>
        </w:rPr>
        <w:t>poraciones de desarrollo de mercado secundario de hipotecas.</w:t>
      </w:r>
    </w:p>
    <w:p w:rsidR="00000000" w:rsidRDefault="0018461E">
      <w:pPr>
        <w:divId w:val="1676835473"/>
        <w:rPr>
          <w:rFonts w:eastAsia="Times New Roman"/>
          <w:sz w:val="30"/>
          <w:szCs w:val="30"/>
          <w:lang w:val="es-ES"/>
        </w:rPr>
      </w:pPr>
      <w:r>
        <w:rPr>
          <w:rFonts w:eastAsia="Times New Roman"/>
          <w:sz w:val="30"/>
          <w:szCs w:val="30"/>
          <w:lang w:val="es-ES"/>
        </w:rPr>
        <w:t xml:space="preserve">Art. 428.- </w:t>
      </w:r>
      <w:r>
        <w:rPr>
          <w:rFonts w:eastAsia="Times New Roman"/>
          <w:b/>
          <w:bCs/>
          <w:sz w:val="30"/>
          <w:szCs w:val="30"/>
          <w:lang w:val="es-ES"/>
        </w:rPr>
        <w:t xml:space="preserve">Generales. </w:t>
      </w:r>
      <w:r>
        <w:rPr>
          <w:rFonts w:eastAsia="Times New Roman"/>
          <w:sz w:val="30"/>
          <w:szCs w:val="30"/>
          <w:lang w:val="es-ES"/>
        </w:rPr>
        <w:t>Las entidades de servicios financieros deberán constituirse en forma de sociedades anónimas, sujetándose al trámite señalado en este Código para la constitución de una entid</w:t>
      </w:r>
      <w:r>
        <w:rPr>
          <w:rFonts w:eastAsia="Times New Roman"/>
          <w:sz w:val="30"/>
          <w:szCs w:val="30"/>
          <w:lang w:val="es-ES"/>
        </w:rPr>
        <w:t>ad financiera privada, y en su vida jurídica se sujetarán a las disposiciones que rigen a dichas entidades. El objeto social de estas sociedades anónimas será específico al tipo de entidad.</w:t>
      </w:r>
      <w:r>
        <w:rPr>
          <w:rFonts w:eastAsia="Times New Roman"/>
          <w:sz w:val="30"/>
          <w:szCs w:val="30"/>
          <w:lang w:val="es-ES"/>
        </w:rPr>
        <w:br/>
      </w:r>
      <w:r>
        <w:rPr>
          <w:rFonts w:eastAsia="Times New Roman"/>
          <w:sz w:val="30"/>
          <w:szCs w:val="30"/>
          <w:lang w:val="es-ES"/>
        </w:rPr>
        <w:br/>
        <w:t>No son aplicables a estas entidades las disposiciones de este Tít</w:t>
      </w:r>
      <w:r>
        <w:rPr>
          <w:rFonts w:eastAsia="Times New Roman"/>
          <w:sz w:val="30"/>
          <w:szCs w:val="30"/>
          <w:lang w:val="es-ES"/>
        </w:rPr>
        <w:t>ulo relativas a exclusión y transferencia de activos y pasivos, seguro de depósitos y fondo de liquidez, no obstante le serán aplicables las disposiciones para las entidades del sistema financiero nacional de conformidad con las regulaciones que emita la J</w:t>
      </w:r>
      <w:r>
        <w:rPr>
          <w:rFonts w:eastAsia="Times New Roman"/>
          <w:sz w:val="30"/>
          <w:szCs w:val="30"/>
          <w:lang w:val="es-ES"/>
        </w:rPr>
        <w:t>unta de Política y Regulación Monetaria y Financiera.</w:t>
      </w:r>
    </w:p>
    <w:p w:rsidR="00000000" w:rsidRDefault="0018461E">
      <w:pPr>
        <w:divId w:val="735860583"/>
        <w:rPr>
          <w:rFonts w:eastAsia="Times New Roman"/>
          <w:sz w:val="30"/>
          <w:szCs w:val="30"/>
          <w:lang w:val="es-ES"/>
        </w:rPr>
      </w:pPr>
      <w:r>
        <w:rPr>
          <w:rFonts w:eastAsia="Times New Roman"/>
          <w:sz w:val="30"/>
          <w:szCs w:val="30"/>
          <w:lang w:val="es-ES"/>
        </w:rPr>
        <w:t xml:space="preserve">Art. 429.- </w:t>
      </w:r>
      <w:r>
        <w:rPr>
          <w:rFonts w:eastAsia="Times New Roman"/>
          <w:b/>
          <w:bCs/>
          <w:sz w:val="30"/>
          <w:szCs w:val="30"/>
          <w:lang w:val="es-ES"/>
        </w:rPr>
        <w:t xml:space="preserve">Operaciones. </w:t>
      </w:r>
      <w:r>
        <w:rPr>
          <w:rFonts w:eastAsia="Times New Roman"/>
          <w:sz w:val="30"/>
          <w:szCs w:val="30"/>
          <w:lang w:val="es-ES"/>
        </w:rPr>
        <w:t xml:space="preserve">Las entidades de servicios financieros realizarán exclusivamente aquellas operaciones específicas </w:t>
      </w:r>
      <w:r>
        <w:rPr>
          <w:rFonts w:eastAsia="Times New Roman"/>
          <w:sz w:val="30"/>
          <w:szCs w:val="30"/>
          <w:lang w:val="es-ES"/>
        </w:rPr>
        <w:lastRenderedPageBreak/>
        <w:t>autorizadas por la Superintendencia de Bancos, de acuerdo con su objeto social.</w:t>
      </w:r>
      <w:r>
        <w:rPr>
          <w:rFonts w:eastAsia="Times New Roman"/>
          <w:sz w:val="30"/>
          <w:szCs w:val="30"/>
          <w:lang w:val="es-ES"/>
        </w:rPr>
        <w:br/>
      </w:r>
      <w:r>
        <w:rPr>
          <w:rFonts w:eastAsia="Times New Roman"/>
          <w:sz w:val="30"/>
          <w:szCs w:val="30"/>
          <w:lang w:val="es-ES"/>
        </w:rPr>
        <w:br/>
        <w:t>La definición y las acciones que comprenden las operaciones a cargo de las entidades de servicios financieros determinadas en este artículo, serán reguladas por la Junta de Política y Regulación Monetaria y Financiera.</w:t>
      </w:r>
    </w:p>
    <w:p w:rsidR="00000000" w:rsidRDefault="0018461E">
      <w:pPr>
        <w:divId w:val="677582227"/>
        <w:rPr>
          <w:rFonts w:eastAsia="Times New Roman"/>
          <w:sz w:val="30"/>
          <w:szCs w:val="30"/>
          <w:lang w:val="es-ES"/>
        </w:rPr>
      </w:pPr>
      <w:r>
        <w:rPr>
          <w:rFonts w:eastAsia="Times New Roman"/>
          <w:sz w:val="30"/>
          <w:szCs w:val="30"/>
          <w:lang w:val="es-ES"/>
        </w:rPr>
        <w:t xml:space="preserve">Art. 430.- </w:t>
      </w:r>
      <w:r>
        <w:rPr>
          <w:rFonts w:eastAsia="Times New Roman"/>
          <w:b/>
          <w:bCs/>
          <w:sz w:val="30"/>
          <w:szCs w:val="30"/>
          <w:lang w:val="es-ES"/>
        </w:rPr>
        <w:t>Certificados de depósito.</w:t>
      </w:r>
      <w:r>
        <w:rPr>
          <w:rFonts w:eastAsia="Times New Roman"/>
          <w:b/>
          <w:bCs/>
          <w:sz w:val="30"/>
          <w:szCs w:val="30"/>
          <w:lang w:val="es-ES"/>
        </w:rPr>
        <w:t xml:space="preserve"> </w:t>
      </w:r>
      <w:r>
        <w:rPr>
          <w:rFonts w:eastAsia="Times New Roman"/>
          <w:sz w:val="30"/>
          <w:szCs w:val="30"/>
          <w:lang w:val="es-ES"/>
        </w:rPr>
        <w:t>Los almacenes generales de depósito podrán expedir títulos valores bajo la denominación de certificados de depósito, por un monto de hasta cincuenta veces su patrimonio.</w:t>
      </w:r>
      <w:r>
        <w:rPr>
          <w:rFonts w:eastAsia="Times New Roman"/>
          <w:sz w:val="30"/>
          <w:szCs w:val="30"/>
          <w:lang w:val="es-ES"/>
        </w:rPr>
        <w:br/>
      </w:r>
      <w:r>
        <w:rPr>
          <w:rFonts w:eastAsia="Times New Roman"/>
          <w:sz w:val="30"/>
          <w:szCs w:val="30"/>
          <w:lang w:val="es-ES"/>
        </w:rPr>
        <w:br/>
        <w:t>Los almacenes generales de depósito expedirán en forma desmaterializada o en formato</w:t>
      </w:r>
      <w:r>
        <w:rPr>
          <w:rFonts w:eastAsia="Times New Roman"/>
          <w:sz w:val="30"/>
          <w:szCs w:val="30"/>
          <w:lang w:val="es-ES"/>
        </w:rPr>
        <w:t xml:space="preserve"> físico y por duplicado y con numeración sucesiva, los certificados de depósito. En caso de certificados en físico, el original del título se entregará al depositante y la copia, no negociable, la conservará el almacén para su anotación, registro y contabi</w:t>
      </w:r>
      <w:r>
        <w:rPr>
          <w:rFonts w:eastAsia="Times New Roman"/>
          <w:sz w:val="30"/>
          <w:szCs w:val="30"/>
          <w:lang w:val="es-ES"/>
        </w:rPr>
        <w:t>lización.</w:t>
      </w:r>
      <w:r>
        <w:rPr>
          <w:rFonts w:eastAsia="Times New Roman"/>
          <w:sz w:val="30"/>
          <w:szCs w:val="30"/>
          <w:lang w:val="es-ES"/>
        </w:rPr>
        <w:br/>
      </w:r>
      <w:r>
        <w:rPr>
          <w:rFonts w:eastAsia="Times New Roman"/>
          <w:sz w:val="30"/>
          <w:szCs w:val="30"/>
          <w:lang w:val="es-ES"/>
        </w:rPr>
        <w:br/>
        <w:t>Los almacenes generales de depósito no podrán expedir certificados de depósito en su propio favor o en el de sus administradores, funcionarios o empleados. Ningún certificado de depósito podrá ser transferido a favor del almacén que lo expidió n</w:t>
      </w:r>
      <w:r>
        <w:rPr>
          <w:rFonts w:eastAsia="Times New Roman"/>
          <w:sz w:val="30"/>
          <w:szCs w:val="30"/>
          <w:lang w:val="es-ES"/>
        </w:rPr>
        <w:t>i de sus administradores, funcionarios o empleados.</w:t>
      </w:r>
      <w:r>
        <w:rPr>
          <w:rFonts w:eastAsia="Times New Roman"/>
          <w:sz w:val="30"/>
          <w:szCs w:val="30"/>
          <w:lang w:val="es-ES"/>
        </w:rPr>
        <w:br/>
      </w:r>
      <w:r>
        <w:rPr>
          <w:rFonts w:eastAsia="Times New Roman"/>
          <w:sz w:val="30"/>
          <w:szCs w:val="30"/>
          <w:lang w:val="es-ES"/>
        </w:rPr>
        <w:br/>
        <w:t>El contenido y demás características del certificado de depósito serán definidos por la Junta de Política y Regulación Monetaria y Financiera.</w:t>
      </w:r>
      <w:r>
        <w:rPr>
          <w:rFonts w:eastAsia="Times New Roman"/>
          <w:sz w:val="30"/>
          <w:szCs w:val="30"/>
          <w:lang w:val="es-ES"/>
        </w:rPr>
        <w:br/>
      </w:r>
      <w:r>
        <w:rPr>
          <w:rFonts w:eastAsia="Times New Roman"/>
          <w:sz w:val="30"/>
          <w:szCs w:val="30"/>
          <w:lang w:val="es-ES"/>
        </w:rPr>
        <w:br/>
        <w:t>Las cosas que se hallen depositadas en los Almacenes Genera</w:t>
      </w:r>
      <w:r>
        <w:rPr>
          <w:rFonts w:eastAsia="Times New Roman"/>
          <w:sz w:val="30"/>
          <w:szCs w:val="30"/>
          <w:lang w:val="es-ES"/>
        </w:rPr>
        <w:t xml:space="preserve">les de Depósito, así como el producto de su venta o el valor de la indemnización, en caso de siniestro, no podrán ser objeto de embargo, secuestro, retención o prohibición de enajenar. Pero el certificado de depósito podrá ser objeto de tales providencias </w:t>
      </w:r>
      <w:r>
        <w:rPr>
          <w:rFonts w:eastAsia="Times New Roman"/>
          <w:sz w:val="30"/>
          <w:szCs w:val="30"/>
          <w:lang w:val="es-ES"/>
        </w:rPr>
        <w:t>judiciales.</w:t>
      </w:r>
      <w:r>
        <w:rPr>
          <w:rFonts w:eastAsia="Times New Roman"/>
          <w:sz w:val="30"/>
          <w:szCs w:val="30"/>
          <w:lang w:val="es-ES"/>
        </w:rPr>
        <w:br/>
      </w:r>
      <w:r>
        <w:rPr>
          <w:rFonts w:eastAsia="Times New Roman"/>
          <w:sz w:val="30"/>
          <w:szCs w:val="30"/>
          <w:lang w:val="es-ES"/>
        </w:rPr>
        <w:br/>
        <w:t>Las acciones derivadas del certificado de depósito para el retiro de las mercancías prescriben en el plazo de cinco años, a partir de la fecha de expedición del certificado.</w:t>
      </w:r>
    </w:p>
    <w:p w:rsidR="00000000" w:rsidRDefault="0018461E">
      <w:pPr>
        <w:divId w:val="735586498"/>
        <w:rPr>
          <w:rFonts w:eastAsia="Times New Roman"/>
          <w:sz w:val="30"/>
          <w:szCs w:val="30"/>
          <w:lang w:val="es-ES"/>
        </w:rPr>
      </w:pPr>
      <w:r>
        <w:rPr>
          <w:rFonts w:eastAsia="Times New Roman"/>
          <w:sz w:val="30"/>
          <w:szCs w:val="30"/>
          <w:lang w:val="es-ES"/>
        </w:rPr>
        <w:t xml:space="preserve">Art. 431.- </w:t>
      </w:r>
      <w:r>
        <w:rPr>
          <w:rFonts w:eastAsia="Times New Roman"/>
          <w:b/>
          <w:bCs/>
          <w:sz w:val="30"/>
          <w:szCs w:val="30"/>
          <w:lang w:val="es-ES"/>
        </w:rPr>
        <w:t xml:space="preserve">Responsabilidad de los Almacenes Generales de Depósito. </w:t>
      </w:r>
      <w:r>
        <w:rPr>
          <w:rFonts w:eastAsia="Times New Roman"/>
          <w:sz w:val="30"/>
          <w:szCs w:val="30"/>
          <w:lang w:val="es-ES"/>
        </w:rPr>
        <w:t>Lo</w:t>
      </w:r>
      <w:r>
        <w:rPr>
          <w:rFonts w:eastAsia="Times New Roman"/>
          <w:sz w:val="30"/>
          <w:szCs w:val="30"/>
          <w:lang w:val="es-ES"/>
        </w:rPr>
        <w:t xml:space="preserve">s Almacenes Generales de Depósito serán responsables </w:t>
      </w:r>
      <w:r>
        <w:rPr>
          <w:rFonts w:eastAsia="Times New Roman"/>
          <w:sz w:val="30"/>
          <w:szCs w:val="30"/>
          <w:lang w:val="es-ES"/>
        </w:rPr>
        <w:lastRenderedPageBreak/>
        <w:t>por la conservación, custodia y oportuna restitución de las mercancías que les hayan sido depositadas. No serán responsables de las pérdidas, mermas o averías provenientes de fuerza mayor o caso fortuito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Los costos y riesgos de movilización interna de mercaderías y productos son de cargo de los Almacenes Generales de Depósito. Las mercaderías y productos objeto del depósito estarán asegurados contra los riesgos que determine la Junta.</w:t>
      </w:r>
      <w:r>
        <w:rPr>
          <w:rFonts w:eastAsia="Times New Roman"/>
          <w:sz w:val="30"/>
          <w:szCs w:val="30"/>
          <w:lang w:val="es-ES"/>
        </w:rPr>
        <w:br/>
      </w:r>
      <w:r>
        <w:rPr>
          <w:rFonts w:eastAsia="Times New Roman"/>
          <w:sz w:val="30"/>
          <w:szCs w:val="30"/>
          <w:lang w:val="es-ES"/>
        </w:rPr>
        <w:br/>
        <w:t>Si las mercancías</w:t>
      </w:r>
      <w:r>
        <w:rPr>
          <w:rFonts w:eastAsia="Times New Roman"/>
          <w:sz w:val="30"/>
          <w:szCs w:val="30"/>
          <w:lang w:val="es-ES"/>
        </w:rPr>
        <w:t xml:space="preserve"> o productos se hubieren descompuesto, los Almacenes Generales de Depósito, con intervención de las autoridades sanitarias, podrán proceder a la venta directa o a la destrucción de aquellos.</w:t>
      </w:r>
      <w:r>
        <w:rPr>
          <w:rFonts w:eastAsia="Times New Roman"/>
          <w:sz w:val="30"/>
          <w:szCs w:val="30"/>
          <w:lang w:val="es-ES"/>
        </w:rPr>
        <w:br/>
      </w:r>
      <w:r>
        <w:rPr>
          <w:rFonts w:eastAsia="Times New Roman"/>
          <w:sz w:val="30"/>
          <w:szCs w:val="30"/>
          <w:lang w:val="es-ES"/>
        </w:rPr>
        <w:br/>
        <w:t>Previo aviso escrito al depositante o al último endosatario en p</w:t>
      </w:r>
      <w:r>
        <w:rPr>
          <w:rFonts w:eastAsia="Times New Roman"/>
          <w:sz w:val="30"/>
          <w:szCs w:val="30"/>
          <w:lang w:val="es-ES"/>
        </w:rPr>
        <w:t>ropiedad, en su caso, con quince días de anticipación, por lo menos, el Almacén General de Depósito puede pedir al juez competente, la venta al martillo de las mercaderías cuando haya transcurrido un año desde la fecha del depósito, y no se haya satisfecho</w:t>
      </w:r>
      <w:r>
        <w:rPr>
          <w:rFonts w:eastAsia="Times New Roman"/>
          <w:sz w:val="30"/>
          <w:szCs w:val="30"/>
          <w:lang w:val="es-ES"/>
        </w:rPr>
        <w:t xml:space="preserve"> el costo de almacenamiento, o cuando las mercancías estén amenazadas de perecer o destruirse por cualquier motivo.</w:t>
      </w:r>
      <w:r>
        <w:rPr>
          <w:rFonts w:eastAsia="Times New Roman"/>
          <w:sz w:val="30"/>
          <w:szCs w:val="30"/>
          <w:lang w:val="es-ES"/>
        </w:rPr>
        <w:br/>
      </w:r>
      <w:r>
        <w:rPr>
          <w:rFonts w:eastAsia="Times New Roman"/>
          <w:sz w:val="30"/>
          <w:szCs w:val="30"/>
          <w:lang w:val="es-ES"/>
        </w:rPr>
        <w:br/>
        <w:t>Los bienes o mercancías depositadas, el producto de su venta, el valor de la indemnización en caso de siniestro, los fondos que tenga el Al</w:t>
      </w:r>
      <w:r>
        <w:rPr>
          <w:rFonts w:eastAsia="Times New Roman"/>
          <w:sz w:val="30"/>
          <w:szCs w:val="30"/>
          <w:lang w:val="es-ES"/>
        </w:rPr>
        <w:t>macén General de Depósito a disposición del tenedor del certificado, solo podrán ser retenidos por orden judicial.</w:t>
      </w:r>
    </w:p>
    <w:p w:rsidR="00000000" w:rsidRDefault="0018461E">
      <w:pPr>
        <w:divId w:val="848448954"/>
        <w:rPr>
          <w:rFonts w:eastAsia="Times New Roman"/>
          <w:sz w:val="30"/>
          <w:szCs w:val="30"/>
          <w:lang w:val="es-ES"/>
        </w:rPr>
      </w:pPr>
      <w:r>
        <w:rPr>
          <w:rFonts w:eastAsia="Times New Roman"/>
          <w:sz w:val="30"/>
          <w:szCs w:val="30"/>
          <w:lang w:val="es-ES"/>
        </w:rPr>
        <w:t xml:space="preserve">Art. 432.- </w:t>
      </w:r>
      <w:r>
        <w:rPr>
          <w:rFonts w:eastAsia="Times New Roman"/>
          <w:b/>
          <w:bCs/>
          <w:sz w:val="30"/>
          <w:szCs w:val="30"/>
          <w:lang w:val="es-ES"/>
        </w:rPr>
        <w:t xml:space="preserve">Prohibición. </w:t>
      </w:r>
      <w:r>
        <w:rPr>
          <w:rFonts w:eastAsia="Times New Roman"/>
          <w:sz w:val="30"/>
          <w:szCs w:val="30"/>
          <w:lang w:val="es-ES"/>
        </w:rPr>
        <w:t>Las entidades de servicios financieros no podrán captar recursos monetarios del público, excepto cuando emitan obligaciones, en los términos de la Ley de Mercado de Valores. La inobservancia de esta prohibición será sancionada como infracción muy grave.</w:t>
      </w:r>
    </w:p>
    <w:p w:rsidR="00000000" w:rsidRDefault="0018461E">
      <w:pPr>
        <w:jc w:val="center"/>
        <w:rPr>
          <w:rFonts w:eastAsia="Times New Roman"/>
          <w:sz w:val="36"/>
          <w:szCs w:val="36"/>
          <w:lang w:val="es-ES"/>
        </w:rPr>
      </w:pPr>
      <w:r>
        <w:rPr>
          <w:rFonts w:eastAsia="Times New Roman"/>
          <w:b/>
          <w:bCs/>
          <w:sz w:val="36"/>
          <w:szCs w:val="36"/>
          <w:lang w:val="es-ES"/>
        </w:rPr>
        <w:br/>
        <w:t>S</w:t>
      </w:r>
      <w:r>
        <w:rPr>
          <w:rFonts w:eastAsia="Times New Roman"/>
          <w:b/>
          <w:bCs/>
          <w:sz w:val="36"/>
          <w:szCs w:val="36"/>
          <w:lang w:val="es-ES"/>
        </w:rPr>
        <w:t xml:space="preserve">ección 11 </w:t>
      </w:r>
      <w:r>
        <w:rPr>
          <w:rFonts w:eastAsia="Times New Roman"/>
          <w:b/>
          <w:bCs/>
          <w:sz w:val="36"/>
          <w:szCs w:val="36"/>
          <w:lang w:val="es-ES"/>
        </w:rPr>
        <w:br/>
        <w:t>DE LOS SERVICIOS AUXILIARES</w:t>
      </w:r>
    </w:p>
    <w:p w:rsidR="00000000" w:rsidRDefault="0018461E">
      <w:pPr>
        <w:divId w:val="2121874082"/>
        <w:rPr>
          <w:rFonts w:eastAsia="Times New Roman"/>
          <w:sz w:val="30"/>
          <w:szCs w:val="30"/>
          <w:lang w:val="es-ES"/>
        </w:rPr>
      </w:pPr>
      <w:r>
        <w:rPr>
          <w:rFonts w:eastAsia="Times New Roman"/>
          <w:sz w:val="30"/>
          <w:szCs w:val="30"/>
          <w:lang w:val="es-ES"/>
        </w:rPr>
        <w:t xml:space="preserve">Art. 433.- </w:t>
      </w:r>
      <w:r>
        <w:rPr>
          <w:rFonts w:eastAsia="Times New Roman"/>
          <w:b/>
          <w:bCs/>
          <w:sz w:val="30"/>
          <w:szCs w:val="30"/>
          <w:lang w:val="es-ES"/>
        </w:rPr>
        <w:t xml:space="preserve">Servicios auxiliares. </w:t>
      </w:r>
      <w:r>
        <w:rPr>
          <w:rFonts w:eastAsia="Times New Roman"/>
          <w:sz w:val="30"/>
          <w:szCs w:val="30"/>
          <w:lang w:val="es-ES"/>
        </w:rPr>
        <w:t>Son servicios auxiliares de las actividades financieras, los siguientes:</w:t>
      </w:r>
      <w:r>
        <w:rPr>
          <w:rFonts w:eastAsia="Times New Roman"/>
          <w:sz w:val="30"/>
          <w:szCs w:val="30"/>
          <w:lang w:val="es-ES"/>
        </w:rPr>
        <w:br/>
      </w:r>
      <w:r>
        <w:rPr>
          <w:rFonts w:eastAsia="Times New Roman"/>
          <w:sz w:val="30"/>
          <w:szCs w:val="30"/>
          <w:lang w:val="es-ES"/>
        </w:rPr>
        <w:br/>
        <w:t>1. De software bancario;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Transaccionales;</w:t>
      </w:r>
      <w:r>
        <w:rPr>
          <w:rFonts w:eastAsia="Times New Roman"/>
          <w:sz w:val="30"/>
          <w:szCs w:val="30"/>
          <w:lang w:val="es-ES"/>
        </w:rPr>
        <w:br/>
      </w:r>
      <w:r>
        <w:rPr>
          <w:rFonts w:eastAsia="Times New Roman"/>
          <w:sz w:val="30"/>
          <w:szCs w:val="30"/>
          <w:lang w:val="es-ES"/>
        </w:rPr>
        <w:br/>
        <w:t>3. De transporte de especies monetarias y de valores;</w:t>
      </w:r>
      <w:r>
        <w:rPr>
          <w:rFonts w:eastAsia="Times New Roman"/>
          <w:sz w:val="30"/>
          <w:szCs w:val="30"/>
          <w:lang w:val="es-ES"/>
        </w:rPr>
        <w:br/>
      </w:r>
      <w:r>
        <w:rPr>
          <w:rFonts w:eastAsia="Times New Roman"/>
          <w:sz w:val="30"/>
          <w:szCs w:val="30"/>
          <w:lang w:val="es-ES"/>
        </w:rPr>
        <w:br/>
        <w:t>4. De pa</w:t>
      </w:r>
      <w:r>
        <w:rPr>
          <w:rFonts w:eastAsia="Times New Roman"/>
          <w:sz w:val="30"/>
          <w:szCs w:val="30"/>
          <w:lang w:val="es-ES"/>
        </w:rPr>
        <w:t>gos;</w:t>
      </w:r>
      <w:r>
        <w:rPr>
          <w:rFonts w:eastAsia="Times New Roman"/>
          <w:sz w:val="30"/>
          <w:szCs w:val="30"/>
          <w:lang w:val="es-ES"/>
        </w:rPr>
        <w:br/>
      </w:r>
      <w:r>
        <w:rPr>
          <w:rFonts w:eastAsia="Times New Roman"/>
          <w:sz w:val="30"/>
          <w:szCs w:val="30"/>
          <w:lang w:val="es-ES"/>
        </w:rPr>
        <w:br/>
        <w:t>5. De cobranza;</w:t>
      </w:r>
      <w:r>
        <w:rPr>
          <w:rFonts w:eastAsia="Times New Roman"/>
          <w:sz w:val="30"/>
          <w:szCs w:val="30"/>
          <w:lang w:val="es-ES"/>
        </w:rPr>
        <w:br/>
      </w:r>
      <w:r>
        <w:rPr>
          <w:rFonts w:eastAsia="Times New Roman"/>
          <w:sz w:val="30"/>
          <w:szCs w:val="30"/>
          <w:lang w:val="es-ES"/>
        </w:rPr>
        <w:br/>
        <w:t>6. De redes y cajeros automáticos;</w:t>
      </w:r>
      <w:r>
        <w:rPr>
          <w:rFonts w:eastAsia="Times New Roman"/>
          <w:sz w:val="30"/>
          <w:szCs w:val="30"/>
          <w:lang w:val="es-ES"/>
        </w:rPr>
        <w:br/>
      </w:r>
      <w:r>
        <w:rPr>
          <w:rFonts w:eastAsia="Times New Roman"/>
          <w:sz w:val="30"/>
          <w:szCs w:val="30"/>
          <w:lang w:val="es-ES"/>
        </w:rPr>
        <w:br/>
        <w:t>7. Contables;</w:t>
      </w:r>
      <w:r>
        <w:rPr>
          <w:rFonts w:eastAsia="Times New Roman"/>
          <w:sz w:val="30"/>
          <w:szCs w:val="30"/>
          <w:lang w:val="es-ES"/>
        </w:rPr>
        <w:br/>
      </w:r>
      <w:r>
        <w:rPr>
          <w:rFonts w:eastAsia="Times New Roman"/>
          <w:sz w:val="30"/>
          <w:szCs w:val="30"/>
          <w:lang w:val="es-ES"/>
        </w:rPr>
        <w:br/>
        <w:t>8. De computación;</w:t>
      </w:r>
      <w:r>
        <w:rPr>
          <w:rFonts w:eastAsia="Times New Roman"/>
          <w:sz w:val="30"/>
          <w:szCs w:val="30"/>
          <w:lang w:val="es-ES"/>
        </w:rPr>
        <w:br/>
      </w:r>
      <w:r>
        <w:rPr>
          <w:rFonts w:eastAsia="Times New Roman"/>
          <w:sz w:val="30"/>
          <w:szCs w:val="30"/>
          <w:lang w:val="es-ES"/>
        </w:rPr>
        <w:br/>
        <w:t>9. De tenencia de edificios destinados exclusivamente al uso de oficinas por parte de una entidad financiera; y,</w:t>
      </w:r>
      <w:r>
        <w:rPr>
          <w:rFonts w:eastAsia="Times New Roman"/>
          <w:sz w:val="30"/>
          <w:szCs w:val="30"/>
          <w:lang w:val="es-ES"/>
        </w:rPr>
        <w:br/>
      </w:r>
      <w:r>
        <w:rPr>
          <w:rFonts w:eastAsia="Times New Roman"/>
          <w:sz w:val="30"/>
          <w:szCs w:val="30"/>
          <w:lang w:val="es-ES"/>
        </w:rPr>
        <w:br/>
        <w:t>10. Otros que fueren determinados por la Superin</w:t>
      </w:r>
      <w:r>
        <w:rPr>
          <w:rFonts w:eastAsia="Times New Roman"/>
          <w:sz w:val="30"/>
          <w:szCs w:val="30"/>
          <w:lang w:val="es-ES"/>
        </w:rPr>
        <w:t>tendencia de Bancos, en la órbita de su competencia.</w:t>
      </w:r>
    </w:p>
    <w:p w:rsidR="00000000" w:rsidRDefault="0018461E">
      <w:pPr>
        <w:divId w:val="1893152277"/>
        <w:rPr>
          <w:rFonts w:eastAsia="Times New Roman"/>
          <w:sz w:val="30"/>
          <w:szCs w:val="30"/>
          <w:lang w:val="es-ES"/>
        </w:rPr>
      </w:pPr>
      <w:r>
        <w:rPr>
          <w:rFonts w:eastAsia="Times New Roman"/>
          <w:sz w:val="30"/>
          <w:szCs w:val="30"/>
          <w:lang w:val="es-ES"/>
        </w:rPr>
        <w:t xml:space="preserve">Art. 434.- </w:t>
      </w:r>
      <w:r>
        <w:rPr>
          <w:rFonts w:eastAsia="Times New Roman"/>
          <w:b/>
          <w:bCs/>
          <w:sz w:val="30"/>
          <w:szCs w:val="30"/>
          <w:lang w:val="es-ES"/>
        </w:rPr>
        <w:t>Naturaleza.</w:t>
      </w:r>
      <w:r>
        <w:rPr>
          <w:rFonts w:eastAsia="Times New Roman"/>
          <w:b/>
          <w:bCs/>
          <w:sz w:val="30"/>
          <w:szCs w:val="30"/>
          <w:lang w:val="es-ES"/>
        </w:rPr>
        <w:t xml:space="preserve"> </w:t>
      </w:r>
      <w:r>
        <w:rPr>
          <w:rFonts w:eastAsia="Times New Roman"/>
          <w:b/>
          <w:bCs/>
          <w:noProof/>
          <w:sz w:val="30"/>
          <w:szCs w:val="30"/>
        </w:rPr>
        <w:drawing>
          <wp:inline distT="0" distB="0" distL="0" distR="0">
            <wp:extent cx="243840" cy="243840"/>
            <wp:effectExtent l="0" t="0" r="3810" b="3810"/>
            <wp:docPr id="11" name="Imagen 11"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w:t>
      </w:r>
      <w:r>
        <w:rPr>
          <w:rFonts w:eastAsia="Times New Roman"/>
          <w:sz w:val="30"/>
          <w:szCs w:val="30"/>
          <w:lang w:val="es-ES"/>
        </w:rPr>
        <w:t>l num. 9 de la Disposición Reformatoria Segunda de la Ley s/n, R.O. 986-S, 18-IV-2017).- Los servicios auxiliares serán prestados por personas jurídicas no financieras constituidas como sociedades anónimas o compañías limitadas, cuya vida jurídica se regir</w:t>
      </w:r>
      <w:r>
        <w:rPr>
          <w:rFonts w:eastAsia="Times New Roman"/>
          <w:sz w:val="30"/>
          <w:szCs w:val="30"/>
          <w:lang w:val="es-ES"/>
        </w:rPr>
        <w:t>á por las disposiciones de la Ley de Compañías. El objeto social de estas compañías será claramente determinado.</w:t>
      </w:r>
      <w:r>
        <w:rPr>
          <w:rFonts w:eastAsia="Times New Roman"/>
          <w:sz w:val="30"/>
          <w:szCs w:val="30"/>
          <w:lang w:val="es-ES"/>
        </w:rPr>
        <w:br/>
      </w:r>
      <w:r>
        <w:rPr>
          <w:rFonts w:eastAsia="Times New Roman"/>
          <w:sz w:val="30"/>
          <w:szCs w:val="30"/>
          <w:lang w:val="es-ES"/>
        </w:rPr>
        <w:br/>
        <w:t>Por excepción y a petición motivada del interesado, la Superintendencia de Bancos autorizará que las empresas de servicios auxiliares que teng</w:t>
      </w:r>
      <w:r>
        <w:rPr>
          <w:rFonts w:eastAsia="Times New Roman"/>
          <w:sz w:val="30"/>
          <w:szCs w:val="30"/>
          <w:lang w:val="es-ES"/>
        </w:rPr>
        <w:t>an capital de propiedad de entidades del sector financiero presten sus servicios de manera excepcional a otra clase de personas naturales o jurídicas ajenas al sistema financiero nacional.</w:t>
      </w:r>
      <w:r>
        <w:rPr>
          <w:rFonts w:eastAsia="Times New Roman"/>
          <w:sz w:val="30"/>
          <w:szCs w:val="30"/>
          <w:lang w:val="es-ES"/>
        </w:rPr>
        <w:br/>
      </w:r>
      <w:r>
        <w:rPr>
          <w:rFonts w:eastAsia="Times New Roman"/>
          <w:sz w:val="30"/>
          <w:szCs w:val="30"/>
          <w:lang w:val="es-ES"/>
        </w:rPr>
        <w:br/>
        <w:t>Las compañías de servicios auxiliares que no tienen acciones o par</w:t>
      </w:r>
      <w:r>
        <w:rPr>
          <w:rFonts w:eastAsia="Times New Roman"/>
          <w:sz w:val="30"/>
          <w:szCs w:val="30"/>
          <w:lang w:val="es-ES"/>
        </w:rPr>
        <w:t>ticipaciones de propiedad de una entidad financiera privada, no requerirán autorización por parte de la Superintendencia de Bancos para prestar servicios a terceros y podránhacerlo sin ninguna limitación.</w:t>
      </w:r>
      <w:r>
        <w:rPr>
          <w:rFonts w:eastAsia="Times New Roman"/>
          <w:sz w:val="30"/>
          <w:szCs w:val="30"/>
          <w:lang w:val="es-ES"/>
        </w:rPr>
        <w:br/>
      </w:r>
      <w:r>
        <w:rPr>
          <w:rFonts w:eastAsia="Times New Roman"/>
          <w:sz w:val="30"/>
          <w:szCs w:val="30"/>
          <w:lang w:val="es-ES"/>
        </w:rPr>
        <w:br/>
        <w:t>Las entidades del sector financiero privado podrán</w:t>
      </w:r>
      <w:r>
        <w:rPr>
          <w:rFonts w:eastAsia="Times New Roman"/>
          <w:sz w:val="30"/>
          <w:szCs w:val="30"/>
          <w:lang w:val="es-ES"/>
        </w:rPr>
        <w:t xml:space="preserve"> invertir en </w:t>
      </w:r>
      <w:r>
        <w:rPr>
          <w:rFonts w:eastAsia="Times New Roman"/>
          <w:sz w:val="30"/>
          <w:szCs w:val="30"/>
          <w:lang w:val="es-ES"/>
        </w:rPr>
        <w:lastRenderedPageBreak/>
        <w:t>compañías de responsabilidad limitada únicamente de servicios auxiliares.</w:t>
      </w:r>
    </w:p>
    <w:p w:rsidR="00000000" w:rsidRDefault="0018461E">
      <w:pPr>
        <w:divId w:val="1428845076"/>
        <w:rPr>
          <w:rFonts w:eastAsia="Times New Roman"/>
          <w:sz w:val="30"/>
          <w:szCs w:val="30"/>
          <w:lang w:val="es-ES"/>
        </w:rPr>
      </w:pPr>
      <w:r>
        <w:rPr>
          <w:rFonts w:eastAsia="Times New Roman"/>
          <w:sz w:val="30"/>
          <w:szCs w:val="30"/>
          <w:lang w:val="es-ES"/>
        </w:rPr>
        <w:t xml:space="preserve">Art. 435.- </w:t>
      </w:r>
      <w:r>
        <w:rPr>
          <w:rFonts w:eastAsia="Times New Roman"/>
          <w:b/>
          <w:bCs/>
          <w:sz w:val="30"/>
          <w:szCs w:val="30"/>
          <w:lang w:val="es-ES"/>
        </w:rPr>
        <w:t xml:space="preserve">Participación en el capital. </w:t>
      </w:r>
      <w:r>
        <w:rPr>
          <w:rFonts w:eastAsia="Times New Roman"/>
          <w:sz w:val="30"/>
          <w:szCs w:val="30"/>
          <w:lang w:val="es-ES"/>
        </w:rPr>
        <w:t>Las entidades financieras privadas podrán participar en el capital de estas compañías, de acuerdo con lo dispuesto en este Código</w:t>
      </w:r>
      <w:r>
        <w:rPr>
          <w:rFonts w:eastAsia="Times New Roman"/>
          <w:sz w:val="30"/>
          <w:szCs w:val="30"/>
          <w:lang w:val="es-ES"/>
        </w:rPr>
        <w:t>, convirtiéndolas por esta participación en subsidiarias o afiliadas.</w:t>
      </w:r>
    </w:p>
    <w:p w:rsidR="00000000" w:rsidRDefault="0018461E">
      <w:pPr>
        <w:divId w:val="209616169"/>
        <w:rPr>
          <w:rFonts w:eastAsia="Times New Roman"/>
          <w:sz w:val="30"/>
          <w:szCs w:val="30"/>
          <w:lang w:val="es-ES"/>
        </w:rPr>
      </w:pPr>
      <w:r>
        <w:rPr>
          <w:rFonts w:eastAsia="Times New Roman"/>
          <w:sz w:val="30"/>
          <w:szCs w:val="30"/>
          <w:lang w:val="es-ES"/>
        </w:rPr>
        <w:t xml:space="preserve">Art. 436.- </w:t>
      </w:r>
      <w:r>
        <w:rPr>
          <w:rFonts w:eastAsia="Times New Roman"/>
          <w:b/>
          <w:bCs/>
          <w:sz w:val="30"/>
          <w:szCs w:val="30"/>
          <w:lang w:val="es-ES"/>
        </w:rPr>
        <w:t>Calificación.</w:t>
      </w:r>
      <w:r>
        <w:rPr>
          <w:rFonts w:eastAsia="Times New Roman"/>
          <w:b/>
          <w:bCs/>
          <w:sz w:val="30"/>
          <w:szCs w:val="30"/>
          <w:lang w:val="es-ES"/>
        </w:rPr>
        <w:t xml:space="preserve"> </w:t>
      </w:r>
      <w:r>
        <w:rPr>
          <w:rFonts w:eastAsia="Times New Roman"/>
          <w:b/>
          <w:bCs/>
          <w:noProof/>
          <w:sz w:val="30"/>
          <w:szCs w:val="30"/>
        </w:rPr>
        <w:drawing>
          <wp:inline distT="0" distB="0" distL="0" distR="0">
            <wp:extent cx="243840" cy="243840"/>
            <wp:effectExtent l="0" t="0" r="3810" b="3810"/>
            <wp:docPr id="12" name="Imagen 12"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num. 10 de la Disposción Reformatoria Segunda de la Ley s/n, R.O. 986-S, 18-IV-2017).- Las compañías, para prestar los servicios auxiliares a las entidades del sistema financiero nacional, deberán calificarse previamente ante el organismo</w:t>
      </w:r>
      <w:r>
        <w:rPr>
          <w:rFonts w:eastAsia="Times New Roman"/>
          <w:sz w:val="30"/>
          <w:szCs w:val="30"/>
          <w:lang w:val="es-ES"/>
        </w:rPr>
        <w:t xml:space="preserve"> de control correspondiente, la que como parte de la calificación podrá disponer la reforma del estatuto social y el incremento del capital, con el propósito de asegurar su solvencia.</w:t>
      </w:r>
      <w:r>
        <w:rPr>
          <w:rFonts w:eastAsia="Times New Roman"/>
          <w:sz w:val="30"/>
          <w:szCs w:val="30"/>
          <w:lang w:val="es-ES"/>
        </w:rPr>
        <w:br/>
      </w:r>
      <w:r>
        <w:rPr>
          <w:rFonts w:eastAsia="Times New Roman"/>
          <w:sz w:val="30"/>
          <w:szCs w:val="30"/>
          <w:lang w:val="es-ES"/>
        </w:rPr>
        <w:br/>
        <w:t xml:space="preserve">El capital de estas compañías deberá guardar directa proporción con el </w:t>
      </w:r>
      <w:r>
        <w:rPr>
          <w:rFonts w:eastAsia="Times New Roman"/>
          <w:sz w:val="30"/>
          <w:szCs w:val="30"/>
          <w:lang w:val="es-ES"/>
        </w:rPr>
        <w:t>volumen o monto de sus operaciones.</w:t>
      </w:r>
    </w:p>
    <w:p w:rsidR="00000000" w:rsidRDefault="0018461E">
      <w:pPr>
        <w:divId w:val="828600040"/>
        <w:rPr>
          <w:rFonts w:eastAsia="Times New Roman"/>
          <w:sz w:val="30"/>
          <w:szCs w:val="30"/>
          <w:lang w:val="es-ES"/>
        </w:rPr>
      </w:pPr>
      <w:r>
        <w:rPr>
          <w:rFonts w:eastAsia="Times New Roman"/>
          <w:sz w:val="30"/>
          <w:szCs w:val="30"/>
          <w:lang w:val="es-ES"/>
        </w:rPr>
        <w:t xml:space="preserve">Art. 437.- </w:t>
      </w:r>
      <w:r>
        <w:rPr>
          <w:rFonts w:eastAsia="Times New Roman"/>
          <w:b/>
          <w:bCs/>
          <w:sz w:val="30"/>
          <w:szCs w:val="30"/>
          <w:lang w:val="es-ES"/>
        </w:rPr>
        <w:t>Operaciones.</w:t>
      </w:r>
      <w:r>
        <w:rPr>
          <w:rFonts w:eastAsia="Times New Roman"/>
          <w:b/>
          <w:bCs/>
          <w:sz w:val="30"/>
          <w:szCs w:val="30"/>
          <w:lang w:val="es-ES"/>
        </w:rPr>
        <w:t xml:space="preserve"> </w:t>
      </w:r>
      <w:r>
        <w:rPr>
          <w:rFonts w:eastAsia="Times New Roman"/>
          <w:b/>
          <w:bCs/>
          <w:noProof/>
          <w:sz w:val="30"/>
          <w:szCs w:val="30"/>
        </w:rPr>
        <w:drawing>
          <wp:inline distT="0" distB="0" distL="0" distR="0">
            <wp:extent cx="243840" cy="243840"/>
            <wp:effectExtent l="0" t="0" r="3810" b="3810"/>
            <wp:docPr id="13" name="Imagen 13"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num. 11 de la Disposción Reformatoria Segunda de la Ley s/n, R.O. 986-S, 18-IV-2017).- La definición y las acciones que comprenden las operaciones a carg</w:t>
      </w:r>
      <w:r>
        <w:rPr>
          <w:rFonts w:eastAsia="Times New Roman"/>
          <w:sz w:val="30"/>
          <w:szCs w:val="30"/>
          <w:lang w:val="es-ES"/>
        </w:rPr>
        <w:t>o de las entidades de servicios auxiliares del sistema financiero, serán reguladas por la Junta de Política y Regulación Monetaria y Financiera.</w:t>
      </w:r>
    </w:p>
    <w:p w:rsidR="00000000" w:rsidRDefault="0018461E">
      <w:pPr>
        <w:divId w:val="1696926477"/>
        <w:rPr>
          <w:rFonts w:eastAsia="Times New Roman"/>
          <w:sz w:val="30"/>
          <w:szCs w:val="30"/>
          <w:lang w:val="es-ES"/>
        </w:rPr>
      </w:pPr>
      <w:r>
        <w:rPr>
          <w:rFonts w:eastAsia="Times New Roman"/>
          <w:sz w:val="30"/>
          <w:szCs w:val="30"/>
          <w:lang w:val="es-ES"/>
        </w:rPr>
        <w:t xml:space="preserve">Art. 438.- </w:t>
      </w:r>
      <w:r>
        <w:rPr>
          <w:rFonts w:eastAsia="Times New Roman"/>
          <w:b/>
          <w:bCs/>
          <w:sz w:val="30"/>
          <w:szCs w:val="30"/>
          <w:lang w:val="es-ES"/>
        </w:rPr>
        <w:t xml:space="preserve">Prohibición de inversión. </w:t>
      </w:r>
      <w:r>
        <w:rPr>
          <w:rFonts w:eastAsia="Times New Roman"/>
          <w:sz w:val="30"/>
          <w:szCs w:val="30"/>
          <w:lang w:val="es-ES"/>
        </w:rPr>
        <w:t>Las compañías de servicios auxiliares del sistema financiero, cuyos accion</w:t>
      </w:r>
      <w:r>
        <w:rPr>
          <w:rFonts w:eastAsia="Times New Roman"/>
          <w:sz w:val="30"/>
          <w:szCs w:val="30"/>
          <w:lang w:val="es-ES"/>
        </w:rPr>
        <w:t>istas sean entidades financieras privadas, no podrán invertir en el capital de otra persona jurídica, pertenezca o no al sistema financiero nacional. La inobservancia de esta prohibición será sancionada por la Superintendencia de Compañías, Valores y Segur</w:t>
      </w:r>
      <w:r>
        <w:rPr>
          <w:rFonts w:eastAsia="Times New Roman"/>
          <w:sz w:val="30"/>
          <w:szCs w:val="30"/>
          <w:lang w:val="es-ES"/>
        </w:rPr>
        <w:t>os como infracción muy grave, sin perjuicio de su desinversión.</w:t>
      </w:r>
    </w:p>
    <w:p w:rsidR="00000000" w:rsidRDefault="0018461E">
      <w:pPr>
        <w:divId w:val="1775977059"/>
        <w:rPr>
          <w:rFonts w:eastAsia="Times New Roman"/>
          <w:sz w:val="30"/>
          <w:szCs w:val="30"/>
          <w:lang w:val="es-ES"/>
        </w:rPr>
      </w:pPr>
      <w:r>
        <w:rPr>
          <w:rFonts w:eastAsia="Times New Roman"/>
          <w:sz w:val="30"/>
          <w:szCs w:val="30"/>
          <w:lang w:val="es-ES"/>
        </w:rPr>
        <w:t xml:space="preserve">Art. 439.- </w:t>
      </w:r>
      <w:r>
        <w:rPr>
          <w:rFonts w:eastAsia="Times New Roman"/>
          <w:b/>
          <w:bCs/>
          <w:sz w:val="30"/>
          <w:szCs w:val="30"/>
          <w:lang w:val="es-ES"/>
        </w:rPr>
        <w:t xml:space="preserve">Control. </w:t>
      </w:r>
      <w:r>
        <w:rPr>
          <w:rFonts w:eastAsia="Times New Roman"/>
          <w:sz w:val="30"/>
          <w:szCs w:val="30"/>
          <w:lang w:val="es-ES"/>
        </w:rPr>
        <w:t>El control societario de estas compañías está a cargo de la Superintendencia de Compañías, Valores y Seguros. Los servicios auxiliares relacionados con actividades financie</w:t>
      </w:r>
      <w:r>
        <w:rPr>
          <w:rFonts w:eastAsia="Times New Roman"/>
          <w:sz w:val="30"/>
          <w:szCs w:val="30"/>
          <w:lang w:val="es-ES"/>
        </w:rPr>
        <w:t>ras que presten estas compañías serán controlados por la Superintendencia de Bancos, de acuerdo con las normas que expida para el efecto.</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6 </w:t>
      </w:r>
      <w:r>
        <w:rPr>
          <w:rFonts w:eastAsia="Times New Roman"/>
          <w:b/>
          <w:bCs/>
          <w:sz w:val="36"/>
          <w:szCs w:val="36"/>
          <w:lang w:val="es-ES"/>
        </w:rPr>
        <w:br/>
        <w:t>SECTOR FINANCIERO POPULAR Y SOLIDARIO</w:t>
      </w:r>
    </w:p>
    <w:p w:rsidR="00000000" w:rsidRDefault="0018461E">
      <w:pPr>
        <w:jc w:val="center"/>
        <w:rPr>
          <w:rFonts w:eastAsia="Times New Roman"/>
          <w:sz w:val="36"/>
          <w:szCs w:val="36"/>
          <w:lang w:val="es-ES"/>
        </w:rPr>
      </w:pPr>
      <w:r>
        <w:rPr>
          <w:rFonts w:eastAsia="Times New Roman"/>
          <w:b/>
          <w:bCs/>
          <w:sz w:val="36"/>
          <w:szCs w:val="36"/>
          <w:lang w:val="es-ES"/>
        </w:rPr>
        <w:lastRenderedPageBreak/>
        <w:br/>
        <w:t xml:space="preserve">Sección 1 </w:t>
      </w:r>
      <w:r>
        <w:rPr>
          <w:rFonts w:eastAsia="Times New Roman"/>
          <w:b/>
          <w:bCs/>
          <w:sz w:val="36"/>
          <w:szCs w:val="36"/>
          <w:lang w:val="es-ES"/>
        </w:rPr>
        <w:br/>
        <w:t>DISPOSICIONES COMUNES</w:t>
      </w:r>
    </w:p>
    <w:p w:rsidR="00000000" w:rsidRDefault="0018461E">
      <w:pPr>
        <w:divId w:val="1934044090"/>
        <w:rPr>
          <w:rFonts w:eastAsia="Times New Roman"/>
          <w:sz w:val="30"/>
          <w:szCs w:val="30"/>
          <w:lang w:val="es-ES"/>
        </w:rPr>
      </w:pPr>
      <w:r>
        <w:rPr>
          <w:rFonts w:eastAsia="Times New Roman"/>
          <w:sz w:val="30"/>
          <w:szCs w:val="30"/>
          <w:lang w:val="es-ES"/>
        </w:rPr>
        <w:t xml:space="preserve">Art. 440.- </w:t>
      </w:r>
      <w:r>
        <w:rPr>
          <w:rFonts w:eastAsia="Times New Roman"/>
          <w:b/>
          <w:bCs/>
          <w:sz w:val="30"/>
          <w:szCs w:val="30"/>
          <w:lang w:val="es-ES"/>
        </w:rPr>
        <w:t xml:space="preserve">Administración de las entidades del sector financiero popular y solidario. </w:t>
      </w:r>
      <w:r>
        <w:rPr>
          <w:rFonts w:eastAsia="Times New Roman"/>
          <w:sz w:val="30"/>
          <w:szCs w:val="30"/>
          <w:lang w:val="es-ES"/>
        </w:rPr>
        <w:t>Para efectos de la aplicación de este Código, los miembros del consejo de administración de las cooperativas de ahorro y crédito y de las asociaciones mutualistas de ahorro y crédit</w:t>
      </w:r>
      <w:r>
        <w:rPr>
          <w:rFonts w:eastAsia="Times New Roman"/>
          <w:sz w:val="30"/>
          <w:szCs w:val="30"/>
          <w:lang w:val="es-ES"/>
        </w:rPr>
        <w:t>o para la vivienda, los miembros del consejo de administración de las cajas centrales, y sus representantes legales serán considerados administradores.</w:t>
      </w:r>
      <w:r>
        <w:rPr>
          <w:rFonts w:eastAsia="Times New Roman"/>
          <w:sz w:val="30"/>
          <w:szCs w:val="30"/>
          <w:lang w:val="es-ES"/>
        </w:rPr>
        <w:br/>
      </w:r>
      <w:r>
        <w:rPr>
          <w:rFonts w:eastAsia="Times New Roman"/>
          <w:sz w:val="30"/>
          <w:szCs w:val="30"/>
          <w:lang w:val="es-ES"/>
        </w:rPr>
        <w:br/>
        <w:t>Los consejos de vigilancia serán corresponsables del desempeño de las cooperativas de ahorro y crédito,</w:t>
      </w:r>
      <w:r>
        <w:rPr>
          <w:rFonts w:eastAsia="Times New Roman"/>
          <w:sz w:val="30"/>
          <w:szCs w:val="30"/>
          <w:lang w:val="es-ES"/>
        </w:rPr>
        <w:t xml:space="preserve"> de las asociaciones mutualistas de ahorro y crédito para la vivienda y de las cajas centrales y estarán sujetos a las responsabilidades y sanciones que este código establece para los consejos de administración.</w:t>
      </w:r>
      <w:r>
        <w:rPr>
          <w:rFonts w:eastAsia="Times New Roman"/>
          <w:sz w:val="30"/>
          <w:szCs w:val="30"/>
          <w:lang w:val="es-ES"/>
        </w:rPr>
        <w:br/>
      </w:r>
      <w:r>
        <w:rPr>
          <w:rFonts w:eastAsia="Times New Roman"/>
          <w:sz w:val="30"/>
          <w:szCs w:val="30"/>
          <w:lang w:val="es-ES"/>
        </w:rPr>
        <w:br/>
        <w:t>No podrán ser representantes legales de las</w:t>
      </w:r>
      <w:r>
        <w:rPr>
          <w:rFonts w:eastAsia="Times New Roman"/>
          <w:sz w:val="30"/>
          <w:szCs w:val="30"/>
          <w:lang w:val="es-ES"/>
        </w:rPr>
        <w:t xml:space="preserve"> entidades que conforman el sector financiero popular y solidario quienes fueren cónyuges o convivientes en unión de hecho o parientes dentro del cuarto grado de consanguinidad o segundo de afinidad de miembros de los Consejos de Administración o Vigilanci</w:t>
      </w:r>
      <w:r>
        <w:rPr>
          <w:rFonts w:eastAsia="Times New Roman"/>
          <w:sz w:val="30"/>
          <w:szCs w:val="30"/>
          <w:lang w:val="es-ES"/>
        </w:rPr>
        <w:t>a.</w:t>
      </w:r>
    </w:p>
    <w:p w:rsidR="00000000" w:rsidRDefault="0018461E">
      <w:pPr>
        <w:divId w:val="625114847"/>
        <w:rPr>
          <w:rFonts w:eastAsia="Times New Roman"/>
          <w:sz w:val="30"/>
          <w:szCs w:val="30"/>
          <w:lang w:val="es-ES"/>
        </w:rPr>
      </w:pPr>
      <w:r>
        <w:rPr>
          <w:rFonts w:eastAsia="Times New Roman"/>
          <w:sz w:val="30"/>
          <w:szCs w:val="30"/>
          <w:lang w:val="es-ES"/>
        </w:rPr>
        <w:t xml:space="preserve">Art. 441.- </w:t>
      </w:r>
      <w:r>
        <w:rPr>
          <w:rFonts w:eastAsia="Times New Roman"/>
          <w:b/>
          <w:bCs/>
          <w:sz w:val="30"/>
          <w:szCs w:val="30"/>
          <w:lang w:val="es-ES"/>
        </w:rPr>
        <w:t xml:space="preserve">Remoción de los Consejos de Administración y Vigilancia. </w:t>
      </w:r>
      <w:r>
        <w:rPr>
          <w:rFonts w:eastAsia="Times New Roman"/>
          <w:sz w:val="30"/>
          <w:szCs w:val="30"/>
          <w:lang w:val="es-ES"/>
        </w:rPr>
        <w:t>Los miembros de los Consejos de Administración y Vigilancia podrán ser removidos, en cualquier tiempo, por el organismo de control por cualquiera de las siguientes causas:</w:t>
      </w:r>
      <w:r>
        <w:rPr>
          <w:rFonts w:eastAsia="Times New Roman"/>
          <w:sz w:val="30"/>
          <w:szCs w:val="30"/>
          <w:lang w:val="es-ES"/>
        </w:rPr>
        <w:br/>
      </w:r>
      <w:r>
        <w:rPr>
          <w:rFonts w:eastAsia="Times New Roman"/>
          <w:sz w:val="30"/>
          <w:szCs w:val="30"/>
          <w:lang w:val="es-ES"/>
        </w:rPr>
        <w:br/>
        <w:t>1. Estar inc</w:t>
      </w:r>
      <w:r>
        <w:rPr>
          <w:rFonts w:eastAsia="Times New Roman"/>
          <w:sz w:val="30"/>
          <w:szCs w:val="30"/>
          <w:lang w:val="es-ES"/>
        </w:rPr>
        <w:t>urso en las prohibiciones determinadas en el artículo 412;</w:t>
      </w:r>
      <w:r>
        <w:rPr>
          <w:rFonts w:eastAsia="Times New Roman"/>
          <w:sz w:val="30"/>
          <w:szCs w:val="30"/>
          <w:lang w:val="es-ES"/>
        </w:rPr>
        <w:br/>
      </w:r>
      <w:r>
        <w:rPr>
          <w:rFonts w:eastAsia="Times New Roman"/>
          <w:sz w:val="30"/>
          <w:szCs w:val="30"/>
          <w:lang w:val="es-ES"/>
        </w:rPr>
        <w:br/>
        <w:t>2. Reticencia en cumplir las disposiciones impartidas por el organismo de control;</w:t>
      </w:r>
      <w:r>
        <w:rPr>
          <w:rFonts w:eastAsia="Times New Roman"/>
          <w:sz w:val="30"/>
          <w:szCs w:val="30"/>
          <w:lang w:val="es-ES"/>
        </w:rPr>
        <w:br/>
      </w:r>
      <w:r>
        <w:rPr>
          <w:rFonts w:eastAsia="Times New Roman"/>
          <w:sz w:val="30"/>
          <w:szCs w:val="30"/>
          <w:lang w:val="es-ES"/>
        </w:rPr>
        <w:br/>
        <w:t>3. Adulterar o distorsionar los estados financieros;</w:t>
      </w:r>
      <w:r>
        <w:rPr>
          <w:rFonts w:eastAsia="Times New Roman"/>
          <w:sz w:val="30"/>
          <w:szCs w:val="30"/>
          <w:lang w:val="es-ES"/>
        </w:rPr>
        <w:br/>
      </w:r>
      <w:r>
        <w:rPr>
          <w:rFonts w:eastAsia="Times New Roman"/>
          <w:sz w:val="30"/>
          <w:szCs w:val="30"/>
          <w:lang w:val="es-ES"/>
        </w:rPr>
        <w:br/>
        <w:t>4. Obstaculizar las acciones de control;</w:t>
      </w:r>
      <w:r>
        <w:rPr>
          <w:rFonts w:eastAsia="Times New Roman"/>
          <w:sz w:val="30"/>
          <w:szCs w:val="30"/>
          <w:lang w:val="es-ES"/>
        </w:rPr>
        <w:br/>
      </w:r>
      <w:r>
        <w:rPr>
          <w:rFonts w:eastAsia="Times New Roman"/>
          <w:sz w:val="30"/>
          <w:szCs w:val="30"/>
          <w:lang w:val="es-ES"/>
        </w:rPr>
        <w:br/>
        <w:t>5. Realizar o fo</w:t>
      </w:r>
      <w:r>
        <w:rPr>
          <w:rFonts w:eastAsia="Times New Roman"/>
          <w:sz w:val="30"/>
          <w:szCs w:val="30"/>
          <w:lang w:val="es-ES"/>
        </w:rPr>
        <w:t>mentar operaciones ilícitas;</w:t>
      </w:r>
      <w:r>
        <w:rPr>
          <w:rFonts w:eastAsia="Times New Roman"/>
          <w:sz w:val="30"/>
          <w:szCs w:val="30"/>
          <w:lang w:val="es-ES"/>
        </w:rPr>
        <w:br/>
      </w:r>
      <w:r>
        <w:rPr>
          <w:rFonts w:eastAsia="Times New Roman"/>
          <w:sz w:val="30"/>
          <w:szCs w:val="30"/>
          <w:lang w:val="es-ES"/>
        </w:rPr>
        <w:br/>
        <w:t xml:space="preserve">6. Ejecutar actos graves que hagan temer por la estabilidad de la </w:t>
      </w:r>
      <w:r>
        <w:rPr>
          <w:rFonts w:eastAsia="Times New Roman"/>
          <w:sz w:val="30"/>
          <w:szCs w:val="30"/>
          <w:lang w:val="es-ES"/>
        </w:rPr>
        <w:lastRenderedPageBreak/>
        <w:t>entidad; y,</w:t>
      </w:r>
      <w:r>
        <w:rPr>
          <w:rFonts w:eastAsia="Times New Roman"/>
          <w:sz w:val="30"/>
          <w:szCs w:val="30"/>
          <w:lang w:val="es-ES"/>
        </w:rPr>
        <w:br/>
      </w:r>
      <w:r>
        <w:rPr>
          <w:rFonts w:eastAsia="Times New Roman"/>
          <w:sz w:val="30"/>
          <w:szCs w:val="30"/>
          <w:lang w:val="es-ES"/>
        </w:rPr>
        <w:br/>
        <w:t>7. Por cualquier otra causa determinada en este Código.</w:t>
      </w:r>
      <w:r>
        <w:rPr>
          <w:rFonts w:eastAsia="Times New Roman"/>
          <w:sz w:val="30"/>
          <w:szCs w:val="30"/>
          <w:lang w:val="es-ES"/>
        </w:rPr>
        <w:br/>
      </w:r>
      <w:r>
        <w:rPr>
          <w:rFonts w:eastAsia="Times New Roman"/>
          <w:sz w:val="30"/>
          <w:szCs w:val="30"/>
          <w:lang w:val="es-ES"/>
        </w:rPr>
        <w:br/>
        <w:t>El o la presidenta de la entidad o quien estatutariamente haga sus veces, en el plazo de t</w:t>
      </w:r>
      <w:r>
        <w:rPr>
          <w:rFonts w:eastAsia="Times New Roman"/>
          <w:sz w:val="30"/>
          <w:szCs w:val="30"/>
          <w:lang w:val="es-ES"/>
        </w:rPr>
        <w:t>res días contados a partir de la remoción, convocará a asamblea general que se realizará en un plazo máximo de treinta días para informar y de ser el caso designar a los nuevos miembros de los Consejos de Administración y Vigilancia. En caso de no realizar</w:t>
      </w:r>
      <w:r>
        <w:rPr>
          <w:rFonts w:eastAsia="Times New Roman"/>
          <w:sz w:val="30"/>
          <w:szCs w:val="30"/>
          <w:lang w:val="es-ES"/>
        </w:rPr>
        <w:t>se la convocatoria a la asamblea general, el organismo de control procederá a convocarla.</w:t>
      </w:r>
      <w:r>
        <w:rPr>
          <w:rFonts w:eastAsia="Times New Roman"/>
          <w:sz w:val="30"/>
          <w:szCs w:val="30"/>
          <w:lang w:val="es-ES"/>
        </w:rPr>
        <w:br/>
      </w:r>
      <w:r>
        <w:rPr>
          <w:rFonts w:eastAsia="Times New Roman"/>
          <w:sz w:val="30"/>
          <w:szCs w:val="30"/>
          <w:lang w:val="es-ES"/>
        </w:rPr>
        <w:br/>
        <w:t>Si transcurrido el plazo de noventa días contados desde la fecha en que el organismo de control dispuso las referidas remociones, la entidad financiera no hubiese mo</w:t>
      </w:r>
      <w:r>
        <w:rPr>
          <w:rFonts w:eastAsia="Times New Roman"/>
          <w:sz w:val="30"/>
          <w:szCs w:val="30"/>
          <w:lang w:val="es-ES"/>
        </w:rPr>
        <w:t>dificado sus procedimientos o si el órgano competente no se reuniese o no tomase los acuerdos correspondientes, se dispondrá sin más trámite la liquidación forzosa de la entidad.</w:t>
      </w:r>
    </w:p>
    <w:p w:rsidR="00000000" w:rsidRDefault="0018461E">
      <w:pPr>
        <w:divId w:val="1729693658"/>
        <w:rPr>
          <w:rFonts w:eastAsia="Times New Roman"/>
          <w:sz w:val="30"/>
          <w:szCs w:val="30"/>
          <w:lang w:val="es-ES"/>
        </w:rPr>
      </w:pPr>
      <w:r>
        <w:rPr>
          <w:rFonts w:eastAsia="Times New Roman"/>
          <w:sz w:val="30"/>
          <w:szCs w:val="30"/>
          <w:lang w:val="es-ES"/>
        </w:rPr>
        <w:t xml:space="preserve">Art. 442.- </w:t>
      </w:r>
      <w:r>
        <w:rPr>
          <w:rFonts w:eastAsia="Times New Roman"/>
          <w:b/>
          <w:bCs/>
          <w:sz w:val="30"/>
          <w:szCs w:val="30"/>
          <w:lang w:val="es-ES"/>
        </w:rPr>
        <w:t xml:space="preserve">Normativa supletoria. </w:t>
      </w:r>
      <w:r>
        <w:rPr>
          <w:rFonts w:eastAsia="Times New Roman"/>
          <w:sz w:val="30"/>
          <w:szCs w:val="30"/>
          <w:lang w:val="es-ES"/>
        </w:rPr>
        <w:t xml:space="preserve">Las entidades del sector financiero popular </w:t>
      </w:r>
      <w:r>
        <w:rPr>
          <w:rFonts w:eastAsia="Times New Roman"/>
          <w:sz w:val="30"/>
          <w:szCs w:val="30"/>
          <w:lang w:val="es-ES"/>
        </w:rPr>
        <w:t>y solidario, en todo lo no previsto específicamente para este sector en este Código, se regirán por lo dispuesto en la Ley Orgánica de la Economía Popular y Solidaria.</w:t>
      </w:r>
    </w:p>
    <w:p w:rsidR="00000000" w:rsidRDefault="0018461E">
      <w:pPr>
        <w:divId w:val="879049496"/>
        <w:rPr>
          <w:rFonts w:eastAsia="Times New Roman"/>
          <w:sz w:val="30"/>
          <w:szCs w:val="30"/>
          <w:lang w:val="es-ES"/>
        </w:rPr>
      </w:pPr>
      <w:r>
        <w:rPr>
          <w:rFonts w:eastAsia="Times New Roman"/>
          <w:sz w:val="30"/>
          <w:szCs w:val="30"/>
          <w:lang w:val="es-ES"/>
        </w:rPr>
        <w:t xml:space="preserve">Art. 443.- </w:t>
      </w:r>
      <w:r>
        <w:rPr>
          <w:rFonts w:eastAsia="Times New Roman"/>
          <w:b/>
          <w:bCs/>
          <w:sz w:val="30"/>
          <w:szCs w:val="30"/>
          <w:lang w:val="es-ES"/>
        </w:rPr>
        <w:t>Inversión en entidades de servicios financieros y servicios auxiliares del si</w:t>
      </w:r>
      <w:r>
        <w:rPr>
          <w:rFonts w:eastAsia="Times New Roman"/>
          <w:b/>
          <w:bCs/>
          <w:sz w:val="30"/>
          <w:szCs w:val="30"/>
          <w:lang w:val="es-ES"/>
        </w:rPr>
        <w:t xml:space="preserve">stema financiero. </w:t>
      </w:r>
      <w:r>
        <w:rPr>
          <w:rFonts w:eastAsia="Times New Roman"/>
          <w:sz w:val="30"/>
          <w:szCs w:val="30"/>
          <w:lang w:val="es-ES"/>
        </w:rPr>
        <w:t>Las entidades financieras populares y solidarias podrán participar en calidad de accionistas o socios de las entidades de servicios financieros, con excepción de las casas de cambio, y en entidades de servicios auxiliares del sistema fina</w:t>
      </w:r>
      <w:r>
        <w:rPr>
          <w:rFonts w:eastAsia="Times New Roman"/>
          <w:sz w:val="30"/>
          <w:szCs w:val="30"/>
          <w:lang w:val="es-ES"/>
        </w:rPr>
        <w:t>nciero. En este caso, todas las entidades deberán combinar y/o consolidar sus balances para presentarlos al organismo de control bajo la figura de grupo popular y solidario.</w:t>
      </w:r>
    </w:p>
    <w:p w:rsidR="00000000" w:rsidRDefault="0018461E">
      <w:pPr>
        <w:divId w:val="614672515"/>
        <w:rPr>
          <w:rFonts w:eastAsia="Times New Roman"/>
          <w:sz w:val="30"/>
          <w:szCs w:val="30"/>
          <w:lang w:val="es-ES"/>
        </w:rPr>
      </w:pPr>
      <w:r>
        <w:rPr>
          <w:rFonts w:eastAsia="Times New Roman"/>
          <w:sz w:val="30"/>
          <w:szCs w:val="30"/>
          <w:lang w:val="es-ES"/>
        </w:rPr>
        <w:t xml:space="preserve">Art. 444.- </w:t>
      </w:r>
      <w:r>
        <w:rPr>
          <w:rFonts w:eastAsia="Times New Roman"/>
          <w:b/>
          <w:bCs/>
          <w:sz w:val="30"/>
          <w:szCs w:val="30"/>
          <w:lang w:val="es-ES"/>
        </w:rPr>
        <w:t xml:space="preserve">Regulación y control. </w:t>
      </w:r>
      <w:r>
        <w:rPr>
          <w:rFonts w:eastAsia="Times New Roman"/>
          <w:sz w:val="30"/>
          <w:szCs w:val="30"/>
          <w:lang w:val="es-ES"/>
        </w:rPr>
        <w:t xml:space="preserve">Las entidades financieras populares y solidarias </w:t>
      </w:r>
      <w:r>
        <w:rPr>
          <w:rFonts w:eastAsia="Times New Roman"/>
          <w:sz w:val="30"/>
          <w:szCs w:val="30"/>
          <w:lang w:val="es-ES"/>
        </w:rPr>
        <w:t>están sometidas a la regulación de la Junta de Política y Regulación Monetaria y Financiera y al control de la Superintendencia de Economía Popular y Solidaria, quienes en las políticas que emitan tendrán presente la naturaleza y características propias de</w:t>
      </w:r>
      <w:r>
        <w:rPr>
          <w:rFonts w:eastAsia="Times New Roman"/>
          <w:sz w:val="30"/>
          <w:szCs w:val="30"/>
          <w:lang w:val="es-ES"/>
        </w:rPr>
        <w:t>l sector financiero solidario.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r>
      <w:r>
        <w:rPr>
          <w:rFonts w:eastAsia="Times New Roman"/>
          <w:b/>
          <w:bCs/>
          <w:sz w:val="36"/>
          <w:szCs w:val="36"/>
          <w:lang w:val="es-ES"/>
        </w:rPr>
        <w:lastRenderedPageBreak/>
        <w:t>DE LAS COOPERATIVAS DE AHORRO Y CRÉDITO</w:t>
      </w:r>
    </w:p>
    <w:p w:rsidR="00000000" w:rsidRDefault="0018461E">
      <w:pPr>
        <w:divId w:val="1255279604"/>
        <w:rPr>
          <w:rFonts w:eastAsia="Times New Roman"/>
          <w:sz w:val="30"/>
          <w:szCs w:val="30"/>
          <w:lang w:val="es-ES"/>
        </w:rPr>
      </w:pPr>
      <w:r>
        <w:rPr>
          <w:rFonts w:eastAsia="Times New Roman"/>
          <w:sz w:val="30"/>
          <w:szCs w:val="30"/>
          <w:lang w:val="es-ES"/>
        </w:rPr>
        <w:t xml:space="preserve">Art. 445.- </w:t>
      </w:r>
      <w:r>
        <w:rPr>
          <w:rFonts w:eastAsia="Times New Roman"/>
          <w:b/>
          <w:bCs/>
          <w:sz w:val="30"/>
          <w:szCs w:val="30"/>
          <w:lang w:val="es-ES"/>
        </w:rPr>
        <w:t xml:space="preserve">Naturaleza y objetivos. </w:t>
      </w:r>
      <w:r>
        <w:rPr>
          <w:rFonts w:eastAsia="Times New Roman"/>
          <w:sz w:val="30"/>
          <w:szCs w:val="30"/>
          <w:lang w:val="es-ES"/>
        </w:rPr>
        <w:t>Las cooperativas de ahorro y crédito son organizaciones formadas por personas naturales o jurídicas que se unen voluntariamente bajo los p</w:t>
      </w:r>
      <w:r>
        <w:rPr>
          <w:rFonts w:eastAsia="Times New Roman"/>
          <w:sz w:val="30"/>
          <w:szCs w:val="30"/>
          <w:lang w:val="es-ES"/>
        </w:rPr>
        <w:t xml:space="preserve">rincipios establecidos en la Ley Orgánica de la Economía Popular y Solidaria, con el objetivo de realizar actividades de intermediación financiera y de responsabilidad social con sus socios y, previa autorización de la Superintendencia de Economía Popular </w:t>
      </w:r>
      <w:r>
        <w:rPr>
          <w:rFonts w:eastAsia="Times New Roman"/>
          <w:sz w:val="30"/>
          <w:szCs w:val="30"/>
          <w:lang w:val="es-ES"/>
        </w:rPr>
        <w:t>y Solidaria, con clientes o terceros, con sujeción a las regulaciones que emita la Junta de Política y Regulación Monetaria y Financiera.</w:t>
      </w:r>
      <w:r>
        <w:rPr>
          <w:rFonts w:eastAsia="Times New Roman"/>
          <w:sz w:val="30"/>
          <w:szCs w:val="30"/>
          <w:lang w:val="es-ES"/>
        </w:rPr>
        <w:br/>
      </w:r>
      <w:r>
        <w:rPr>
          <w:rFonts w:eastAsia="Times New Roman"/>
          <w:sz w:val="30"/>
          <w:szCs w:val="30"/>
          <w:lang w:val="es-ES"/>
        </w:rPr>
        <w:br/>
        <w:t>La Junta de Política y Regulación Monetaria y Financiera regulará tomando en cuenta los principios de territorialidad</w:t>
      </w:r>
      <w:r>
        <w:rPr>
          <w:rFonts w:eastAsia="Times New Roman"/>
          <w:sz w:val="30"/>
          <w:szCs w:val="30"/>
          <w:lang w:val="es-ES"/>
        </w:rPr>
        <w:t>, balance social, alternancia en el gobierno y control democrático y social del sector financiero popular y solidario.</w:t>
      </w:r>
    </w:p>
    <w:p w:rsidR="00000000" w:rsidRDefault="0018461E">
      <w:pPr>
        <w:divId w:val="681397595"/>
        <w:rPr>
          <w:rFonts w:eastAsia="Times New Roman"/>
          <w:sz w:val="30"/>
          <w:szCs w:val="30"/>
          <w:lang w:val="es-ES"/>
        </w:rPr>
      </w:pPr>
      <w:r>
        <w:rPr>
          <w:rFonts w:eastAsia="Times New Roman"/>
          <w:sz w:val="30"/>
          <w:szCs w:val="30"/>
          <w:lang w:val="es-ES"/>
        </w:rPr>
        <w:t xml:space="preserve">Art. 446.- </w:t>
      </w:r>
      <w:r>
        <w:rPr>
          <w:rFonts w:eastAsia="Times New Roman"/>
          <w:b/>
          <w:bCs/>
          <w:sz w:val="30"/>
          <w:szCs w:val="30"/>
          <w:lang w:val="es-ES"/>
        </w:rPr>
        <w:t xml:space="preserve">Constitución y vida jurídica. </w:t>
      </w:r>
      <w:r>
        <w:rPr>
          <w:rFonts w:eastAsia="Times New Roman"/>
          <w:sz w:val="30"/>
          <w:szCs w:val="30"/>
          <w:lang w:val="es-ES"/>
        </w:rPr>
        <w:t xml:space="preserve">La constitución, gobierno y administración de una cooperativa de ahorro y crédito se regirá por </w:t>
      </w:r>
      <w:r>
        <w:rPr>
          <w:rFonts w:eastAsia="Times New Roman"/>
          <w:sz w:val="30"/>
          <w:szCs w:val="30"/>
          <w:lang w:val="es-ES"/>
        </w:rPr>
        <w:t>las disposiciones de la Ley Orgánica de la Economía Popular y Solidaria.</w:t>
      </w:r>
      <w:r>
        <w:rPr>
          <w:rFonts w:eastAsia="Times New Roman"/>
          <w:sz w:val="30"/>
          <w:szCs w:val="30"/>
          <w:lang w:val="es-ES"/>
        </w:rPr>
        <w:br/>
      </w:r>
      <w:r>
        <w:rPr>
          <w:rFonts w:eastAsia="Times New Roman"/>
          <w:sz w:val="30"/>
          <w:szCs w:val="30"/>
          <w:lang w:val="es-ES"/>
        </w:rPr>
        <w:br/>
        <w:t>Una cooperativa de ahorro y crédito, con excepción de las que pertenezcan al segmento 1, podrá tener múltiples actividades no financieras siempre y cuando estén vinculadas al desarro</w:t>
      </w:r>
      <w:r>
        <w:rPr>
          <w:rFonts w:eastAsia="Times New Roman"/>
          <w:sz w:val="30"/>
          <w:szCs w:val="30"/>
          <w:lang w:val="es-ES"/>
        </w:rPr>
        <w:t>llo territorial, mantengan contabilidades separadas para cada actividad no financiera y que se ejecuten con fondos distintos de los depósitos de los socios</w:t>
      </w:r>
      <w:r>
        <w:rPr>
          <w:rFonts w:eastAsia="Times New Roman"/>
          <w:sz w:val="30"/>
          <w:szCs w:val="30"/>
          <w:lang w:val="es-ES"/>
        </w:rPr>
        <w:br/>
      </w:r>
      <w:r>
        <w:rPr>
          <w:rFonts w:eastAsia="Times New Roman"/>
          <w:sz w:val="30"/>
          <w:szCs w:val="30"/>
          <w:lang w:val="es-ES"/>
        </w:rPr>
        <w:br/>
        <w:t>La liquidación de una cooperativa de ahorro y crédito se regirá por las disposiciones de este Códig</w:t>
      </w:r>
      <w:r>
        <w:rPr>
          <w:rFonts w:eastAsia="Times New Roman"/>
          <w:sz w:val="30"/>
          <w:szCs w:val="30"/>
          <w:lang w:val="es-ES"/>
        </w:rPr>
        <w:t>o y, supletoriamente, por las de la Ley Orgánica de la Economía Popular y Solidaria.</w:t>
      </w:r>
    </w:p>
    <w:p w:rsidR="00000000" w:rsidRDefault="0018461E">
      <w:pPr>
        <w:divId w:val="847713657"/>
        <w:rPr>
          <w:rFonts w:eastAsia="Times New Roman"/>
          <w:sz w:val="30"/>
          <w:szCs w:val="30"/>
          <w:lang w:val="es-ES"/>
        </w:rPr>
      </w:pPr>
      <w:r>
        <w:rPr>
          <w:rFonts w:eastAsia="Times New Roman"/>
          <w:sz w:val="30"/>
          <w:szCs w:val="30"/>
          <w:lang w:val="es-ES"/>
        </w:rPr>
        <w:t xml:space="preserve">Art. 447.- </w:t>
      </w:r>
      <w:r>
        <w:rPr>
          <w:rFonts w:eastAsia="Times New Roman"/>
          <w:b/>
          <w:bCs/>
          <w:sz w:val="30"/>
          <w:szCs w:val="30"/>
          <w:lang w:val="es-ES"/>
        </w:rPr>
        <w:t xml:space="preserve">Capital social y segmentación. </w:t>
      </w:r>
      <w:r>
        <w:rPr>
          <w:rFonts w:eastAsia="Times New Roman"/>
          <w:sz w:val="30"/>
          <w:szCs w:val="30"/>
          <w:lang w:val="es-ES"/>
        </w:rPr>
        <w:t>El capital social de las cooperativas de ahorro y crédito será determinado mediante regulación por la Junta de Política y Regulac</w:t>
      </w:r>
      <w:r>
        <w:rPr>
          <w:rFonts w:eastAsia="Times New Roman"/>
          <w:sz w:val="30"/>
          <w:szCs w:val="30"/>
          <w:lang w:val="es-ES"/>
        </w:rPr>
        <w:t>ión Monetaria y Financiera. Las cooperativas se ubicarán en los segmentos que la Junta determine. El segmento con mayores activos del sector financiero popular y solidario se define como segmento 1 e incluirá a las entidades con un nivel de activos superio</w:t>
      </w:r>
      <w:r>
        <w:rPr>
          <w:rFonts w:eastAsia="Times New Roman"/>
          <w:sz w:val="30"/>
          <w:szCs w:val="30"/>
          <w:lang w:val="es-ES"/>
        </w:rPr>
        <w:t>r a USD 80’000.000,00(ochenta millones de dólares de los Estados Unidos de América.) Dicho monto será actualizado anualmente por la Junta aplicando la variación del índice de precios al consumidor.</w:t>
      </w:r>
    </w:p>
    <w:p w:rsidR="00000000" w:rsidRDefault="0018461E">
      <w:pPr>
        <w:divId w:val="1331642426"/>
        <w:rPr>
          <w:rFonts w:eastAsia="Times New Roman"/>
          <w:sz w:val="30"/>
          <w:szCs w:val="30"/>
          <w:lang w:val="es-ES"/>
        </w:rPr>
      </w:pPr>
      <w:r>
        <w:rPr>
          <w:rFonts w:eastAsia="Times New Roman"/>
          <w:sz w:val="30"/>
          <w:szCs w:val="30"/>
          <w:lang w:val="es-ES"/>
        </w:rPr>
        <w:lastRenderedPageBreak/>
        <w:t xml:space="preserve">Art. 448.- </w:t>
      </w:r>
      <w:r>
        <w:rPr>
          <w:rFonts w:eastAsia="Times New Roman"/>
          <w:b/>
          <w:bCs/>
          <w:sz w:val="30"/>
          <w:szCs w:val="30"/>
          <w:lang w:val="es-ES"/>
        </w:rPr>
        <w:t xml:space="preserve">Capitalización. </w:t>
      </w:r>
      <w:r>
        <w:rPr>
          <w:rFonts w:eastAsia="Times New Roman"/>
          <w:sz w:val="30"/>
          <w:szCs w:val="30"/>
          <w:lang w:val="es-ES"/>
        </w:rPr>
        <w:t>La capitalización se perfeccion</w:t>
      </w:r>
      <w:r>
        <w:rPr>
          <w:rFonts w:eastAsia="Times New Roman"/>
          <w:sz w:val="30"/>
          <w:szCs w:val="30"/>
          <w:lang w:val="es-ES"/>
        </w:rPr>
        <w:t>ará con el aporte de un nuevo socio o con la resolución de la asamblea general que disponga la capitalización de los aportes para futuras capitalizaciones. Sin embargo, si la capitalización involucra la transferencia de ahorros o depósitos, requerirá de la</w:t>
      </w:r>
      <w:r>
        <w:rPr>
          <w:rFonts w:eastAsia="Times New Roman"/>
          <w:sz w:val="30"/>
          <w:szCs w:val="30"/>
          <w:lang w:val="es-ES"/>
        </w:rPr>
        <w:t xml:space="preserve"> autorización escrita del socio.</w:t>
      </w:r>
    </w:p>
    <w:p w:rsidR="00000000" w:rsidRDefault="0018461E">
      <w:pPr>
        <w:divId w:val="2111317723"/>
        <w:rPr>
          <w:rFonts w:eastAsia="Times New Roman"/>
          <w:sz w:val="30"/>
          <w:szCs w:val="30"/>
          <w:lang w:val="es-ES"/>
        </w:rPr>
      </w:pPr>
      <w:r>
        <w:rPr>
          <w:rFonts w:eastAsia="Times New Roman"/>
          <w:sz w:val="30"/>
          <w:szCs w:val="30"/>
          <w:lang w:val="es-ES"/>
        </w:rPr>
        <w:t xml:space="preserve">Art. 449.- </w:t>
      </w:r>
      <w:r>
        <w:rPr>
          <w:rFonts w:eastAsia="Times New Roman"/>
          <w:b/>
          <w:bCs/>
          <w:sz w:val="30"/>
          <w:szCs w:val="30"/>
          <w:lang w:val="es-ES"/>
        </w:rPr>
        <w:t xml:space="preserve">Solvencia y prudencia financiera. </w:t>
      </w:r>
      <w:r>
        <w:rPr>
          <w:rFonts w:eastAsia="Times New Roman"/>
          <w:sz w:val="30"/>
          <w:szCs w:val="30"/>
          <w:lang w:val="es-ES"/>
        </w:rPr>
        <w:t xml:space="preserve">Las cooperativas de ahorro y crédito deberán mantener índices de solvencia y prudencia financiera que permitan cumplir sus obligaciones y mantener sus actividades de acuerdo con </w:t>
      </w:r>
      <w:r>
        <w:rPr>
          <w:rFonts w:eastAsia="Times New Roman"/>
          <w:sz w:val="30"/>
          <w:szCs w:val="30"/>
          <w:lang w:val="es-ES"/>
        </w:rPr>
        <w:t>las regulaciones que se dicten para el efecto, considerando las particularidades de los segmentos de las cooperativas de ahorro y crédito.</w:t>
      </w:r>
      <w:r>
        <w:rPr>
          <w:rFonts w:eastAsia="Times New Roman"/>
          <w:sz w:val="30"/>
          <w:szCs w:val="30"/>
          <w:lang w:val="es-ES"/>
        </w:rPr>
        <w:br/>
      </w:r>
      <w:r>
        <w:rPr>
          <w:rFonts w:eastAsia="Times New Roman"/>
          <w:sz w:val="30"/>
          <w:szCs w:val="30"/>
          <w:lang w:val="es-ES"/>
        </w:rPr>
        <w:br/>
        <w:t>Las regulaciones deberán establecer normas, al menos, en los siguientes aspectos:</w:t>
      </w:r>
      <w:r>
        <w:rPr>
          <w:rFonts w:eastAsia="Times New Roman"/>
          <w:sz w:val="30"/>
          <w:szCs w:val="30"/>
          <w:lang w:val="es-ES"/>
        </w:rPr>
        <w:br/>
      </w:r>
      <w:r>
        <w:rPr>
          <w:rFonts w:eastAsia="Times New Roman"/>
          <w:sz w:val="30"/>
          <w:szCs w:val="30"/>
          <w:lang w:val="es-ES"/>
        </w:rPr>
        <w:br/>
        <w:t>1. Solvencia patrimonial;</w:t>
      </w:r>
      <w:r>
        <w:rPr>
          <w:rFonts w:eastAsia="Times New Roman"/>
          <w:sz w:val="30"/>
          <w:szCs w:val="30"/>
          <w:lang w:val="es-ES"/>
        </w:rPr>
        <w:br/>
      </w:r>
      <w:r>
        <w:rPr>
          <w:rFonts w:eastAsia="Times New Roman"/>
          <w:sz w:val="30"/>
          <w:szCs w:val="30"/>
          <w:lang w:val="es-ES"/>
        </w:rPr>
        <w:br/>
        <w:t>2. Pru</w:t>
      </w:r>
      <w:r>
        <w:rPr>
          <w:rFonts w:eastAsia="Times New Roman"/>
          <w:sz w:val="30"/>
          <w:szCs w:val="30"/>
          <w:lang w:val="es-ES"/>
        </w:rPr>
        <w:t>dencia Financiera;</w:t>
      </w:r>
      <w:r>
        <w:rPr>
          <w:rFonts w:eastAsia="Times New Roman"/>
          <w:sz w:val="30"/>
          <w:szCs w:val="30"/>
          <w:lang w:val="es-ES"/>
        </w:rPr>
        <w:br/>
      </w:r>
      <w:r>
        <w:rPr>
          <w:rFonts w:eastAsia="Times New Roman"/>
          <w:sz w:val="30"/>
          <w:szCs w:val="30"/>
          <w:lang w:val="es-ES"/>
        </w:rPr>
        <w:br/>
        <w:t>3. Mínimos de Liquidez;</w:t>
      </w:r>
      <w:r>
        <w:rPr>
          <w:rFonts w:eastAsia="Times New Roman"/>
          <w:sz w:val="30"/>
          <w:szCs w:val="30"/>
          <w:lang w:val="es-ES"/>
        </w:rPr>
        <w:br/>
      </w:r>
      <w:r>
        <w:rPr>
          <w:rFonts w:eastAsia="Times New Roman"/>
          <w:sz w:val="30"/>
          <w:szCs w:val="30"/>
          <w:lang w:val="es-ES"/>
        </w:rPr>
        <w:br/>
        <w:t>4. Balance Social; y,</w:t>
      </w:r>
      <w:r>
        <w:rPr>
          <w:rFonts w:eastAsia="Times New Roman"/>
          <w:sz w:val="30"/>
          <w:szCs w:val="30"/>
          <w:lang w:val="es-ES"/>
        </w:rPr>
        <w:br/>
      </w:r>
      <w:r>
        <w:rPr>
          <w:rFonts w:eastAsia="Times New Roman"/>
          <w:sz w:val="30"/>
          <w:szCs w:val="30"/>
          <w:lang w:val="es-ES"/>
        </w:rPr>
        <w:br/>
        <w:t>5. Transparencia.</w:t>
      </w:r>
    </w:p>
    <w:p w:rsidR="00000000" w:rsidRDefault="0018461E">
      <w:pPr>
        <w:divId w:val="935794061"/>
        <w:rPr>
          <w:rFonts w:eastAsia="Times New Roman"/>
          <w:sz w:val="30"/>
          <w:szCs w:val="30"/>
          <w:lang w:val="es-ES"/>
        </w:rPr>
      </w:pPr>
      <w:r>
        <w:rPr>
          <w:rFonts w:eastAsia="Times New Roman"/>
          <w:sz w:val="30"/>
          <w:szCs w:val="30"/>
          <w:lang w:val="es-ES"/>
        </w:rPr>
        <w:t xml:space="preserve">Art. 450.- </w:t>
      </w:r>
      <w:r>
        <w:rPr>
          <w:rFonts w:eastAsia="Times New Roman"/>
          <w:b/>
          <w:bCs/>
          <w:sz w:val="30"/>
          <w:szCs w:val="30"/>
          <w:lang w:val="es-ES"/>
        </w:rPr>
        <w:t xml:space="preserve">Cupo de créditos. </w:t>
      </w:r>
      <w:r>
        <w:rPr>
          <w:rFonts w:eastAsia="Times New Roman"/>
          <w:sz w:val="30"/>
          <w:szCs w:val="30"/>
          <w:lang w:val="es-ES"/>
        </w:rPr>
        <w:t>Las cooperativas de ahorro y crédito establecerán un cupo de crédito y garantías de grupo, al cual podrán acceder los miembros de los consejo</w:t>
      </w:r>
      <w:r>
        <w:rPr>
          <w:rFonts w:eastAsia="Times New Roman"/>
          <w:sz w:val="30"/>
          <w:szCs w:val="30"/>
          <w:lang w:val="es-ES"/>
        </w:rPr>
        <w:t>s, gerencia, los empleados que tienen decisión o participación en operaciones de crédito e inversiones, sus cónyuges o convivientes y sus parientes dentro del cuarto grado de consanguinidad y segundo de afinidad.</w:t>
      </w:r>
      <w:r>
        <w:rPr>
          <w:rFonts w:eastAsia="Times New Roman"/>
          <w:sz w:val="30"/>
          <w:szCs w:val="30"/>
          <w:lang w:val="es-ES"/>
        </w:rPr>
        <w:br/>
      </w:r>
      <w:r>
        <w:rPr>
          <w:rFonts w:eastAsia="Times New Roman"/>
          <w:sz w:val="30"/>
          <w:szCs w:val="30"/>
          <w:lang w:val="es-ES"/>
        </w:rPr>
        <w:br/>
        <w:t>El cupo de crédito para las cooperativas d</w:t>
      </w:r>
      <w:r>
        <w:rPr>
          <w:rFonts w:eastAsia="Times New Roman"/>
          <w:sz w:val="30"/>
          <w:szCs w:val="30"/>
          <w:lang w:val="es-ES"/>
        </w:rPr>
        <w:t>e ahorro y crédito del segmento 1 en el caso de grupos no podrá ser superior al 10% del patrimonio técnico; en el caso individual no podrá ser superior al 1% calculado al cierre del ejercicio anual inmediato anterior al de la aprobación de los créditos. Lo</w:t>
      </w:r>
      <w:r>
        <w:rPr>
          <w:rFonts w:eastAsia="Times New Roman"/>
          <w:sz w:val="30"/>
          <w:szCs w:val="30"/>
          <w:lang w:val="es-ES"/>
        </w:rPr>
        <w:t>s cupos para el resto de segmentos serán determinados por la Junta de Política y Regulación Monetaria y Financiera. Las cajas centrales, no aplicarán los criterios de vinculación por administración, en los cupos de crédito.</w:t>
      </w:r>
      <w:r>
        <w:rPr>
          <w:rFonts w:eastAsia="Times New Roman"/>
          <w:sz w:val="30"/>
          <w:szCs w:val="30"/>
          <w:lang w:val="es-ES"/>
        </w:rPr>
        <w:br/>
      </w:r>
      <w:r>
        <w:rPr>
          <w:rFonts w:eastAsia="Times New Roman"/>
          <w:sz w:val="30"/>
          <w:szCs w:val="30"/>
          <w:lang w:val="es-ES"/>
        </w:rPr>
        <w:lastRenderedPageBreak/>
        <w:br/>
        <w:t>El cupo de crédito para las coo</w:t>
      </w:r>
      <w:r>
        <w:rPr>
          <w:rFonts w:eastAsia="Times New Roman"/>
          <w:sz w:val="30"/>
          <w:szCs w:val="30"/>
          <w:lang w:val="es-ES"/>
        </w:rPr>
        <w:t>perativas de ahorro y crédito para los demás segmentos, serán regulados por la Junta de Política y Regulación Monetaria y Financiera.</w:t>
      </w:r>
      <w:r>
        <w:rPr>
          <w:rFonts w:eastAsia="Times New Roman"/>
          <w:sz w:val="30"/>
          <w:szCs w:val="30"/>
          <w:lang w:val="es-ES"/>
        </w:rPr>
        <w:br/>
      </w:r>
      <w:r>
        <w:rPr>
          <w:rFonts w:eastAsia="Times New Roman"/>
          <w:sz w:val="30"/>
          <w:szCs w:val="30"/>
          <w:lang w:val="es-ES"/>
        </w:rPr>
        <w:br/>
        <w:t>La Junta de Regulación Monetaria y Financiera regulará los porcentajes y cupos de los créditos otorgados por las cooperat</w:t>
      </w:r>
      <w:r>
        <w:rPr>
          <w:rFonts w:eastAsia="Times New Roman"/>
          <w:sz w:val="30"/>
          <w:szCs w:val="30"/>
          <w:lang w:val="es-ES"/>
        </w:rPr>
        <w:t>ivas de ahorro y crédito destinados a actividades económicas relacionadas con el sector de la Economía Popular y Solidaria.</w:t>
      </w:r>
      <w:r>
        <w:rPr>
          <w:rFonts w:eastAsia="Times New Roman"/>
          <w:sz w:val="30"/>
          <w:szCs w:val="30"/>
          <w:lang w:val="es-ES"/>
        </w:rPr>
        <w:br/>
      </w:r>
      <w:r>
        <w:rPr>
          <w:rFonts w:eastAsia="Times New Roman"/>
          <w:sz w:val="30"/>
          <w:szCs w:val="30"/>
          <w:lang w:val="es-ES"/>
        </w:rPr>
        <w:br/>
        <w:t>Las solicitudes de crédito de las personas señaladas en este artículo serán resueltas por el consejo de administración y reportadas</w:t>
      </w:r>
      <w:r>
        <w:rPr>
          <w:rFonts w:eastAsia="Times New Roman"/>
          <w:sz w:val="30"/>
          <w:szCs w:val="30"/>
          <w:lang w:val="es-ES"/>
        </w:rPr>
        <w:t xml:space="preserve"> al consejo de vigilancia.</w:t>
      </w:r>
    </w:p>
    <w:p w:rsidR="00000000" w:rsidRDefault="0018461E">
      <w:pPr>
        <w:divId w:val="1195190359"/>
        <w:rPr>
          <w:rFonts w:eastAsia="Times New Roman"/>
          <w:sz w:val="30"/>
          <w:szCs w:val="30"/>
          <w:lang w:val="es-ES"/>
        </w:rPr>
      </w:pPr>
      <w:r>
        <w:rPr>
          <w:rFonts w:eastAsia="Times New Roman"/>
          <w:sz w:val="30"/>
          <w:szCs w:val="30"/>
          <w:lang w:val="es-ES"/>
        </w:rPr>
        <w:t xml:space="preserve">Art. 451.- </w:t>
      </w:r>
      <w:r>
        <w:rPr>
          <w:rFonts w:eastAsia="Times New Roman"/>
          <w:b/>
          <w:bCs/>
          <w:sz w:val="30"/>
          <w:szCs w:val="30"/>
          <w:lang w:val="es-ES"/>
        </w:rPr>
        <w:t xml:space="preserve">Órdenes de pago. </w:t>
      </w:r>
      <w:r>
        <w:rPr>
          <w:rFonts w:eastAsia="Times New Roman"/>
          <w:sz w:val="30"/>
          <w:szCs w:val="30"/>
          <w:lang w:val="es-ES"/>
        </w:rPr>
        <w:t>Las cooperativas de ahorro y crédito podrán emitir órdenes de pago en favor de sus socios, contra sus depósitos, que podrán hacerse efectivas en otras cooperativas de igual naturaleza, de acuerdo con l</w:t>
      </w:r>
      <w:r>
        <w:rPr>
          <w:rFonts w:eastAsia="Times New Roman"/>
          <w:sz w:val="30"/>
          <w:szCs w:val="30"/>
          <w:lang w:val="es-ES"/>
        </w:rPr>
        <w:t>as normas que dicte la Junta de Política y Regulación Monetaria y Financiera y los convenios que se suscriban para el efecto.</w:t>
      </w:r>
    </w:p>
    <w:p w:rsidR="00000000" w:rsidRDefault="0018461E">
      <w:pPr>
        <w:divId w:val="650644949"/>
        <w:rPr>
          <w:rFonts w:eastAsia="Times New Roman"/>
          <w:sz w:val="30"/>
          <w:szCs w:val="30"/>
          <w:lang w:val="es-ES"/>
        </w:rPr>
      </w:pPr>
      <w:r>
        <w:rPr>
          <w:rFonts w:eastAsia="Times New Roman"/>
          <w:sz w:val="30"/>
          <w:szCs w:val="30"/>
          <w:lang w:val="es-ES"/>
        </w:rPr>
        <w:t xml:space="preserve">Art. 452.- </w:t>
      </w:r>
      <w:r>
        <w:rPr>
          <w:rFonts w:eastAsia="Times New Roman"/>
          <w:b/>
          <w:bCs/>
          <w:sz w:val="30"/>
          <w:szCs w:val="30"/>
          <w:lang w:val="es-ES"/>
        </w:rPr>
        <w:t xml:space="preserve">Inversiones. </w:t>
      </w:r>
      <w:r>
        <w:rPr>
          <w:rFonts w:eastAsia="Times New Roman"/>
          <w:sz w:val="30"/>
          <w:szCs w:val="30"/>
          <w:lang w:val="es-ES"/>
        </w:rPr>
        <w:t>Las cooperativas de ahorro y crédito deberán invertir preferentemente, en este orden:</w:t>
      </w:r>
      <w:r>
        <w:rPr>
          <w:rFonts w:eastAsia="Times New Roman"/>
          <w:sz w:val="30"/>
          <w:szCs w:val="30"/>
          <w:lang w:val="es-ES"/>
        </w:rPr>
        <w:br/>
      </w:r>
      <w:r>
        <w:rPr>
          <w:rFonts w:eastAsia="Times New Roman"/>
          <w:sz w:val="30"/>
          <w:szCs w:val="30"/>
          <w:lang w:val="es-ES"/>
        </w:rPr>
        <w:br/>
        <w:t>1. En el mismo sect</w:t>
      </w:r>
      <w:r>
        <w:rPr>
          <w:rFonts w:eastAsia="Times New Roman"/>
          <w:sz w:val="30"/>
          <w:szCs w:val="30"/>
          <w:lang w:val="es-ES"/>
        </w:rPr>
        <w:t>or financiero; y,</w:t>
      </w:r>
      <w:r>
        <w:rPr>
          <w:rFonts w:eastAsia="Times New Roman"/>
          <w:sz w:val="30"/>
          <w:szCs w:val="30"/>
          <w:lang w:val="es-ES"/>
        </w:rPr>
        <w:br/>
      </w:r>
      <w:r>
        <w:rPr>
          <w:rFonts w:eastAsia="Times New Roman"/>
          <w:sz w:val="30"/>
          <w:szCs w:val="30"/>
          <w:lang w:val="es-ES"/>
        </w:rPr>
        <w:br/>
        <w:t>2. En el mercado secundario de valores o en las entidades financieras privadas.</w:t>
      </w:r>
    </w:p>
    <w:p w:rsidR="00000000" w:rsidRDefault="0018461E">
      <w:pPr>
        <w:divId w:val="758217335"/>
        <w:rPr>
          <w:rFonts w:eastAsia="Times New Roman"/>
          <w:sz w:val="30"/>
          <w:szCs w:val="30"/>
          <w:lang w:val="es-ES"/>
        </w:rPr>
      </w:pPr>
      <w:r>
        <w:rPr>
          <w:rFonts w:eastAsia="Times New Roman"/>
          <w:sz w:val="30"/>
          <w:szCs w:val="30"/>
          <w:lang w:val="es-ES"/>
        </w:rPr>
        <w:t xml:space="preserve">Art. 453.- </w:t>
      </w:r>
      <w:r>
        <w:rPr>
          <w:rFonts w:eastAsia="Times New Roman"/>
          <w:b/>
          <w:bCs/>
          <w:sz w:val="30"/>
          <w:szCs w:val="30"/>
          <w:lang w:val="es-ES"/>
        </w:rPr>
        <w:t xml:space="preserve">Redención de certificados. </w:t>
      </w:r>
      <w:r>
        <w:rPr>
          <w:rFonts w:eastAsia="Times New Roman"/>
          <w:sz w:val="30"/>
          <w:szCs w:val="30"/>
          <w:lang w:val="es-ES"/>
        </w:rPr>
        <w:t>Ninguna cooperativa de ahorro y crédito del segmento 1 podrá redimir el capital social, en caso de retiro de socios, po</w:t>
      </w:r>
      <w:r>
        <w:rPr>
          <w:rFonts w:eastAsia="Times New Roman"/>
          <w:sz w:val="30"/>
          <w:szCs w:val="30"/>
          <w:lang w:val="es-ES"/>
        </w:rPr>
        <w:t>r sumas que excedan en su totalidad el 5% del capital social de la cooperativa, calculado al cierre del ejercicio económico anterior.</w:t>
      </w:r>
      <w:r>
        <w:rPr>
          <w:rFonts w:eastAsia="Times New Roman"/>
          <w:sz w:val="30"/>
          <w:szCs w:val="30"/>
          <w:lang w:val="es-ES"/>
        </w:rPr>
        <w:br/>
      </w:r>
      <w:r>
        <w:rPr>
          <w:rFonts w:eastAsia="Times New Roman"/>
          <w:sz w:val="30"/>
          <w:szCs w:val="30"/>
          <w:lang w:val="es-ES"/>
        </w:rPr>
        <w:br/>
        <w:t>En caso de fallecimiento del socio, la redención del capital será total y no se computará dentro del 5% establecido en el</w:t>
      </w:r>
      <w:r>
        <w:rPr>
          <w:rFonts w:eastAsia="Times New Roman"/>
          <w:sz w:val="30"/>
          <w:szCs w:val="30"/>
          <w:lang w:val="es-ES"/>
        </w:rPr>
        <w:t xml:space="preserve"> inciso anterior; la devolución se realizará conforme a las disposiciones del Código Civil.</w:t>
      </w:r>
      <w:r>
        <w:rPr>
          <w:rFonts w:eastAsia="Times New Roman"/>
          <w:sz w:val="30"/>
          <w:szCs w:val="30"/>
          <w:lang w:val="es-ES"/>
        </w:rPr>
        <w:br/>
      </w:r>
      <w:r>
        <w:rPr>
          <w:rFonts w:eastAsia="Times New Roman"/>
          <w:sz w:val="30"/>
          <w:szCs w:val="30"/>
          <w:lang w:val="es-ES"/>
        </w:rPr>
        <w:br/>
        <w:t>La compensación de certificados de aportación con deudas a la cooperativa será permitida solo en caso de retiro del socio, siempre dentro del límite del 5%.</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se</w:t>
      </w:r>
      <w:r>
        <w:rPr>
          <w:rFonts w:eastAsia="Times New Roman"/>
          <w:sz w:val="30"/>
          <w:szCs w:val="30"/>
          <w:lang w:val="es-ES"/>
        </w:rPr>
        <w:t xml:space="preserve"> podrá redimir capital social si de ello resultare infracción a la normativa referente al patrimonio técnico y relación de solvencia o si la cooperativa se encontrare sujeta a programas de supervisión intensiva, en los términos establecidos por la superint</w:t>
      </w:r>
      <w:r>
        <w:rPr>
          <w:rFonts w:eastAsia="Times New Roman"/>
          <w:sz w:val="30"/>
          <w:szCs w:val="30"/>
          <w:lang w:val="es-ES"/>
        </w:rPr>
        <w:t>endencia.</w:t>
      </w:r>
      <w:r>
        <w:rPr>
          <w:rFonts w:eastAsia="Times New Roman"/>
          <w:sz w:val="30"/>
          <w:szCs w:val="30"/>
          <w:lang w:val="es-ES"/>
        </w:rPr>
        <w:br/>
      </w:r>
      <w:r>
        <w:rPr>
          <w:rFonts w:eastAsia="Times New Roman"/>
          <w:sz w:val="30"/>
          <w:szCs w:val="30"/>
          <w:lang w:val="es-ES"/>
        </w:rPr>
        <w:br/>
        <w:t>Los porcentajes de redención del capital social de las cooperativas de ahorro y crédito del resto de segmentos serán normados por la Junta de Política y Regulación Monetaria y Financiera.</w:t>
      </w:r>
    </w:p>
    <w:p w:rsidR="00000000" w:rsidRDefault="0018461E">
      <w:pPr>
        <w:divId w:val="1715497279"/>
        <w:rPr>
          <w:rFonts w:eastAsia="Times New Roman"/>
          <w:sz w:val="30"/>
          <w:szCs w:val="30"/>
          <w:lang w:val="es-ES"/>
        </w:rPr>
      </w:pPr>
      <w:r>
        <w:rPr>
          <w:rFonts w:eastAsia="Times New Roman"/>
          <w:sz w:val="30"/>
          <w:szCs w:val="30"/>
          <w:lang w:val="es-ES"/>
        </w:rPr>
        <w:t xml:space="preserve">Art. 454.- </w:t>
      </w:r>
      <w:r>
        <w:rPr>
          <w:rFonts w:eastAsia="Times New Roman"/>
          <w:b/>
          <w:bCs/>
          <w:sz w:val="30"/>
          <w:szCs w:val="30"/>
          <w:lang w:val="es-ES"/>
        </w:rPr>
        <w:t xml:space="preserve">Control. </w:t>
      </w:r>
      <w:r>
        <w:rPr>
          <w:rFonts w:eastAsia="Times New Roman"/>
          <w:sz w:val="30"/>
          <w:szCs w:val="30"/>
          <w:lang w:val="es-ES"/>
        </w:rPr>
        <w:t xml:space="preserve">El control de las actividades de las </w:t>
      </w:r>
      <w:r>
        <w:rPr>
          <w:rFonts w:eastAsia="Times New Roman"/>
          <w:sz w:val="30"/>
          <w:szCs w:val="30"/>
          <w:lang w:val="es-ES"/>
        </w:rPr>
        <w:t>cooperativas de ahorro y crédito se efectuará de acuerdo con los segmentos en las que se encuentren ubicadas.</w:t>
      </w:r>
    </w:p>
    <w:p w:rsidR="00000000" w:rsidRDefault="0018461E">
      <w:pPr>
        <w:divId w:val="1017971200"/>
        <w:rPr>
          <w:rFonts w:eastAsia="Times New Roman"/>
          <w:sz w:val="30"/>
          <w:szCs w:val="30"/>
          <w:lang w:val="es-ES"/>
        </w:rPr>
      </w:pPr>
      <w:r>
        <w:rPr>
          <w:rFonts w:eastAsia="Times New Roman"/>
          <w:sz w:val="30"/>
          <w:szCs w:val="30"/>
          <w:lang w:val="es-ES"/>
        </w:rPr>
        <w:t xml:space="preserve">Art. 455.- </w:t>
      </w:r>
      <w:r>
        <w:rPr>
          <w:rFonts w:eastAsia="Times New Roman"/>
          <w:b/>
          <w:bCs/>
          <w:sz w:val="30"/>
          <w:szCs w:val="30"/>
          <w:lang w:val="es-ES"/>
        </w:rPr>
        <w:t xml:space="preserve">Auditorías. </w:t>
      </w:r>
      <w:r>
        <w:rPr>
          <w:rFonts w:eastAsia="Times New Roman"/>
          <w:sz w:val="30"/>
          <w:szCs w:val="30"/>
          <w:lang w:val="es-ES"/>
        </w:rPr>
        <w:t>Las cooperativas de ahorro y crédito contarán con auditores interno y externo cuando sus activos superen USD 5’000.000,00 (</w:t>
      </w:r>
      <w:r>
        <w:rPr>
          <w:rFonts w:eastAsia="Times New Roman"/>
          <w:sz w:val="30"/>
          <w:szCs w:val="30"/>
          <w:lang w:val="es-ES"/>
        </w:rPr>
        <w:t>cinco millones de dólares de los Estados Unidos de América). Este valor se ajustará anualmente conforme al índice de precios al consumidor.</w:t>
      </w:r>
      <w:r>
        <w:rPr>
          <w:rFonts w:eastAsia="Times New Roman"/>
          <w:sz w:val="30"/>
          <w:szCs w:val="30"/>
          <w:lang w:val="es-ES"/>
        </w:rPr>
        <w:br/>
      </w:r>
      <w:r>
        <w:rPr>
          <w:rFonts w:eastAsia="Times New Roman"/>
          <w:sz w:val="30"/>
          <w:szCs w:val="30"/>
          <w:lang w:val="es-ES"/>
        </w:rPr>
        <w:br/>
        <w:t>Las cooperativas de ahorro y crédito cuyos activos sean inferiores al monto señalado en el inciso precedente, conta</w:t>
      </w:r>
      <w:r>
        <w:rPr>
          <w:rFonts w:eastAsia="Times New Roman"/>
          <w:sz w:val="30"/>
          <w:szCs w:val="30"/>
          <w:lang w:val="es-ES"/>
        </w:rPr>
        <w:t>rán con las auditorias que determine el consejo de administración, de conformidad con las normas que emita la Junta de Política y Regulación Monetaria y Financiera.</w:t>
      </w:r>
    </w:p>
    <w:p w:rsidR="00000000" w:rsidRDefault="0018461E">
      <w:pPr>
        <w:divId w:val="1135873985"/>
        <w:rPr>
          <w:rFonts w:eastAsia="Times New Roman"/>
          <w:sz w:val="30"/>
          <w:szCs w:val="30"/>
          <w:lang w:val="es-ES"/>
        </w:rPr>
      </w:pPr>
      <w:r>
        <w:rPr>
          <w:rFonts w:eastAsia="Times New Roman"/>
          <w:sz w:val="30"/>
          <w:szCs w:val="30"/>
          <w:lang w:val="es-ES"/>
        </w:rPr>
        <w:t xml:space="preserve">Art. 456.- </w:t>
      </w:r>
      <w:r>
        <w:rPr>
          <w:rFonts w:eastAsia="Times New Roman"/>
          <w:b/>
          <w:bCs/>
          <w:sz w:val="30"/>
          <w:szCs w:val="30"/>
          <w:lang w:val="es-ES"/>
        </w:rPr>
        <w:t xml:space="preserve">Supervisión auxiliar. </w:t>
      </w:r>
      <w:r>
        <w:rPr>
          <w:rFonts w:eastAsia="Times New Roman"/>
          <w:sz w:val="30"/>
          <w:szCs w:val="30"/>
          <w:lang w:val="es-ES"/>
        </w:rPr>
        <w:t xml:space="preserve">Los organismos de integración y otras entidades especializadas podrán colaborar con la superintendencia en la realización de una o varias actividades específicas de supervisión, cumpliendo las condiciones y disposiciones que dicte la superintendencia para </w:t>
      </w:r>
      <w:r>
        <w:rPr>
          <w:rFonts w:eastAsia="Times New Roman"/>
          <w:sz w:val="30"/>
          <w:szCs w:val="30"/>
          <w:lang w:val="es-ES"/>
        </w:rPr>
        <w:t>el efecto. Los supervisores auxiliares serán responsables administrativa, civil y penalmente por la supervisión que efectúen.</w:t>
      </w:r>
    </w:p>
    <w:p w:rsidR="00000000" w:rsidRDefault="0018461E">
      <w:pPr>
        <w:divId w:val="1727336099"/>
        <w:rPr>
          <w:rFonts w:eastAsia="Times New Roman"/>
          <w:sz w:val="30"/>
          <w:szCs w:val="30"/>
          <w:lang w:val="es-ES"/>
        </w:rPr>
      </w:pPr>
      <w:r>
        <w:rPr>
          <w:rFonts w:eastAsia="Times New Roman"/>
          <w:sz w:val="30"/>
          <w:szCs w:val="30"/>
          <w:lang w:val="es-ES"/>
        </w:rPr>
        <w:t xml:space="preserve">Art. 457.- </w:t>
      </w:r>
      <w:r>
        <w:rPr>
          <w:rFonts w:eastAsia="Times New Roman"/>
          <w:b/>
          <w:bCs/>
          <w:sz w:val="30"/>
          <w:szCs w:val="30"/>
          <w:lang w:val="es-ES"/>
        </w:rPr>
        <w:t xml:space="preserve">Prohibiciones. </w:t>
      </w:r>
      <w:r>
        <w:rPr>
          <w:rFonts w:eastAsia="Times New Roman"/>
          <w:sz w:val="30"/>
          <w:szCs w:val="30"/>
          <w:lang w:val="es-ES"/>
        </w:rPr>
        <w:t>Las cooperativas de ahorro y crédito, además de las prohibiciones, dispuestas en este Código que les fue</w:t>
      </w:r>
      <w:r>
        <w:rPr>
          <w:rFonts w:eastAsia="Times New Roman"/>
          <w:sz w:val="30"/>
          <w:szCs w:val="30"/>
          <w:lang w:val="es-ES"/>
        </w:rPr>
        <w:t>ran aplicables, tienen prohibido lo siguiente:</w:t>
      </w:r>
      <w:r>
        <w:rPr>
          <w:rFonts w:eastAsia="Times New Roman"/>
          <w:sz w:val="30"/>
          <w:szCs w:val="30"/>
          <w:lang w:val="es-ES"/>
        </w:rPr>
        <w:br/>
      </w:r>
      <w:r>
        <w:rPr>
          <w:rFonts w:eastAsia="Times New Roman"/>
          <w:sz w:val="30"/>
          <w:szCs w:val="30"/>
          <w:lang w:val="es-ES"/>
        </w:rPr>
        <w:br/>
        <w:t>1. Adquirir acciones de entidades del sector financiero privado, salvo lo dispuesto en el artículo 443;</w:t>
      </w:r>
      <w:r>
        <w:rPr>
          <w:rFonts w:eastAsia="Times New Roman"/>
          <w:sz w:val="30"/>
          <w:szCs w:val="30"/>
          <w:lang w:val="es-ES"/>
        </w:rPr>
        <w:br/>
      </w:r>
      <w:r>
        <w:rPr>
          <w:rFonts w:eastAsia="Times New Roman"/>
          <w:sz w:val="30"/>
          <w:szCs w:val="30"/>
          <w:lang w:val="es-ES"/>
        </w:rPr>
        <w:br/>
        <w:t>2. Conceder, bajo ninguna forma, preferencias o privilegios a los socios, administradores, funcionarios</w:t>
      </w:r>
      <w:r>
        <w:rPr>
          <w:rFonts w:eastAsia="Times New Roman"/>
          <w:sz w:val="30"/>
          <w:szCs w:val="30"/>
          <w:lang w:val="es-ES"/>
        </w:rPr>
        <w:t xml:space="preserve"> o empleados;</w:t>
      </w:r>
      <w:r>
        <w:rPr>
          <w:rFonts w:eastAsia="Times New Roman"/>
          <w:sz w:val="30"/>
          <w:szCs w:val="30"/>
          <w:lang w:val="es-ES"/>
        </w:rPr>
        <w:br/>
      </w:r>
      <w:r>
        <w:rPr>
          <w:rFonts w:eastAsia="Times New Roman"/>
          <w:sz w:val="30"/>
          <w:szCs w:val="30"/>
          <w:lang w:val="es-ES"/>
        </w:rPr>
        <w:br/>
        <w:t xml:space="preserve">3. Exigir a los nuevos integrantes de la organización que suscriban un </w:t>
      </w:r>
      <w:r>
        <w:rPr>
          <w:rFonts w:eastAsia="Times New Roman"/>
          <w:sz w:val="30"/>
          <w:szCs w:val="30"/>
          <w:lang w:val="es-ES"/>
        </w:rPr>
        <w:lastRenderedPageBreak/>
        <w:t>mayor número de aportes, cuotas o aportaciones de los que hayan adquirido los fundadores desde que ingresaron a la organización, o que contraigan con la entidad cualquier</w:t>
      </w:r>
      <w:r>
        <w:rPr>
          <w:rFonts w:eastAsia="Times New Roman"/>
          <w:sz w:val="30"/>
          <w:szCs w:val="30"/>
          <w:lang w:val="es-ES"/>
        </w:rPr>
        <w:t xml:space="preserve"> obligación económica extraordinaria, que no la hayan contraído dichos integrantes;</w:t>
      </w:r>
      <w:r>
        <w:rPr>
          <w:rFonts w:eastAsia="Times New Roman"/>
          <w:sz w:val="30"/>
          <w:szCs w:val="30"/>
          <w:lang w:val="es-ES"/>
        </w:rPr>
        <w:br/>
      </w:r>
      <w:r>
        <w:rPr>
          <w:rFonts w:eastAsia="Times New Roman"/>
          <w:sz w:val="30"/>
          <w:szCs w:val="30"/>
          <w:lang w:val="es-ES"/>
        </w:rPr>
        <w:br/>
        <w:t>4. Los directivos de las organizaciones quedan prohibidos de utilizar su condición y los recursos de la entidad para establecer relaciones contractuales, profesionales, la</w:t>
      </w:r>
      <w:r>
        <w:rPr>
          <w:rFonts w:eastAsia="Times New Roman"/>
          <w:sz w:val="30"/>
          <w:szCs w:val="30"/>
          <w:lang w:val="es-ES"/>
        </w:rPr>
        <w:t>borales o de servicios personales, directa o indirectamente, con otras personas u organizaciones;</w:t>
      </w:r>
      <w:r>
        <w:rPr>
          <w:rFonts w:eastAsia="Times New Roman"/>
          <w:sz w:val="30"/>
          <w:szCs w:val="30"/>
          <w:lang w:val="es-ES"/>
        </w:rPr>
        <w:br/>
      </w:r>
      <w:r>
        <w:rPr>
          <w:rFonts w:eastAsia="Times New Roman"/>
          <w:sz w:val="30"/>
          <w:szCs w:val="30"/>
          <w:lang w:val="es-ES"/>
        </w:rPr>
        <w:br/>
        <w:t>5. Establecer acuerdos, convenios o contratos con personas naturales o jurídicas ajenas a la organización, que les permita participar directa o indirectament</w:t>
      </w:r>
      <w:r>
        <w:rPr>
          <w:rFonts w:eastAsia="Times New Roman"/>
          <w:sz w:val="30"/>
          <w:szCs w:val="30"/>
          <w:lang w:val="es-ES"/>
        </w:rPr>
        <w:t>e de los beneficios derivados de las medidas de fomento, promoción e incentivos que concede la Ley Orgánica de la Economía Popular y Solidaria;</w:t>
      </w:r>
      <w:r>
        <w:rPr>
          <w:rFonts w:eastAsia="Times New Roman"/>
          <w:sz w:val="30"/>
          <w:szCs w:val="30"/>
          <w:lang w:val="es-ES"/>
        </w:rPr>
        <w:br/>
      </w:r>
      <w:r>
        <w:rPr>
          <w:rFonts w:eastAsia="Times New Roman"/>
          <w:sz w:val="30"/>
          <w:szCs w:val="30"/>
          <w:lang w:val="es-ES"/>
        </w:rPr>
        <w:br/>
        <w:t>6. Lucrar o favorecerse fraudulentamente de las operaciones y actividades de la organización y de los beneficio</w:t>
      </w:r>
      <w:r>
        <w:rPr>
          <w:rFonts w:eastAsia="Times New Roman"/>
          <w:sz w:val="30"/>
          <w:szCs w:val="30"/>
          <w:lang w:val="es-ES"/>
        </w:rPr>
        <w:t>s que otorga la Ley Orgánica de la Economía Popular y Solidaria. Igual disposición aplicará a los administradores de las entidades financieras de este capítulo.</w:t>
      </w:r>
      <w:r>
        <w:rPr>
          <w:rFonts w:eastAsia="Times New Roman"/>
          <w:sz w:val="30"/>
          <w:szCs w:val="30"/>
          <w:lang w:val="es-ES"/>
        </w:rPr>
        <w:br/>
      </w:r>
      <w:r>
        <w:rPr>
          <w:rFonts w:eastAsia="Times New Roman"/>
          <w:sz w:val="30"/>
          <w:szCs w:val="30"/>
          <w:lang w:val="es-ES"/>
        </w:rPr>
        <w:br/>
        <w:t>7. Ocultar, alterar fraudulentamente o suprimir en cualquier informe de operación, datos o hec</w:t>
      </w:r>
      <w:r>
        <w:rPr>
          <w:rFonts w:eastAsia="Times New Roman"/>
          <w:sz w:val="30"/>
          <w:szCs w:val="30"/>
          <w:lang w:val="es-ES"/>
        </w:rPr>
        <w:t>hos respecto de los cuales la superintendencia y el público tengan derecho a estar informados; y,</w:t>
      </w:r>
      <w:r>
        <w:rPr>
          <w:rFonts w:eastAsia="Times New Roman"/>
          <w:sz w:val="30"/>
          <w:szCs w:val="30"/>
          <w:lang w:val="es-ES"/>
        </w:rPr>
        <w:br/>
      </w:r>
      <w:r>
        <w:rPr>
          <w:rFonts w:eastAsia="Times New Roman"/>
          <w:sz w:val="30"/>
          <w:szCs w:val="30"/>
          <w:lang w:val="es-ES"/>
        </w:rPr>
        <w:br/>
        <w:t>8. Las demás establecidas en este Código, en la Ley Orgánica de la Economía Popular y Solidaria y su Reglamento.</w:t>
      </w:r>
      <w:r>
        <w:rPr>
          <w:rFonts w:eastAsia="Times New Roman"/>
          <w:sz w:val="30"/>
          <w:szCs w:val="30"/>
          <w:lang w:val="es-ES"/>
        </w:rPr>
        <w:br/>
      </w:r>
      <w:r>
        <w:rPr>
          <w:rFonts w:eastAsia="Times New Roman"/>
          <w:sz w:val="30"/>
          <w:szCs w:val="30"/>
          <w:lang w:val="es-ES"/>
        </w:rPr>
        <w:br/>
        <w:t>Las prohibiciones señaladas en los numerale</w:t>
      </w:r>
      <w:r>
        <w:rPr>
          <w:rFonts w:eastAsia="Times New Roman"/>
          <w:sz w:val="30"/>
          <w:szCs w:val="30"/>
          <w:lang w:val="es-ES"/>
        </w:rPr>
        <w:t>s 1, 5, 6 y 7 serán sancionadas como infracciones muy graves y las determinadas en los numerales 2, 3 y 4 serán sancionadas como infracciones graves, sin perjuicio de las sanciones y correctivos que se disponga y la nulidad de los actos prohibidos por este</w:t>
      </w:r>
      <w:r>
        <w:rPr>
          <w:rFonts w:eastAsia="Times New Roman"/>
          <w:sz w:val="30"/>
          <w:szCs w:val="30"/>
          <w:lang w:val="es-ES"/>
        </w:rPr>
        <w:t xml:space="preserve"> artículo.</w:t>
      </w:r>
    </w:p>
    <w:p w:rsidR="00000000" w:rsidRDefault="0018461E">
      <w:pPr>
        <w:jc w:val="center"/>
        <w:rPr>
          <w:rFonts w:eastAsia="Times New Roman"/>
          <w:sz w:val="36"/>
          <w:szCs w:val="36"/>
          <w:lang w:val="es-ES"/>
        </w:rPr>
      </w:pPr>
      <w:r>
        <w:rPr>
          <w:rFonts w:eastAsia="Times New Roman"/>
          <w:b/>
          <w:bCs/>
          <w:sz w:val="36"/>
          <w:szCs w:val="36"/>
          <w:lang w:val="es-ES"/>
        </w:rPr>
        <w:br/>
        <w:t>Sección 3</w:t>
      </w:r>
      <w:r>
        <w:rPr>
          <w:rFonts w:eastAsia="Times New Roman"/>
          <w:b/>
          <w:bCs/>
          <w:sz w:val="36"/>
          <w:szCs w:val="36"/>
          <w:lang w:val="es-ES"/>
        </w:rPr>
        <w:br/>
        <w:t>DE LAS ENTIDADES ASOCIATIVAS O SOLIDARIAS, CAJAS Y BANCOS COMUNALES Y CAJAS DE AHORRO</w:t>
      </w:r>
    </w:p>
    <w:p w:rsidR="00000000" w:rsidRDefault="0018461E">
      <w:pPr>
        <w:divId w:val="498810329"/>
        <w:rPr>
          <w:rFonts w:eastAsia="Times New Roman"/>
          <w:sz w:val="30"/>
          <w:szCs w:val="30"/>
          <w:lang w:val="es-ES"/>
        </w:rPr>
      </w:pPr>
      <w:r>
        <w:rPr>
          <w:rFonts w:eastAsia="Times New Roman"/>
          <w:sz w:val="30"/>
          <w:szCs w:val="30"/>
          <w:lang w:val="es-ES"/>
        </w:rPr>
        <w:lastRenderedPageBreak/>
        <w:t xml:space="preserve">Art. 458.- </w:t>
      </w:r>
      <w:r>
        <w:rPr>
          <w:rFonts w:eastAsia="Times New Roman"/>
          <w:b/>
          <w:bCs/>
          <w:sz w:val="30"/>
          <w:szCs w:val="30"/>
          <w:lang w:val="es-ES"/>
        </w:rPr>
        <w:t xml:space="preserve">Entidades asociativas o solidarias, cajas y bancos comunales y cajas de ahorro. </w:t>
      </w:r>
      <w:r>
        <w:rPr>
          <w:rFonts w:eastAsia="Times New Roman"/>
          <w:sz w:val="30"/>
          <w:szCs w:val="30"/>
          <w:lang w:val="es-ES"/>
        </w:rPr>
        <w:t>Las entidades asociativas o solidarias, cajas y bancos co</w:t>
      </w:r>
      <w:r>
        <w:rPr>
          <w:rFonts w:eastAsia="Times New Roman"/>
          <w:sz w:val="30"/>
          <w:szCs w:val="30"/>
          <w:lang w:val="es-ES"/>
        </w:rPr>
        <w:t>munales y cajas de ahorro son organizaciones que podrán optar por la personalidad jurídica, que se forman por voluntad de sus socios dentro del límite y en la forma determinada por la Junta de Política y Regulación Monetaria y Financiera, tendrán su propia</w:t>
      </w:r>
      <w:r>
        <w:rPr>
          <w:rFonts w:eastAsia="Times New Roman"/>
          <w:sz w:val="30"/>
          <w:szCs w:val="30"/>
          <w:lang w:val="es-ES"/>
        </w:rPr>
        <w:t xml:space="preserve"> estructura de gobierno, administración, representación, auto control social y rendición de cuentas y tendrán la obligación de remitir la información que les sea solicitada por la superintendencia.</w:t>
      </w:r>
      <w:r>
        <w:rPr>
          <w:rFonts w:eastAsia="Times New Roman"/>
          <w:sz w:val="30"/>
          <w:szCs w:val="30"/>
          <w:lang w:val="es-ES"/>
        </w:rPr>
        <w:br/>
      </w:r>
      <w:r>
        <w:rPr>
          <w:rFonts w:eastAsia="Times New Roman"/>
          <w:sz w:val="30"/>
          <w:szCs w:val="30"/>
          <w:lang w:val="es-ES"/>
        </w:rPr>
        <w:br/>
        <w:t>Las entidades asociativas o solidarias, cajas y bancos co</w:t>
      </w:r>
      <w:r>
        <w:rPr>
          <w:rFonts w:eastAsia="Times New Roman"/>
          <w:sz w:val="30"/>
          <w:szCs w:val="30"/>
          <w:lang w:val="es-ES"/>
        </w:rPr>
        <w:t>munales y cajas de ahorro se forman con aportes económicos de sus socios, en calidad de ahorros, sin que puedan captar fondos de terceros, para el otorgamiento de créditos a sus miembros bajo las regulaciones que expida la Junta, y se inscribirán en el reg</w:t>
      </w:r>
      <w:r>
        <w:rPr>
          <w:rFonts w:eastAsia="Times New Roman"/>
          <w:sz w:val="30"/>
          <w:szCs w:val="30"/>
          <w:lang w:val="es-ES"/>
        </w:rPr>
        <w:t>istro correspondiente.</w:t>
      </w:r>
      <w:r>
        <w:rPr>
          <w:rFonts w:eastAsia="Times New Roman"/>
          <w:sz w:val="30"/>
          <w:szCs w:val="30"/>
          <w:lang w:val="es-ES"/>
        </w:rPr>
        <w:br/>
      </w:r>
      <w:r>
        <w:rPr>
          <w:rFonts w:eastAsia="Times New Roman"/>
          <w:sz w:val="30"/>
          <w:szCs w:val="30"/>
          <w:lang w:val="es-ES"/>
        </w:rPr>
        <w:br/>
        <w:t>Quienes opten por la personería jurídica, observarán para su funcionamiento los requerimientos determinados por la Junta de Política y Regulación Monetaria y Financiera y podrán recibir financiamiento para su desarrollo y fortalecim</w:t>
      </w:r>
      <w:r>
        <w:rPr>
          <w:rFonts w:eastAsia="Times New Roman"/>
          <w:sz w:val="30"/>
          <w:szCs w:val="30"/>
          <w:lang w:val="es-ES"/>
        </w:rPr>
        <w:t>iento concedidos por entidades públicas, organizaciones de la economía popular y solidaria, entidades de apoyo, cooperación nacional e internacional y en general ser favorecidos con donaciones y subvenciones.</w:t>
      </w:r>
    </w:p>
    <w:p w:rsidR="00000000" w:rsidRDefault="0018461E">
      <w:pPr>
        <w:divId w:val="1017192108"/>
        <w:rPr>
          <w:rFonts w:eastAsia="Times New Roman"/>
          <w:sz w:val="30"/>
          <w:szCs w:val="30"/>
          <w:lang w:val="es-ES"/>
        </w:rPr>
      </w:pPr>
      <w:r>
        <w:rPr>
          <w:rFonts w:eastAsia="Times New Roman"/>
          <w:sz w:val="30"/>
          <w:szCs w:val="30"/>
          <w:lang w:val="es-ES"/>
        </w:rPr>
        <w:t xml:space="preserve">Art. 459.- </w:t>
      </w:r>
      <w:r>
        <w:rPr>
          <w:rFonts w:eastAsia="Times New Roman"/>
          <w:b/>
          <w:bCs/>
          <w:sz w:val="30"/>
          <w:szCs w:val="30"/>
          <w:lang w:val="es-ES"/>
        </w:rPr>
        <w:t xml:space="preserve">Legislación aplicable. </w:t>
      </w:r>
      <w:r>
        <w:rPr>
          <w:rFonts w:eastAsia="Times New Roman"/>
          <w:sz w:val="30"/>
          <w:szCs w:val="30"/>
          <w:lang w:val="es-ES"/>
        </w:rPr>
        <w:t>Las entidades</w:t>
      </w:r>
      <w:r>
        <w:rPr>
          <w:rFonts w:eastAsia="Times New Roman"/>
          <w:sz w:val="30"/>
          <w:szCs w:val="30"/>
          <w:lang w:val="es-ES"/>
        </w:rPr>
        <w:t xml:space="preserve"> asociativas o solidarias, cajas y bancos comunales y cajas de ahorro se regirán por este Código, por la Ley Orgánica de la Economía Popular y Solidaria y las normas que expida la Junta de Política y Regulación Monetaria y Financiera.</w:t>
      </w:r>
      <w:r>
        <w:rPr>
          <w:rFonts w:eastAsia="Times New Roman"/>
          <w:sz w:val="30"/>
          <w:szCs w:val="30"/>
          <w:lang w:val="es-ES"/>
        </w:rPr>
        <w:br/>
      </w:r>
      <w:r>
        <w:rPr>
          <w:rFonts w:eastAsia="Times New Roman"/>
          <w:sz w:val="30"/>
          <w:szCs w:val="30"/>
          <w:lang w:val="es-ES"/>
        </w:rPr>
        <w:br/>
        <w:t>Las entidades mencio</w:t>
      </w:r>
      <w:r>
        <w:rPr>
          <w:rFonts w:eastAsia="Times New Roman"/>
          <w:sz w:val="30"/>
          <w:szCs w:val="30"/>
          <w:lang w:val="es-ES"/>
        </w:rPr>
        <w:t>nadas en este artículo son sujetos de acompañamiento, no de control, salvo que realicen operaciones fuera de su ámbito, en cuyo caso serán sancionados por la Superintendencia de Economía Popular y Solidaria.</w:t>
      </w:r>
    </w:p>
    <w:p w:rsidR="00000000" w:rsidRDefault="0018461E">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 LAS ASOCIACIONES MUTUALISTAS DE AH</w:t>
      </w:r>
      <w:r>
        <w:rPr>
          <w:rFonts w:eastAsia="Times New Roman"/>
          <w:b/>
          <w:bCs/>
          <w:sz w:val="36"/>
          <w:szCs w:val="36"/>
          <w:lang w:val="es-ES"/>
        </w:rPr>
        <w:t>ORRO Y CRÉDITO PARA LA VIVIENDA</w:t>
      </w:r>
    </w:p>
    <w:p w:rsidR="00000000" w:rsidRDefault="0018461E">
      <w:pPr>
        <w:divId w:val="730032935"/>
        <w:rPr>
          <w:rFonts w:eastAsia="Times New Roman"/>
          <w:sz w:val="30"/>
          <w:szCs w:val="30"/>
          <w:lang w:val="es-ES"/>
        </w:rPr>
      </w:pPr>
      <w:r>
        <w:rPr>
          <w:rFonts w:eastAsia="Times New Roman"/>
          <w:sz w:val="30"/>
          <w:szCs w:val="30"/>
          <w:lang w:val="es-ES"/>
        </w:rPr>
        <w:t xml:space="preserve">Art. 460.- </w:t>
      </w:r>
      <w:r>
        <w:rPr>
          <w:rFonts w:eastAsia="Times New Roman"/>
          <w:b/>
          <w:bCs/>
          <w:sz w:val="30"/>
          <w:szCs w:val="30"/>
          <w:lang w:val="es-ES"/>
        </w:rPr>
        <w:t xml:space="preserve">Naturaleza y objetivos. </w:t>
      </w:r>
      <w:r>
        <w:rPr>
          <w:rFonts w:eastAsia="Times New Roman"/>
          <w:sz w:val="30"/>
          <w:szCs w:val="30"/>
          <w:lang w:val="es-ES"/>
        </w:rPr>
        <w:t xml:space="preserve">Las asociaciones mutualistas de ahorro y crédito para la vivienda son entidades que forman parte del </w:t>
      </w:r>
      <w:r>
        <w:rPr>
          <w:rFonts w:eastAsia="Times New Roman"/>
          <w:sz w:val="30"/>
          <w:szCs w:val="30"/>
          <w:lang w:val="es-ES"/>
        </w:rPr>
        <w:lastRenderedPageBreak/>
        <w:t xml:space="preserve">sector financiero popular y solidario, cuyos objetivos son la captación de recursos del </w:t>
      </w:r>
      <w:r>
        <w:rPr>
          <w:rFonts w:eastAsia="Times New Roman"/>
          <w:sz w:val="30"/>
          <w:szCs w:val="30"/>
          <w:lang w:val="es-ES"/>
        </w:rPr>
        <w:t>público para destinarlos al financiamiento de la vivienda, la construcción y al bienestar familiar de sus clientes y socios, y se rigen por las disposiciones de este Código.</w:t>
      </w:r>
    </w:p>
    <w:p w:rsidR="00000000" w:rsidRDefault="0018461E">
      <w:pPr>
        <w:divId w:val="1511524979"/>
        <w:rPr>
          <w:rFonts w:eastAsia="Times New Roman"/>
          <w:sz w:val="30"/>
          <w:szCs w:val="30"/>
          <w:lang w:val="es-ES"/>
        </w:rPr>
      </w:pPr>
      <w:r>
        <w:rPr>
          <w:rFonts w:eastAsia="Times New Roman"/>
          <w:sz w:val="30"/>
          <w:szCs w:val="30"/>
          <w:lang w:val="es-ES"/>
        </w:rPr>
        <w:t xml:space="preserve">Art. 461.- </w:t>
      </w:r>
      <w:r>
        <w:rPr>
          <w:rFonts w:eastAsia="Times New Roman"/>
          <w:b/>
          <w:bCs/>
          <w:sz w:val="30"/>
          <w:szCs w:val="30"/>
          <w:lang w:val="es-ES"/>
        </w:rPr>
        <w:t xml:space="preserve">Constitución y vida jurídica: </w:t>
      </w:r>
      <w:r>
        <w:rPr>
          <w:rFonts w:eastAsia="Times New Roman"/>
          <w:sz w:val="30"/>
          <w:szCs w:val="30"/>
          <w:lang w:val="es-ES"/>
        </w:rPr>
        <w:t xml:space="preserve">Las asociaciones mutualistas de ahorro y </w:t>
      </w:r>
      <w:r>
        <w:rPr>
          <w:rFonts w:eastAsia="Times New Roman"/>
          <w:sz w:val="30"/>
          <w:szCs w:val="30"/>
          <w:lang w:val="es-ES"/>
        </w:rPr>
        <w:t>crédito para la vivienda, en su constitución, se regirán por las disposiciones aplicables a las cooperativas de ahorro y crédito prescritas en la Ley Orgánica de la Economía Popular y Solidaria y en su estatuto.</w:t>
      </w:r>
      <w:r>
        <w:rPr>
          <w:rFonts w:eastAsia="Times New Roman"/>
          <w:sz w:val="30"/>
          <w:szCs w:val="30"/>
          <w:lang w:val="es-ES"/>
        </w:rPr>
        <w:br/>
      </w:r>
      <w:r>
        <w:rPr>
          <w:rFonts w:eastAsia="Times New Roman"/>
          <w:sz w:val="30"/>
          <w:szCs w:val="30"/>
          <w:lang w:val="es-ES"/>
        </w:rPr>
        <w:br/>
        <w:t>Las actividades, operaciones, liquidación y</w:t>
      </w:r>
      <w:r>
        <w:rPr>
          <w:rFonts w:eastAsia="Times New Roman"/>
          <w:sz w:val="30"/>
          <w:szCs w:val="30"/>
          <w:lang w:val="es-ES"/>
        </w:rPr>
        <w:t xml:space="preserve"> todos los demás aspectos inherentes a su vida jurídica, las asociaciones mutualistas de ahorro y crédito para la vivienda se regirán por las disposiciones de este Código referidas a dichas entidades, y en lo no regulado específicamente para las mismas, la</w:t>
      </w:r>
      <w:r>
        <w:rPr>
          <w:rFonts w:eastAsia="Times New Roman"/>
          <w:sz w:val="30"/>
          <w:szCs w:val="30"/>
          <w:lang w:val="es-ES"/>
        </w:rPr>
        <w:t>s aplicables a las cooperativas de ahorro y crédito prescritas en esta Ley, las regulaciones que expida la Junta y en su estatuto.</w:t>
      </w:r>
    </w:p>
    <w:p w:rsidR="00000000" w:rsidRDefault="0018461E">
      <w:pPr>
        <w:divId w:val="1452017185"/>
        <w:rPr>
          <w:rFonts w:eastAsia="Times New Roman"/>
          <w:sz w:val="30"/>
          <w:szCs w:val="30"/>
          <w:lang w:val="es-ES"/>
        </w:rPr>
      </w:pPr>
      <w:r>
        <w:rPr>
          <w:rFonts w:eastAsia="Times New Roman"/>
          <w:sz w:val="30"/>
          <w:szCs w:val="30"/>
          <w:lang w:val="es-ES"/>
        </w:rPr>
        <w:t xml:space="preserve">Art. 462.- </w:t>
      </w:r>
      <w:r>
        <w:rPr>
          <w:rFonts w:eastAsia="Times New Roman"/>
          <w:b/>
          <w:bCs/>
          <w:sz w:val="30"/>
          <w:szCs w:val="30"/>
          <w:lang w:val="es-ES"/>
        </w:rPr>
        <w:t xml:space="preserve">Gobierno y administración. </w:t>
      </w:r>
      <w:r>
        <w:rPr>
          <w:rFonts w:eastAsia="Times New Roman"/>
          <w:sz w:val="30"/>
          <w:szCs w:val="30"/>
          <w:lang w:val="es-ES"/>
        </w:rPr>
        <w:t>El gobierno de las asociaciones mutualistas de ahorro y crédito para la vivienda estará</w:t>
      </w:r>
      <w:r>
        <w:rPr>
          <w:rFonts w:eastAsia="Times New Roman"/>
          <w:sz w:val="30"/>
          <w:szCs w:val="30"/>
          <w:lang w:val="es-ES"/>
        </w:rPr>
        <w:t xml:space="preserve"> conformado con una junta general de socios, un consejo de administración, un consejo de vigilancia, representante legal, auditores interno y externo. Su organización interna constará en el estatuto social, que será aprobado por la Superintendencia de Econ</w:t>
      </w:r>
      <w:r>
        <w:rPr>
          <w:rFonts w:eastAsia="Times New Roman"/>
          <w:sz w:val="30"/>
          <w:szCs w:val="30"/>
          <w:lang w:val="es-ES"/>
        </w:rPr>
        <w:t>omía Popular y Solidaria.</w:t>
      </w:r>
    </w:p>
    <w:p w:rsidR="00000000" w:rsidRDefault="0018461E">
      <w:pPr>
        <w:divId w:val="709499179"/>
        <w:rPr>
          <w:rFonts w:eastAsia="Times New Roman"/>
          <w:sz w:val="30"/>
          <w:szCs w:val="30"/>
          <w:lang w:val="es-ES"/>
        </w:rPr>
      </w:pPr>
      <w:r>
        <w:rPr>
          <w:rFonts w:eastAsia="Times New Roman"/>
          <w:sz w:val="30"/>
          <w:szCs w:val="30"/>
          <w:lang w:val="es-ES"/>
        </w:rPr>
        <w:t xml:space="preserve">Art. 463.- </w:t>
      </w:r>
      <w:r>
        <w:rPr>
          <w:rFonts w:eastAsia="Times New Roman"/>
          <w:b/>
          <w:bCs/>
          <w:sz w:val="30"/>
          <w:szCs w:val="30"/>
          <w:lang w:val="es-ES"/>
        </w:rPr>
        <w:t xml:space="preserve">Socios. </w:t>
      </w:r>
      <w:r>
        <w:rPr>
          <w:rFonts w:eastAsia="Times New Roman"/>
          <w:sz w:val="30"/>
          <w:szCs w:val="30"/>
          <w:lang w:val="es-ES"/>
        </w:rPr>
        <w:t>Son socias de las asociaciones mutualistas de ahorro y crédito para la vivienda las personas que mantengan certificados de aportación.</w:t>
      </w:r>
      <w:r>
        <w:rPr>
          <w:rFonts w:eastAsia="Times New Roman"/>
          <w:sz w:val="30"/>
          <w:szCs w:val="30"/>
          <w:lang w:val="es-ES"/>
        </w:rPr>
        <w:br/>
      </w:r>
      <w:r>
        <w:rPr>
          <w:rFonts w:eastAsia="Times New Roman"/>
          <w:sz w:val="30"/>
          <w:szCs w:val="30"/>
          <w:lang w:val="es-ES"/>
        </w:rPr>
        <w:br/>
        <w:t xml:space="preserve">Los certificados de aportación representan la participación del capital de </w:t>
      </w:r>
      <w:r>
        <w:rPr>
          <w:rFonts w:eastAsia="Times New Roman"/>
          <w:sz w:val="30"/>
          <w:szCs w:val="30"/>
          <w:lang w:val="es-ES"/>
        </w:rPr>
        <w:t xml:space="preserve">los socios en la entidad, les confieren derecho a voz y a un voto, independientemente del número de certificados de aportación que cada uno pague. Ninguna persona natural o jurídica podrá poseer en certificados de aportación, directa o indirectamente, más </w:t>
      </w:r>
      <w:r>
        <w:rPr>
          <w:rFonts w:eastAsia="Times New Roman"/>
          <w:sz w:val="30"/>
          <w:szCs w:val="30"/>
          <w:lang w:val="es-ES"/>
        </w:rPr>
        <w:t>del 6% del capital de la entidad.</w:t>
      </w:r>
      <w:r>
        <w:rPr>
          <w:rFonts w:eastAsia="Times New Roman"/>
          <w:sz w:val="30"/>
          <w:szCs w:val="30"/>
          <w:lang w:val="es-ES"/>
        </w:rPr>
        <w:br/>
      </w:r>
      <w:r>
        <w:rPr>
          <w:rFonts w:eastAsia="Times New Roman"/>
          <w:sz w:val="30"/>
          <w:szCs w:val="30"/>
          <w:lang w:val="es-ES"/>
        </w:rPr>
        <w:br/>
        <w:t>En ningún caso se restringirá el ingreso de nuevos socios a las asociaciones mutualistas de ahorro y crédito para la vivienda; una vez alcanzado el monto mínimo de capital de</w:t>
      </w:r>
      <w:r>
        <w:rPr>
          <w:rFonts w:eastAsia="Times New Roman"/>
          <w:sz w:val="30"/>
          <w:szCs w:val="30"/>
          <w:lang w:val="es-ES"/>
        </w:rPr>
        <w:br/>
      </w:r>
      <w:r>
        <w:rPr>
          <w:rFonts w:eastAsia="Times New Roman"/>
          <w:sz w:val="30"/>
          <w:szCs w:val="30"/>
          <w:lang w:val="es-ES"/>
        </w:rPr>
        <w:br/>
        <w:t>constitución, debido a su característica de v</w:t>
      </w:r>
      <w:r>
        <w:rPr>
          <w:rFonts w:eastAsia="Times New Roman"/>
          <w:sz w:val="30"/>
          <w:szCs w:val="30"/>
          <w:lang w:val="es-ES"/>
        </w:rPr>
        <w:t xml:space="preserve">ariable e ilimitado, los </w:t>
      </w:r>
      <w:r>
        <w:rPr>
          <w:rFonts w:eastAsia="Times New Roman"/>
          <w:sz w:val="30"/>
          <w:szCs w:val="30"/>
          <w:lang w:val="es-ES"/>
        </w:rPr>
        <w:lastRenderedPageBreak/>
        <w:t>nuevos socios deberán pagar a su ingreso el valor del certificado de aportación establecido en el estatuto de cada entidad.</w:t>
      </w:r>
    </w:p>
    <w:p w:rsidR="00000000" w:rsidRDefault="0018461E">
      <w:pPr>
        <w:divId w:val="327176125"/>
        <w:rPr>
          <w:rFonts w:eastAsia="Times New Roman"/>
          <w:sz w:val="30"/>
          <w:szCs w:val="30"/>
          <w:lang w:val="es-ES"/>
        </w:rPr>
      </w:pPr>
      <w:r>
        <w:rPr>
          <w:rFonts w:eastAsia="Times New Roman"/>
          <w:sz w:val="30"/>
          <w:szCs w:val="30"/>
          <w:lang w:val="es-ES"/>
        </w:rPr>
        <w:t xml:space="preserve">Art. 464.- </w:t>
      </w:r>
      <w:r>
        <w:rPr>
          <w:rFonts w:eastAsia="Times New Roman"/>
          <w:b/>
          <w:bCs/>
          <w:sz w:val="30"/>
          <w:szCs w:val="30"/>
          <w:lang w:val="es-ES"/>
        </w:rPr>
        <w:t xml:space="preserve">Capital social mínimo, patrimonio y segmentación. </w:t>
      </w:r>
      <w:r>
        <w:rPr>
          <w:rFonts w:eastAsia="Times New Roman"/>
          <w:sz w:val="30"/>
          <w:szCs w:val="30"/>
          <w:lang w:val="es-ES"/>
        </w:rPr>
        <w:t>El capital social mínimo de una asociación mut</w:t>
      </w:r>
      <w:r>
        <w:rPr>
          <w:rFonts w:eastAsia="Times New Roman"/>
          <w:sz w:val="30"/>
          <w:szCs w:val="30"/>
          <w:lang w:val="es-ES"/>
        </w:rPr>
        <w:t>ualista de ahorro y crédito para la vivienda será variable e ilimitado y estará representado por certificados de aportación no redimibles pagados por sus socios. El capital social mínimo será regulado por la Junta de Política y Regulación Monetaria y Finan</w:t>
      </w:r>
      <w:r>
        <w:rPr>
          <w:rFonts w:eastAsia="Times New Roman"/>
          <w:sz w:val="30"/>
          <w:szCs w:val="30"/>
          <w:lang w:val="es-ES"/>
        </w:rPr>
        <w:t>ciera. Las mutualistas se ubicarán en los segmentos que la Junta determine.</w:t>
      </w:r>
      <w:r>
        <w:rPr>
          <w:rFonts w:eastAsia="Times New Roman"/>
          <w:sz w:val="30"/>
          <w:szCs w:val="30"/>
          <w:lang w:val="es-ES"/>
        </w:rPr>
        <w:br/>
      </w:r>
      <w:r>
        <w:rPr>
          <w:rFonts w:eastAsia="Times New Roman"/>
          <w:sz w:val="30"/>
          <w:szCs w:val="30"/>
          <w:lang w:val="es-ES"/>
        </w:rPr>
        <w:br/>
        <w:t>El valor de los certificados de aportación será establecido a la constitución de una asociación mutualista de ahorro y crédito para la vivienda y deberá constar en su estatuto.</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os certificados de aportación tendrán la calidad de título valor.</w:t>
      </w:r>
      <w:r>
        <w:rPr>
          <w:rFonts w:eastAsia="Times New Roman"/>
          <w:sz w:val="30"/>
          <w:szCs w:val="30"/>
          <w:lang w:val="es-ES"/>
        </w:rPr>
        <w:br/>
      </w:r>
      <w:r>
        <w:rPr>
          <w:rFonts w:eastAsia="Times New Roman"/>
          <w:sz w:val="30"/>
          <w:szCs w:val="30"/>
          <w:lang w:val="es-ES"/>
        </w:rPr>
        <w:br/>
        <w:t>El patrimonio de las asociaciones mutualistas de ahorro y crédito para la vivienda estará integrado por el capital social, la reserva legal irrepartible y otras reservas estatutarias y no p</w:t>
      </w:r>
      <w:r>
        <w:rPr>
          <w:rFonts w:eastAsia="Times New Roman"/>
          <w:sz w:val="30"/>
          <w:szCs w:val="30"/>
          <w:lang w:val="es-ES"/>
        </w:rPr>
        <w:t>odrá ser inferior a USD 1’800.000,00 un millón ochocientos mil dólares de los Estados Unidos de América. Los socios de las mutualistas serán responsables por el patrimonio de la entidad hasta por el porcentaje de sus aportaciones.</w:t>
      </w:r>
      <w:r>
        <w:rPr>
          <w:rFonts w:eastAsia="Times New Roman"/>
          <w:sz w:val="30"/>
          <w:szCs w:val="30"/>
          <w:lang w:val="es-ES"/>
        </w:rPr>
        <w:br/>
      </w:r>
      <w:r>
        <w:rPr>
          <w:rFonts w:eastAsia="Times New Roman"/>
          <w:sz w:val="30"/>
          <w:szCs w:val="30"/>
          <w:lang w:val="es-ES"/>
        </w:rPr>
        <w:br/>
        <w:t>Para formar su reserva l</w:t>
      </w:r>
      <w:r>
        <w:rPr>
          <w:rFonts w:eastAsia="Times New Roman"/>
          <w:sz w:val="30"/>
          <w:szCs w:val="30"/>
          <w:lang w:val="es-ES"/>
        </w:rPr>
        <w:t>egal irrepartible, las mutualistas destinarán, por lo menos, el 10% de sus utilidades anuales, hasta alcanzar un monto igual al 100% del capital social.</w:t>
      </w:r>
      <w:r>
        <w:rPr>
          <w:rFonts w:eastAsia="Times New Roman"/>
          <w:sz w:val="30"/>
          <w:szCs w:val="30"/>
          <w:lang w:val="es-ES"/>
        </w:rPr>
        <w:br/>
      </w:r>
      <w:r>
        <w:rPr>
          <w:rFonts w:eastAsia="Times New Roman"/>
          <w:sz w:val="30"/>
          <w:szCs w:val="30"/>
          <w:lang w:val="es-ES"/>
        </w:rPr>
        <w:br/>
        <w:t>Los excedentes y utilidades anuales que hubieren en las asociaciones mutualistas de ahorro y crédito p</w:t>
      </w:r>
      <w:r>
        <w:rPr>
          <w:rFonts w:eastAsia="Times New Roman"/>
          <w:sz w:val="30"/>
          <w:szCs w:val="30"/>
          <w:lang w:val="es-ES"/>
        </w:rPr>
        <w:t>ara la vivienda actualmente existentes, luego de las deducciones legales, se distribuirán proporcionalmente entre los socios y la reserva legal irrepartible acumulada, a prorrata de su participación en el patrimonio. Para los efectos de lo establecido en l</w:t>
      </w:r>
      <w:r>
        <w:rPr>
          <w:rFonts w:eastAsia="Times New Roman"/>
          <w:sz w:val="30"/>
          <w:szCs w:val="30"/>
          <w:lang w:val="es-ES"/>
        </w:rPr>
        <w:t>a Ley de Régimen Tributario Interno, se tendrá como reinversión el incremento de esta reserva legal con los excedentes y utilidades.</w:t>
      </w:r>
      <w:r>
        <w:rPr>
          <w:rFonts w:eastAsia="Times New Roman"/>
          <w:sz w:val="30"/>
          <w:szCs w:val="30"/>
          <w:lang w:val="es-ES"/>
        </w:rPr>
        <w:br/>
      </w:r>
      <w:r>
        <w:rPr>
          <w:rFonts w:eastAsia="Times New Roman"/>
          <w:sz w:val="30"/>
          <w:szCs w:val="30"/>
          <w:lang w:val="es-ES"/>
        </w:rPr>
        <w:br/>
        <w:t>Las mutualistas existentes incrementarán la reserva legal irrepartible con el 10% de las utilidades anuales, en la parte c</w:t>
      </w:r>
      <w:r>
        <w:rPr>
          <w:rFonts w:eastAsia="Times New Roman"/>
          <w:sz w:val="30"/>
          <w:szCs w:val="30"/>
          <w:lang w:val="es-ES"/>
        </w:rPr>
        <w:t>orrespondiente a sus socios, solo cuando la misma sea inferior al 100% de su capital social, y hasta alcanzar ese nivel.</w:t>
      </w:r>
    </w:p>
    <w:p w:rsidR="00000000" w:rsidRDefault="0018461E">
      <w:pPr>
        <w:divId w:val="867794482"/>
        <w:rPr>
          <w:rFonts w:eastAsia="Times New Roman"/>
          <w:sz w:val="30"/>
          <w:szCs w:val="30"/>
          <w:lang w:val="es-ES"/>
        </w:rPr>
      </w:pPr>
      <w:r>
        <w:rPr>
          <w:rFonts w:eastAsia="Times New Roman"/>
          <w:sz w:val="30"/>
          <w:szCs w:val="30"/>
          <w:lang w:val="es-ES"/>
        </w:rPr>
        <w:lastRenderedPageBreak/>
        <w:t xml:space="preserve">Art. 465.- </w:t>
      </w:r>
      <w:r>
        <w:rPr>
          <w:rFonts w:eastAsia="Times New Roman"/>
          <w:b/>
          <w:bCs/>
          <w:sz w:val="30"/>
          <w:szCs w:val="30"/>
          <w:lang w:val="es-ES"/>
        </w:rPr>
        <w:t xml:space="preserve">Operaciones. </w:t>
      </w:r>
      <w:r>
        <w:rPr>
          <w:rFonts w:eastAsia="Times New Roman"/>
          <w:sz w:val="30"/>
          <w:szCs w:val="30"/>
          <w:lang w:val="es-ES"/>
        </w:rPr>
        <w:t>Las asociaciones mutualistas de ahorro y crédito para la vivienda, en el ámbito de sus objetivos, podrán realiz</w:t>
      </w:r>
      <w:r>
        <w:rPr>
          <w:rFonts w:eastAsia="Times New Roman"/>
          <w:sz w:val="30"/>
          <w:szCs w:val="30"/>
          <w:lang w:val="es-ES"/>
        </w:rPr>
        <w:t>ar las operaciones determinadas en el artículo 194, previa la autorización de la Superintendencia de Economía Popular y Solidaria.</w:t>
      </w:r>
      <w:r>
        <w:rPr>
          <w:rFonts w:eastAsia="Times New Roman"/>
          <w:sz w:val="30"/>
          <w:szCs w:val="30"/>
          <w:lang w:val="es-ES"/>
        </w:rPr>
        <w:br/>
      </w:r>
      <w:r>
        <w:rPr>
          <w:rFonts w:eastAsia="Times New Roman"/>
          <w:sz w:val="30"/>
          <w:szCs w:val="30"/>
          <w:lang w:val="es-ES"/>
        </w:rPr>
        <w:br/>
        <w:t>Estas entidades podrán invertir directamente en proyectos específicos orientados al desarrollo de la vivienda y construcción</w:t>
      </w:r>
      <w:r>
        <w:rPr>
          <w:rFonts w:eastAsia="Times New Roman"/>
          <w:sz w:val="30"/>
          <w:szCs w:val="30"/>
          <w:lang w:val="es-ES"/>
        </w:rPr>
        <w:t>, y en entidades de servicios auxiliares del sistema financiero de giro inmobiliario o en otras entidades de servicios auxiliares calificadas por la superintendencia, cuyo objeto exclusivo se relacione con las actividades propias del giro del negocio.</w:t>
      </w:r>
      <w:r>
        <w:rPr>
          <w:rFonts w:eastAsia="Times New Roman"/>
          <w:sz w:val="30"/>
          <w:szCs w:val="30"/>
          <w:lang w:val="es-ES"/>
        </w:rPr>
        <w:br/>
      </w:r>
      <w:r>
        <w:rPr>
          <w:rFonts w:eastAsia="Times New Roman"/>
          <w:sz w:val="30"/>
          <w:szCs w:val="30"/>
          <w:lang w:val="es-ES"/>
        </w:rPr>
        <w:br/>
        <w:t>Las</w:t>
      </w:r>
      <w:r>
        <w:rPr>
          <w:rFonts w:eastAsia="Times New Roman"/>
          <w:sz w:val="30"/>
          <w:szCs w:val="30"/>
          <w:lang w:val="es-ES"/>
        </w:rPr>
        <w:t xml:space="preserve"> inversiones propias en proyectos específicos orientados al desarrollo de la vivienda y construcción no podrán exceder del 100% de su patrimonio técnico. En ningún caso un solo proyecto de inversión podrá tener el 100% del cupo asignado. El total del cupo </w:t>
      </w:r>
      <w:r>
        <w:rPr>
          <w:rFonts w:eastAsia="Times New Roman"/>
          <w:sz w:val="30"/>
          <w:szCs w:val="30"/>
          <w:lang w:val="es-ES"/>
        </w:rPr>
        <w:t>deberá estar distribuido en varias inversiones.</w:t>
      </w:r>
      <w:r>
        <w:rPr>
          <w:rFonts w:eastAsia="Times New Roman"/>
          <w:sz w:val="30"/>
          <w:szCs w:val="30"/>
          <w:lang w:val="es-ES"/>
        </w:rPr>
        <w:br/>
      </w:r>
      <w:r>
        <w:rPr>
          <w:rFonts w:eastAsia="Times New Roman"/>
          <w:sz w:val="30"/>
          <w:szCs w:val="30"/>
          <w:lang w:val="es-ES"/>
        </w:rPr>
        <w:br/>
        <w:t>La entidad financiera pública a cargo de programas de vivienda de interés social, las asociaciones mutualistas de ahorro y crédito para la vivienda y las cooperativas de vivienda están exoneradas de los trib</w:t>
      </w:r>
      <w:r>
        <w:rPr>
          <w:rFonts w:eastAsia="Times New Roman"/>
          <w:sz w:val="30"/>
          <w:szCs w:val="30"/>
          <w:lang w:val="es-ES"/>
        </w:rPr>
        <w:t>utos fiscales y municipales por los actos y contratos que celebraren en relación con proyectos de vivienda de interés social en el país.</w:t>
      </w:r>
      <w:r>
        <w:rPr>
          <w:rFonts w:eastAsia="Times New Roman"/>
          <w:sz w:val="30"/>
          <w:szCs w:val="30"/>
          <w:lang w:val="es-ES"/>
        </w:rPr>
        <w:br/>
      </w:r>
      <w:r>
        <w:rPr>
          <w:rFonts w:eastAsia="Times New Roman"/>
          <w:sz w:val="30"/>
          <w:szCs w:val="30"/>
          <w:lang w:val="es-ES"/>
        </w:rPr>
        <w:br/>
        <w:t>De igual exoneración gozarán los prestatarios de las entidades señaladas en el inciso anterior, en todos los actos y c</w:t>
      </w:r>
      <w:r>
        <w:rPr>
          <w:rFonts w:eastAsia="Times New Roman"/>
          <w:sz w:val="30"/>
          <w:szCs w:val="30"/>
          <w:lang w:val="es-ES"/>
        </w:rPr>
        <w:t>ontratos mediante los cuales apliquen los préstamos recibidos para los fines de compra de terrenos o vivienda, construcción, mejora, ampliación, rehabilitación o terminación de vivienda de interés social. Esta exoneración se hace extensiva a las personas n</w:t>
      </w:r>
      <w:r>
        <w:rPr>
          <w:rFonts w:eastAsia="Times New Roman"/>
          <w:sz w:val="30"/>
          <w:szCs w:val="30"/>
          <w:lang w:val="es-ES"/>
        </w:rPr>
        <w:t>aturales o jurídicas que contrataren con la entidad financiera pública a cargo de programas de vivienda de interés social, las Asociaciones Mutualistas y Cooperativas antes mencionadas o con los prestatarios de esas entidades, en los fines antes puntualiza</w:t>
      </w:r>
      <w:r>
        <w:rPr>
          <w:rFonts w:eastAsia="Times New Roman"/>
          <w:sz w:val="30"/>
          <w:szCs w:val="30"/>
          <w:lang w:val="es-ES"/>
        </w:rPr>
        <w:t>dos; y cubre los contratos de préstamo y el valor del ahorro del prestatario que se destina al pago de la cuota de entrada para la compra de terrenos o vivienda, construcción, mejora, ampliación, rehabilitación o terminación de vivienda de interés social.</w:t>
      </w:r>
      <w:r>
        <w:rPr>
          <w:rFonts w:eastAsia="Times New Roman"/>
          <w:sz w:val="30"/>
          <w:szCs w:val="30"/>
          <w:lang w:val="es-ES"/>
        </w:rPr>
        <w:br/>
      </w:r>
      <w:r>
        <w:rPr>
          <w:rFonts w:eastAsia="Times New Roman"/>
          <w:sz w:val="30"/>
          <w:szCs w:val="30"/>
          <w:lang w:val="es-ES"/>
        </w:rPr>
        <w:br/>
        <w:t xml:space="preserve">Los bienes inmuebles que se adquieran para fines habitacionales y las </w:t>
      </w:r>
      <w:r>
        <w:rPr>
          <w:rFonts w:eastAsia="Times New Roman"/>
          <w:sz w:val="30"/>
          <w:szCs w:val="30"/>
          <w:lang w:val="es-ES"/>
        </w:rPr>
        <w:lastRenderedPageBreak/>
        <w:t>viviendas que se construyan, amplíen o terminen con préstamos hipotecarios otorgados por la entidad financiera pública a cargo de programas de vivienda de interés social, las asociacion</w:t>
      </w:r>
      <w:r>
        <w:rPr>
          <w:rFonts w:eastAsia="Times New Roman"/>
          <w:sz w:val="30"/>
          <w:szCs w:val="30"/>
          <w:lang w:val="es-ES"/>
        </w:rPr>
        <w:t>es mutualistas de ahorro y crédito para la vivienda, y las cooperativas de vivienda, constituyen Patrimonio Familiar, por ministerio de la Ley y estarán sujetos a las normas generales que sobre Patrimonio Familiar establece el Título XI del Libro 2 del Cód</w:t>
      </w:r>
      <w:r>
        <w:rPr>
          <w:rFonts w:eastAsia="Times New Roman"/>
          <w:sz w:val="30"/>
          <w:szCs w:val="30"/>
          <w:lang w:val="es-ES"/>
        </w:rPr>
        <w:t>igo Civil, y a las especiales que constan en el presente artículo, las que prevalecerán sobre aquellas.</w:t>
      </w:r>
    </w:p>
    <w:p w:rsidR="00000000" w:rsidRDefault="0018461E">
      <w:pPr>
        <w:divId w:val="2077969512"/>
        <w:rPr>
          <w:rFonts w:eastAsia="Times New Roman"/>
          <w:sz w:val="30"/>
          <w:szCs w:val="30"/>
          <w:lang w:val="es-ES"/>
        </w:rPr>
      </w:pPr>
      <w:r>
        <w:rPr>
          <w:rFonts w:eastAsia="Times New Roman"/>
          <w:sz w:val="30"/>
          <w:szCs w:val="30"/>
          <w:lang w:val="es-ES"/>
        </w:rPr>
        <w:t xml:space="preserve">Art. 466.- </w:t>
      </w:r>
      <w:r>
        <w:rPr>
          <w:rFonts w:eastAsia="Times New Roman"/>
          <w:b/>
          <w:bCs/>
          <w:sz w:val="30"/>
          <w:szCs w:val="30"/>
          <w:lang w:val="es-ES"/>
        </w:rPr>
        <w:t xml:space="preserve">Solvencia y prudencia financiera. </w:t>
      </w:r>
      <w:r>
        <w:rPr>
          <w:rFonts w:eastAsia="Times New Roman"/>
          <w:sz w:val="30"/>
          <w:szCs w:val="30"/>
          <w:lang w:val="es-ES"/>
        </w:rPr>
        <w:t>Las asociaciones mutualistas de ahorro y crédito para la vivienda deberán mantener los índices de solvencia</w:t>
      </w:r>
      <w:r>
        <w:rPr>
          <w:rFonts w:eastAsia="Times New Roman"/>
          <w:sz w:val="30"/>
          <w:szCs w:val="30"/>
          <w:lang w:val="es-ES"/>
        </w:rPr>
        <w:t xml:space="preserve"> y prudencia financiera que permitan cumplir sus obligaciones y mantener sus actividades de acuerdo con las regulaciones que dicte la Junta de Política y Regulación Monetaria y Financiera, considerando los aspectos determinados en el artículo 449.</w:t>
      </w:r>
    </w:p>
    <w:p w:rsidR="00000000" w:rsidRDefault="0018461E">
      <w:pPr>
        <w:divId w:val="1478719235"/>
        <w:rPr>
          <w:rFonts w:eastAsia="Times New Roman"/>
          <w:sz w:val="30"/>
          <w:szCs w:val="30"/>
          <w:lang w:val="es-ES"/>
        </w:rPr>
      </w:pPr>
      <w:r>
        <w:rPr>
          <w:rFonts w:eastAsia="Times New Roman"/>
          <w:sz w:val="30"/>
          <w:szCs w:val="30"/>
          <w:lang w:val="es-ES"/>
        </w:rPr>
        <w:t>Art. 467</w:t>
      </w:r>
      <w:r>
        <w:rPr>
          <w:rFonts w:eastAsia="Times New Roman"/>
          <w:sz w:val="30"/>
          <w:szCs w:val="30"/>
          <w:lang w:val="es-ES"/>
        </w:rPr>
        <w:t xml:space="preserve">.- </w:t>
      </w:r>
      <w:r>
        <w:rPr>
          <w:rFonts w:eastAsia="Times New Roman"/>
          <w:b/>
          <w:bCs/>
          <w:sz w:val="30"/>
          <w:szCs w:val="30"/>
          <w:lang w:val="es-ES"/>
        </w:rPr>
        <w:t xml:space="preserve">Seguro de Depósito, Fondo de Liquidez y Fondo de Seguros Privados. </w:t>
      </w:r>
      <w:r>
        <w:rPr>
          <w:rFonts w:eastAsia="Times New Roman"/>
          <w:sz w:val="30"/>
          <w:szCs w:val="30"/>
          <w:lang w:val="es-ES"/>
        </w:rPr>
        <w:t xml:space="preserve">Las asociaciones mutualistas de ahorro y crédito para la vivienda accederán al seguro de depósitos, Fondo de Liquidez y Fondo de Seguros Privados conforme a las disposiciones del Título </w:t>
      </w:r>
      <w:r>
        <w:rPr>
          <w:rFonts w:eastAsia="Times New Roman"/>
          <w:sz w:val="30"/>
          <w:szCs w:val="30"/>
          <w:lang w:val="es-ES"/>
        </w:rPr>
        <w:t>II, Capítulo 3, Sección 15.</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 LAS CAJAS CENTRALES</w:t>
      </w:r>
    </w:p>
    <w:p w:rsidR="00000000" w:rsidRDefault="0018461E">
      <w:pPr>
        <w:divId w:val="1488748400"/>
        <w:rPr>
          <w:rFonts w:eastAsia="Times New Roman"/>
          <w:sz w:val="30"/>
          <w:szCs w:val="30"/>
          <w:lang w:val="es-ES"/>
        </w:rPr>
      </w:pPr>
      <w:r>
        <w:rPr>
          <w:rFonts w:eastAsia="Times New Roman"/>
          <w:sz w:val="30"/>
          <w:szCs w:val="30"/>
          <w:lang w:val="es-ES"/>
        </w:rPr>
        <w:t xml:space="preserve">Art. 468.- </w:t>
      </w:r>
      <w:r>
        <w:rPr>
          <w:rFonts w:eastAsia="Times New Roman"/>
          <w:b/>
          <w:bCs/>
          <w:sz w:val="30"/>
          <w:szCs w:val="30"/>
          <w:lang w:val="es-ES"/>
        </w:rPr>
        <w:t xml:space="preserve">Cajas Centrales. </w:t>
      </w:r>
      <w:r>
        <w:rPr>
          <w:rFonts w:eastAsia="Times New Roman"/>
          <w:sz w:val="30"/>
          <w:szCs w:val="30"/>
          <w:lang w:val="es-ES"/>
        </w:rPr>
        <w:t>Las Cajas Centrales son entidades que integran el sector financiero popular y solidario, que se constituyen con, por lo menos, veinte cooperativas de ahorro y crédit</w:t>
      </w:r>
      <w:r>
        <w:rPr>
          <w:rFonts w:eastAsia="Times New Roman"/>
          <w:sz w:val="30"/>
          <w:szCs w:val="30"/>
          <w:lang w:val="es-ES"/>
        </w:rPr>
        <w:t>o o mutualistas de ahorro y crédito para la vivienda.</w:t>
      </w:r>
      <w:r>
        <w:rPr>
          <w:rFonts w:eastAsia="Times New Roman"/>
          <w:sz w:val="30"/>
          <w:szCs w:val="30"/>
          <w:lang w:val="es-ES"/>
        </w:rPr>
        <w:br/>
      </w:r>
      <w:r>
        <w:rPr>
          <w:rFonts w:eastAsia="Times New Roman"/>
          <w:sz w:val="30"/>
          <w:szCs w:val="30"/>
          <w:lang w:val="es-ES"/>
        </w:rPr>
        <w:br/>
        <w:t>Las cajas centrales debidamente autorizadas por la superintendencia podrán realizar operaciones financieras de segundo piso, con cooperativas de ahorro y crédito y mutualistas de ahorro y crédito.</w:t>
      </w:r>
    </w:p>
    <w:p w:rsidR="00000000" w:rsidRDefault="0018461E">
      <w:pPr>
        <w:divId w:val="631980516"/>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469.- </w:t>
      </w:r>
      <w:r>
        <w:rPr>
          <w:rFonts w:eastAsia="Times New Roman"/>
          <w:b/>
          <w:bCs/>
          <w:sz w:val="30"/>
          <w:szCs w:val="30"/>
          <w:lang w:val="es-ES"/>
        </w:rPr>
        <w:t xml:space="preserve">Constitución y vida jurídica. </w:t>
      </w:r>
      <w:r>
        <w:rPr>
          <w:rFonts w:eastAsia="Times New Roman"/>
          <w:sz w:val="30"/>
          <w:szCs w:val="30"/>
          <w:lang w:val="es-ES"/>
        </w:rPr>
        <w:t>Las Cajas Centrales, en lo relacionado con su constitución y estructura interna se regirán por las disposiciones establecidas en la Ley Orgánica de la Economía Popular y Solidaria y su Reglamento.</w:t>
      </w:r>
    </w:p>
    <w:p w:rsidR="00000000" w:rsidRDefault="0018461E">
      <w:pPr>
        <w:divId w:val="1388456334"/>
        <w:rPr>
          <w:rFonts w:eastAsia="Times New Roman"/>
          <w:sz w:val="30"/>
          <w:szCs w:val="30"/>
          <w:lang w:val="es-ES"/>
        </w:rPr>
      </w:pPr>
      <w:r>
        <w:rPr>
          <w:rFonts w:eastAsia="Times New Roman"/>
          <w:sz w:val="30"/>
          <w:szCs w:val="30"/>
          <w:lang w:val="es-ES"/>
        </w:rPr>
        <w:t xml:space="preserve">Art. 470.- </w:t>
      </w:r>
      <w:r>
        <w:rPr>
          <w:rFonts w:eastAsia="Times New Roman"/>
          <w:b/>
          <w:bCs/>
          <w:sz w:val="30"/>
          <w:szCs w:val="30"/>
          <w:lang w:val="es-ES"/>
        </w:rPr>
        <w:t>Actividades</w:t>
      </w:r>
      <w:r>
        <w:rPr>
          <w:rFonts w:eastAsia="Times New Roman"/>
          <w:b/>
          <w:bCs/>
          <w:sz w:val="30"/>
          <w:szCs w:val="30"/>
          <w:lang w:val="es-ES"/>
        </w:rPr>
        <w:t xml:space="preserve">. </w:t>
      </w:r>
      <w:r>
        <w:rPr>
          <w:rFonts w:eastAsia="Times New Roman"/>
          <w:sz w:val="30"/>
          <w:szCs w:val="30"/>
          <w:lang w:val="es-ES"/>
        </w:rPr>
        <w:t xml:space="preserve">Las Cajas Centrales previa autorización de la Superintendencia de Economía Popular y Solidaria podrán efectuar con las cooperativas de ahorro y crédito y con las mutualistas de ahorro y crédito, las actividades descritas en el artículo 194 y, </w:t>
      </w:r>
      <w:r>
        <w:rPr>
          <w:rFonts w:eastAsia="Times New Roman"/>
          <w:sz w:val="30"/>
          <w:szCs w:val="30"/>
          <w:lang w:val="es-ES"/>
        </w:rPr>
        <w:lastRenderedPageBreak/>
        <w:t>adicionalme</w:t>
      </w:r>
      <w:r>
        <w:rPr>
          <w:rFonts w:eastAsia="Times New Roman"/>
          <w:sz w:val="30"/>
          <w:szCs w:val="30"/>
          <w:lang w:val="es-ES"/>
        </w:rPr>
        <w:t>nte, las siguientes:</w:t>
      </w:r>
      <w:r>
        <w:rPr>
          <w:rFonts w:eastAsia="Times New Roman"/>
          <w:sz w:val="30"/>
          <w:szCs w:val="30"/>
          <w:lang w:val="es-ES"/>
        </w:rPr>
        <w:br/>
      </w:r>
      <w:r>
        <w:rPr>
          <w:rFonts w:eastAsia="Times New Roman"/>
          <w:sz w:val="30"/>
          <w:szCs w:val="30"/>
          <w:lang w:val="es-ES"/>
        </w:rPr>
        <w:br/>
        <w:t>1. Desarrollar redes de servicios financieros entre sus afiliadas, tales como ventanillas compartidas, transferencias de fondos, remesas, pagos de servicios, entre otros;</w:t>
      </w:r>
      <w:r>
        <w:rPr>
          <w:rFonts w:eastAsia="Times New Roman"/>
          <w:sz w:val="30"/>
          <w:szCs w:val="30"/>
          <w:lang w:val="es-ES"/>
        </w:rPr>
        <w:br/>
      </w:r>
      <w:r>
        <w:rPr>
          <w:rFonts w:eastAsia="Times New Roman"/>
          <w:sz w:val="30"/>
          <w:szCs w:val="30"/>
          <w:lang w:val="es-ES"/>
        </w:rPr>
        <w:br/>
        <w:t xml:space="preserve">2. Funcionar como cámara de compensación entre sus afiliadas, </w:t>
      </w:r>
      <w:r>
        <w:rPr>
          <w:rFonts w:eastAsia="Times New Roman"/>
          <w:sz w:val="30"/>
          <w:szCs w:val="30"/>
          <w:lang w:val="es-ES"/>
        </w:rPr>
        <w:t>previa autorización del Banco Central del Ecuador, de acuerdo a lo establecido en este Código;</w:t>
      </w:r>
      <w:r>
        <w:rPr>
          <w:rFonts w:eastAsia="Times New Roman"/>
          <w:sz w:val="30"/>
          <w:szCs w:val="30"/>
          <w:lang w:val="es-ES"/>
        </w:rPr>
        <w:br/>
      </w:r>
      <w:r>
        <w:rPr>
          <w:rFonts w:eastAsia="Times New Roman"/>
          <w:sz w:val="30"/>
          <w:szCs w:val="30"/>
          <w:lang w:val="es-ES"/>
        </w:rPr>
        <w:br/>
        <w:t>3. Canalizar e intermediar recursos destinados al desarrollo del Sector Financiero Popular y Solidario;</w:t>
      </w:r>
      <w:r>
        <w:rPr>
          <w:rFonts w:eastAsia="Times New Roman"/>
          <w:sz w:val="30"/>
          <w:szCs w:val="30"/>
          <w:lang w:val="es-ES"/>
        </w:rPr>
        <w:br/>
      </w:r>
      <w:r>
        <w:rPr>
          <w:rFonts w:eastAsia="Times New Roman"/>
          <w:sz w:val="30"/>
          <w:szCs w:val="30"/>
          <w:lang w:val="es-ES"/>
        </w:rPr>
        <w:br/>
        <w:t>4. Administración del portafolio de inversiones, cuando</w:t>
      </w:r>
      <w:r>
        <w:rPr>
          <w:rFonts w:eastAsia="Times New Roman"/>
          <w:sz w:val="30"/>
          <w:szCs w:val="30"/>
          <w:lang w:val="es-ES"/>
        </w:rPr>
        <w:t xml:space="preserve"> se trate de títulos valores emitidos por el ente rector de las finanzas públicas y el Banco Central del Ecuador; y,</w:t>
      </w:r>
      <w:r>
        <w:rPr>
          <w:rFonts w:eastAsia="Times New Roman"/>
          <w:sz w:val="30"/>
          <w:szCs w:val="30"/>
          <w:lang w:val="es-ES"/>
        </w:rPr>
        <w:br/>
      </w:r>
      <w:r>
        <w:rPr>
          <w:rFonts w:eastAsia="Times New Roman"/>
          <w:sz w:val="30"/>
          <w:szCs w:val="30"/>
          <w:lang w:val="es-ES"/>
        </w:rPr>
        <w:br/>
        <w:t>5. Estructuración de productos de gestión de riesgo financiero.</w:t>
      </w:r>
    </w:p>
    <w:p w:rsidR="00000000" w:rsidRDefault="0018461E">
      <w:pPr>
        <w:divId w:val="989359762"/>
        <w:rPr>
          <w:rFonts w:eastAsia="Times New Roman"/>
          <w:sz w:val="30"/>
          <w:szCs w:val="30"/>
          <w:lang w:val="es-ES"/>
        </w:rPr>
      </w:pPr>
      <w:r>
        <w:rPr>
          <w:rFonts w:eastAsia="Times New Roman"/>
          <w:sz w:val="30"/>
          <w:szCs w:val="30"/>
          <w:lang w:val="es-ES"/>
        </w:rPr>
        <w:t xml:space="preserve">Art. 471.- </w:t>
      </w:r>
      <w:r>
        <w:rPr>
          <w:rFonts w:eastAsia="Times New Roman"/>
          <w:b/>
          <w:bCs/>
          <w:sz w:val="30"/>
          <w:szCs w:val="30"/>
          <w:lang w:val="es-ES"/>
        </w:rPr>
        <w:t xml:space="preserve">Aportes obligatorios. </w:t>
      </w:r>
      <w:r>
        <w:rPr>
          <w:rFonts w:eastAsia="Times New Roman"/>
          <w:sz w:val="30"/>
          <w:szCs w:val="30"/>
          <w:lang w:val="es-ES"/>
        </w:rPr>
        <w:t>Las entidades socias de las Cajas Central</w:t>
      </w:r>
      <w:r>
        <w:rPr>
          <w:rFonts w:eastAsia="Times New Roman"/>
          <w:sz w:val="30"/>
          <w:szCs w:val="30"/>
          <w:lang w:val="es-ES"/>
        </w:rPr>
        <w:t>es deberán mantener en todo tiempo un monto de certificados de aportación acorde con la regulación que para el efecto emita la Junta.</w:t>
      </w:r>
    </w:p>
    <w:p w:rsidR="00000000" w:rsidRDefault="0018461E">
      <w:pPr>
        <w:divId w:val="305086083"/>
        <w:rPr>
          <w:rFonts w:eastAsia="Times New Roman"/>
          <w:sz w:val="30"/>
          <w:szCs w:val="30"/>
          <w:lang w:val="es-ES"/>
        </w:rPr>
      </w:pPr>
      <w:r>
        <w:rPr>
          <w:rFonts w:eastAsia="Times New Roman"/>
          <w:sz w:val="30"/>
          <w:szCs w:val="30"/>
          <w:lang w:val="es-ES"/>
        </w:rPr>
        <w:t xml:space="preserve">Art. 472.- </w:t>
      </w:r>
      <w:r>
        <w:rPr>
          <w:rFonts w:eastAsia="Times New Roman"/>
          <w:b/>
          <w:bCs/>
          <w:sz w:val="30"/>
          <w:szCs w:val="30"/>
          <w:lang w:val="es-ES"/>
        </w:rPr>
        <w:t xml:space="preserve">Regulación diferenciada para aportes de las cajas centrales. </w:t>
      </w:r>
      <w:r>
        <w:rPr>
          <w:rFonts w:eastAsia="Times New Roman"/>
          <w:sz w:val="30"/>
          <w:szCs w:val="30"/>
          <w:lang w:val="es-ES"/>
        </w:rPr>
        <w:t>Las Cajas Centrales aportarán al fondo de liquidez</w:t>
      </w:r>
      <w:r>
        <w:rPr>
          <w:rFonts w:eastAsia="Times New Roman"/>
          <w:sz w:val="30"/>
          <w:szCs w:val="30"/>
          <w:lang w:val="es-ES"/>
        </w:rPr>
        <w:t xml:space="preserve"> de conformidad con las normas específicas que al efecto dicte la Junta. No le son aplicables a estas entidades los cupos de crédito establecidos en el artículo 450, ni los criterios de vinculación.</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LOS SERVICIOS AUXILIARES</w:t>
      </w:r>
    </w:p>
    <w:p w:rsidR="00000000" w:rsidRDefault="0018461E">
      <w:pPr>
        <w:divId w:val="998113946"/>
        <w:rPr>
          <w:rFonts w:eastAsia="Times New Roman"/>
          <w:sz w:val="30"/>
          <w:szCs w:val="30"/>
          <w:lang w:val="es-ES"/>
        </w:rPr>
      </w:pPr>
      <w:r>
        <w:rPr>
          <w:rFonts w:eastAsia="Times New Roman"/>
          <w:sz w:val="30"/>
          <w:szCs w:val="30"/>
          <w:lang w:val="es-ES"/>
        </w:rPr>
        <w:t xml:space="preserve">Art. 473.- </w:t>
      </w:r>
      <w:r>
        <w:rPr>
          <w:rFonts w:eastAsia="Times New Roman"/>
          <w:b/>
          <w:bCs/>
          <w:sz w:val="30"/>
          <w:szCs w:val="30"/>
          <w:lang w:val="es-ES"/>
        </w:rPr>
        <w:t xml:space="preserve">Servicios auxiliares. </w:t>
      </w:r>
      <w:r>
        <w:rPr>
          <w:rFonts w:eastAsia="Times New Roman"/>
          <w:sz w:val="30"/>
          <w:szCs w:val="30"/>
          <w:lang w:val="es-ES"/>
        </w:rPr>
        <w:t>Las entidades del sector financiero popular y solidario podrán invertir en entidades de servicios auxiliares del sistema financiero nacional. Estas entidades se regirán por las disposiciones contenidas en el Titulo 2, Capítulo 5, Secc</w:t>
      </w:r>
      <w:r>
        <w:rPr>
          <w:rFonts w:eastAsia="Times New Roman"/>
          <w:sz w:val="30"/>
          <w:szCs w:val="30"/>
          <w:lang w:val="es-ES"/>
        </w:rPr>
        <w:t>ión 11.</w:t>
      </w:r>
      <w:r>
        <w:rPr>
          <w:rFonts w:eastAsia="Times New Roman"/>
          <w:sz w:val="30"/>
          <w:szCs w:val="30"/>
          <w:lang w:val="es-ES"/>
        </w:rPr>
        <w:br/>
      </w:r>
      <w:r>
        <w:rPr>
          <w:rFonts w:eastAsia="Times New Roman"/>
          <w:sz w:val="30"/>
          <w:szCs w:val="30"/>
          <w:lang w:val="es-ES"/>
        </w:rPr>
        <w:br/>
        <w:t xml:space="preserve">Asimismo, las entidades del sector financiero popular y solidario podrán constituir organizaciones de la economía popular y solidaria cuyo objeto sea la prestación de servicios auxiliares que se regirán por </w:t>
      </w:r>
      <w:r>
        <w:rPr>
          <w:rFonts w:eastAsia="Times New Roman"/>
          <w:sz w:val="30"/>
          <w:szCs w:val="30"/>
          <w:lang w:val="es-ES"/>
        </w:rPr>
        <w:lastRenderedPageBreak/>
        <w:t xml:space="preserve">las disposiciones de la Ley Orgánica de </w:t>
      </w:r>
      <w:r>
        <w:rPr>
          <w:rFonts w:eastAsia="Times New Roman"/>
          <w:sz w:val="30"/>
          <w:szCs w:val="30"/>
          <w:lang w:val="es-ES"/>
        </w:rPr>
        <w:t>la Economía Popular y Solidaria.</w:t>
      </w:r>
    </w:p>
    <w:p w:rsidR="00000000" w:rsidRDefault="0018461E">
      <w:pPr>
        <w:divId w:val="1301107888"/>
        <w:rPr>
          <w:rFonts w:eastAsia="Times New Roman"/>
          <w:sz w:val="30"/>
          <w:szCs w:val="30"/>
          <w:lang w:val="es-ES"/>
        </w:rPr>
      </w:pPr>
      <w:r>
        <w:rPr>
          <w:rFonts w:eastAsia="Times New Roman"/>
          <w:sz w:val="30"/>
          <w:szCs w:val="30"/>
          <w:lang w:val="es-ES"/>
        </w:rPr>
        <w:t xml:space="preserve">Art. 474.- </w:t>
      </w:r>
      <w:r>
        <w:rPr>
          <w:rFonts w:eastAsia="Times New Roman"/>
          <w:b/>
          <w:bCs/>
          <w:sz w:val="30"/>
          <w:szCs w:val="30"/>
          <w:lang w:val="es-ES"/>
        </w:rPr>
        <w:t xml:space="preserve">Calificación. </w:t>
      </w:r>
      <w:r>
        <w:rPr>
          <w:rFonts w:eastAsia="Times New Roman"/>
          <w:sz w:val="30"/>
          <w:szCs w:val="30"/>
          <w:lang w:val="es-ES"/>
        </w:rPr>
        <w:t>Las entidades de servicios auxiliares constituidas de acuerdo con el artículo precedente, para poder operar, deberán calificarse previamente ante la Superintendencia de Economía Popular y Solidaria,</w:t>
      </w:r>
      <w:r>
        <w:rPr>
          <w:rFonts w:eastAsia="Times New Roman"/>
          <w:sz w:val="30"/>
          <w:szCs w:val="30"/>
          <w:lang w:val="es-ES"/>
        </w:rPr>
        <w:t xml:space="preserve"> la que como parte de la calificación podrá disponer la reforma del estatuto social y el incremento del capital, con el propósito de asegurar su solvencia.</w:t>
      </w:r>
      <w:r>
        <w:rPr>
          <w:rFonts w:eastAsia="Times New Roman"/>
          <w:sz w:val="30"/>
          <w:szCs w:val="30"/>
          <w:lang w:val="es-ES"/>
        </w:rPr>
        <w:br/>
      </w:r>
      <w:r>
        <w:rPr>
          <w:rFonts w:eastAsia="Times New Roman"/>
          <w:sz w:val="30"/>
          <w:szCs w:val="30"/>
          <w:lang w:val="es-ES"/>
        </w:rPr>
        <w:br/>
        <w:t>El capital de estas compañías deberá guardar directa proporción con el volumen o monto de sus opera</w:t>
      </w:r>
      <w:r>
        <w:rPr>
          <w:rFonts w:eastAsia="Times New Roman"/>
          <w:sz w:val="30"/>
          <w:szCs w:val="30"/>
          <w:lang w:val="es-ES"/>
        </w:rPr>
        <w:t>ciones.</w:t>
      </w:r>
    </w:p>
    <w:p w:rsidR="00000000" w:rsidRDefault="0018461E">
      <w:pPr>
        <w:divId w:val="2077433357"/>
        <w:rPr>
          <w:rFonts w:eastAsia="Times New Roman"/>
          <w:sz w:val="30"/>
          <w:szCs w:val="30"/>
          <w:lang w:val="es-ES"/>
        </w:rPr>
      </w:pPr>
      <w:r>
        <w:rPr>
          <w:rFonts w:eastAsia="Times New Roman"/>
          <w:sz w:val="30"/>
          <w:szCs w:val="30"/>
          <w:lang w:val="es-ES"/>
        </w:rPr>
        <w:t xml:space="preserve">Art. 475.- </w:t>
      </w:r>
      <w:r>
        <w:rPr>
          <w:rFonts w:eastAsia="Times New Roman"/>
          <w:b/>
          <w:bCs/>
          <w:sz w:val="30"/>
          <w:szCs w:val="30"/>
          <w:lang w:val="es-ES"/>
        </w:rPr>
        <w:t xml:space="preserve">Prohibición de inversión. </w:t>
      </w:r>
      <w:r>
        <w:rPr>
          <w:rFonts w:eastAsia="Times New Roman"/>
          <w:sz w:val="30"/>
          <w:szCs w:val="30"/>
          <w:lang w:val="es-ES"/>
        </w:rPr>
        <w:t>Las compañías de servicios auxiliares del sistema financiero, cuyos accionistas sean entidades financieras populares y solidarias, y las organizaciones de la economía popular y solidaria cuyo objeto sea la prest</w:t>
      </w:r>
      <w:r>
        <w:rPr>
          <w:rFonts w:eastAsia="Times New Roman"/>
          <w:sz w:val="30"/>
          <w:szCs w:val="30"/>
          <w:lang w:val="es-ES"/>
        </w:rPr>
        <w:t>ación de servicios auxiliares, no podrán invertir en el capital de otra persona jurídica, pertenezca o no al sistema financiero nacional. La inobservancia de esta prohibición será sancionada por los respectivos organismos de control como infracción muy gra</w:t>
      </w:r>
      <w:r>
        <w:rPr>
          <w:rFonts w:eastAsia="Times New Roman"/>
          <w:sz w:val="30"/>
          <w:szCs w:val="30"/>
          <w:lang w:val="es-ES"/>
        </w:rPr>
        <w:t>ve, sin perjuicio de su desinversión.</w:t>
      </w:r>
    </w:p>
    <w:p w:rsidR="00000000" w:rsidRDefault="0018461E">
      <w:pPr>
        <w:divId w:val="1632710960"/>
        <w:rPr>
          <w:rFonts w:eastAsia="Times New Roman"/>
          <w:sz w:val="30"/>
          <w:szCs w:val="30"/>
          <w:lang w:val="es-ES"/>
        </w:rPr>
      </w:pPr>
      <w:r>
        <w:rPr>
          <w:rFonts w:eastAsia="Times New Roman"/>
          <w:sz w:val="30"/>
          <w:szCs w:val="30"/>
          <w:lang w:val="es-ES"/>
        </w:rPr>
        <w:t xml:space="preserve">Art. 476.- </w:t>
      </w:r>
      <w:r>
        <w:rPr>
          <w:rFonts w:eastAsia="Times New Roman"/>
          <w:b/>
          <w:bCs/>
          <w:sz w:val="30"/>
          <w:szCs w:val="30"/>
          <w:lang w:val="es-ES"/>
        </w:rPr>
        <w:t xml:space="preserve">Control. </w:t>
      </w:r>
      <w:r>
        <w:rPr>
          <w:rFonts w:eastAsia="Times New Roman"/>
          <w:sz w:val="30"/>
          <w:szCs w:val="30"/>
          <w:lang w:val="es-ES"/>
        </w:rPr>
        <w:t xml:space="preserve">El control societario de las entidades de servicios auxiliares del sistema financiero a las que se refiere esta sección estará a cargo de la Superintendencia de Compañías, Valores y Seguros y de la </w:t>
      </w:r>
      <w:r>
        <w:rPr>
          <w:rFonts w:eastAsia="Times New Roman"/>
          <w:sz w:val="30"/>
          <w:szCs w:val="30"/>
          <w:lang w:val="es-ES"/>
        </w:rPr>
        <w:t xml:space="preserve">Superintendencia de Economía Popular y Solidaria, según el caso. Los servicios auxiliares a las actividades financieras del sector financiero popular y solidario serán controlados por la Superintendencia de Economía Popular y Solidaria, de acuerdo con las </w:t>
      </w:r>
      <w:r>
        <w:rPr>
          <w:rFonts w:eastAsia="Times New Roman"/>
          <w:sz w:val="30"/>
          <w:szCs w:val="30"/>
          <w:lang w:val="es-ES"/>
        </w:rPr>
        <w:t>normas que expida para el efecto.</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7 </w:t>
      </w:r>
      <w:r>
        <w:rPr>
          <w:rFonts w:eastAsia="Times New Roman"/>
          <w:b/>
          <w:bCs/>
          <w:sz w:val="36"/>
          <w:szCs w:val="36"/>
          <w:lang w:val="es-ES"/>
        </w:rPr>
        <w:br/>
        <w:t>NORMAS DE CARÁCTER GENERAL</w:t>
      </w:r>
    </w:p>
    <w:p w:rsidR="00000000" w:rsidRDefault="0018461E">
      <w:pPr>
        <w:divId w:val="121463327"/>
        <w:rPr>
          <w:rFonts w:eastAsia="Times New Roman"/>
          <w:sz w:val="30"/>
          <w:szCs w:val="30"/>
          <w:lang w:val="es-ES"/>
        </w:rPr>
      </w:pPr>
      <w:r>
        <w:rPr>
          <w:rFonts w:eastAsia="Times New Roman"/>
          <w:b/>
          <w:bCs/>
          <w:sz w:val="30"/>
          <w:szCs w:val="30"/>
          <w:lang w:val="es-ES"/>
        </w:rPr>
        <w:t xml:space="preserve">Art. 477.- </w:t>
      </w:r>
      <w:r>
        <w:rPr>
          <w:rFonts w:eastAsia="Times New Roman"/>
          <w:sz w:val="30"/>
          <w:szCs w:val="30"/>
          <w:lang w:val="es-ES"/>
        </w:rPr>
        <w:t>La Junta de Política y Regulación Monetaria y Financiera y los organismos de control, en los ámbitos de sus funciones, expedirán las normas necesarias para instrumentar la</w:t>
      </w:r>
      <w:r>
        <w:rPr>
          <w:rFonts w:eastAsia="Times New Roman"/>
          <w:sz w:val="30"/>
          <w:szCs w:val="30"/>
          <w:lang w:val="es-ES"/>
        </w:rPr>
        <w:t>s disposiciones de este título.</w:t>
      </w:r>
    </w:p>
    <w:p w:rsidR="00000000" w:rsidRDefault="0018461E">
      <w:pPr>
        <w:jc w:val="center"/>
        <w:rPr>
          <w:rFonts w:eastAsia="Times New Roman"/>
          <w:sz w:val="36"/>
          <w:szCs w:val="36"/>
          <w:lang w:val="es-ES"/>
        </w:rPr>
      </w:pPr>
      <w:r>
        <w:rPr>
          <w:rFonts w:eastAsia="Times New Roman"/>
          <w:b/>
          <w:bCs/>
          <w:sz w:val="36"/>
          <w:szCs w:val="36"/>
          <w:lang w:val="es-ES"/>
        </w:rPr>
        <w:br/>
        <w:t xml:space="preserve">Título III </w:t>
      </w:r>
      <w:r>
        <w:rPr>
          <w:rFonts w:eastAsia="Times New Roman"/>
          <w:b/>
          <w:bCs/>
          <w:sz w:val="36"/>
          <w:szCs w:val="36"/>
          <w:lang w:val="es-ES"/>
        </w:rPr>
        <w:br/>
        <w:t>DISPOSICIONES AFINES</w:t>
      </w:r>
    </w:p>
    <w:p w:rsidR="00000000" w:rsidRDefault="0018461E">
      <w:pPr>
        <w:jc w:val="center"/>
        <w:rPr>
          <w:rFonts w:eastAsia="Times New Roman"/>
          <w:sz w:val="36"/>
          <w:szCs w:val="36"/>
          <w:lang w:val="es-ES"/>
        </w:rPr>
      </w:pPr>
      <w:r>
        <w:rPr>
          <w:rFonts w:eastAsia="Times New Roman"/>
          <w:b/>
          <w:bCs/>
          <w:sz w:val="36"/>
          <w:szCs w:val="36"/>
          <w:lang w:val="es-ES"/>
        </w:rPr>
        <w:lastRenderedPageBreak/>
        <w:br/>
        <w:t xml:space="preserve">Capítulo 1 </w:t>
      </w:r>
      <w:r>
        <w:rPr>
          <w:rFonts w:eastAsia="Times New Roman"/>
          <w:b/>
          <w:bCs/>
          <w:sz w:val="36"/>
          <w:szCs w:val="36"/>
          <w:lang w:val="es-ES"/>
        </w:rPr>
        <w:br/>
        <w:t>DE LOS CHEQUES</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1 </w:t>
      </w:r>
      <w:r>
        <w:rPr>
          <w:rFonts w:eastAsia="Times New Roman"/>
          <w:b/>
          <w:bCs/>
          <w:sz w:val="36"/>
          <w:szCs w:val="36"/>
          <w:lang w:val="es-ES"/>
        </w:rPr>
        <w:br/>
        <w:t>DE LA EMISIÓN Y DE LA FORMA</w:t>
      </w:r>
    </w:p>
    <w:p w:rsidR="00000000" w:rsidRDefault="0018461E">
      <w:pPr>
        <w:divId w:val="1603488070"/>
        <w:rPr>
          <w:rFonts w:eastAsia="Times New Roman"/>
          <w:sz w:val="30"/>
          <w:szCs w:val="30"/>
          <w:lang w:val="es-ES"/>
        </w:rPr>
      </w:pPr>
      <w:r>
        <w:rPr>
          <w:rFonts w:eastAsia="Times New Roman"/>
          <w:sz w:val="30"/>
          <w:szCs w:val="30"/>
          <w:lang w:val="es-ES"/>
        </w:rPr>
        <w:t xml:space="preserve">Art. 478.- </w:t>
      </w:r>
      <w:r>
        <w:rPr>
          <w:rFonts w:eastAsia="Times New Roman"/>
          <w:b/>
          <w:bCs/>
          <w:sz w:val="30"/>
          <w:szCs w:val="30"/>
          <w:lang w:val="es-ES"/>
        </w:rPr>
        <w:t xml:space="preserve">Cheque. </w:t>
      </w:r>
      <w:r>
        <w:rPr>
          <w:rFonts w:eastAsia="Times New Roman"/>
          <w:sz w:val="30"/>
          <w:szCs w:val="30"/>
          <w:lang w:val="es-ES"/>
        </w:rPr>
        <w:t xml:space="preserve">Es un medio de pago escrito mediante el cual una persona llamada girador, con cargo a los depósitos que mantenga en una cuenta de la que es titular en una entidad financiera, ordena a dicha entidad, denominada girado, que pague una determinada cantidad de </w:t>
      </w:r>
      <w:r>
        <w:rPr>
          <w:rFonts w:eastAsia="Times New Roman"/>
          <w:sz w:val="30"/>
          <w:szCs w:val="30"/>
          <w:lang w:val="es-ES"/>
        </w:rPr>
        <w:t>dinero a otra persona llamada beneficiario.</w:t>
      </w:r>
      <w:r>
        <w:rPr>
          <w:rFonts w:eastAsia="Times New Roman"/>
          <w:sz w:val="30"/>
          <w:szCs w:val="30"/>
          <w:lang w:val="es-ES"/>
        </w:rPr>
        <w:br/>
      </w:r>
      <w:r>
        <w:rPr>
          <w:rFonts w:eastAsia="Times New Roman"/>
          <w:sz w:val="30"/>
          <w:szCs w:val="30"/>
          <w:lang w:val="es-ES"/>
        </w:rPr>
        <w:br/>
        <w:t>El cheque librado, de acuerdo con lo dispuesto en este Código, tiene valor probatorio.</w:t>
      </w:r>
    </w:p>
    <w:p w:rsidR="00000000" w:rsidRDefault="0018461E">
      <w:pPr>
        <w:divId w:val="227889525"/>
        <w:rPr>
          <w:rFonts w:eastAsia="Times New Roman"/>
          <w:sz w:val="30"/>
          <w:szCs w:val="30"/>
          <w:lang w:val="es-ES"/>
        </w:rPr>
      </w:pPr>
      <w:r>
        <w:rPr>
          <w:rFonts w:eastAsia="Times New Roman"/>
          <w:sz w:val="30"/>
          <w:szCs w:val="30"/>
          <w:lang w:val="es-ES"/>
        </w:rPr>
        <w:t xml:space="preserve">Art. 479.- </w:t>
      </w:r>
      <w:r>
        <w:rPr>
          <w:rFonts w:eastAsia="Times New Roman"/>
          <w:b/>
          <w:bCs/>
          <w:sz w:val="30"/>
          <w:szCs w:val="30"/>
          <w:lang w:val="es-ES"/>
        </w:rPr>
        <w:t xml:space="preserve">Contenido y validez del cheque. </w:t>
      </w:r>
      <w:r>
        <w:rPr>
          <w:rFonts w:eastAsia="Times New Roman"/>
          <w:sz w:val="30"/>
          <w:szCs w:val="30"/>
          <w:lang w:val="es-ES"/>
        </w:rPr>
        <w:t>El cheque deberá contener:</w:t>
      </w:r>
      <w:r>
        <w:rPr>
          <w:rFonts w:eastAsia="Times New Roman"/>
          <w:sz w:val="30"/>
          <w:szCs w:val="30"/>
          <w:lang w:val="es-ES"/>
        </w:rPr>
        <w:br/>
      </w:r>
      <w:r>
        <w:rPr>
          <w:rFonts w:eastAsia="Times New Roman"/>
          <w:sz w:val="30"/>
          <w:szCs w:val="30"/>
          <w:lang w:val="es-ES"/>
        </w:rPr>
        <w:br/>
        <w:t>1. La denominación de cheque, inserta en el texto del</w:t>
      </w:r>
      <w:r>
        <w:rPr>
          <w:rFonts w:eastAsia="Times New Roman"/>
          <w:sz w:val="30"/>
          <w:szCs w:val="30"/>
          <w:lang w:val="es-ES"/>
        </w:rPr>
        <w:t xml:space="preserve"> documento y expresada en el idioma empleado para su redacción;</w:t>
      </w:r>
      <w:r>
        <w:rPr>
          <w:rFonts w:eastAsia="Times New Roman"/>
          <w:sz w:val="30"/>
          <w:szCs w:val="30"/>
          <w:lang w:val="es-ES"/>
        </w:rPr>
        <w:br/>
      </w:r>
      <w:r>
        <w:rPr>
          <w:rFonts w:eastAsia="Times New Roman"/>
          <w:sz w:val="30"/>
          <w:szCs w:val="30"/>
          <w:lang w:val="es-ES"/>
        </w:rPr>
        <w:br/>
        <w:t>2. El mandato puro y simple de pagar una suma determinada de dinero;</w:t>
      </w:r>
      <w:r>
        <w:rPr>
          <w:rFonts w:eastAsia="Times New Roman"/>
          <w:sz w:val="30"/>
          <w:szCs w:val="30"/>
          <w:lang w:val="es-ES"/>
        </w:rPr>
        <w:br/>
      </w:r>
      <w:r>
        <w:rPr>
          <w:rFonts w:eastAsia="Times New Roman"/>
          <w:sz w:val="30"/>
          <w:szCs w:val="30"/>
          <w:lang w:val="es-ES"/>
        </w:rPr>
        <w:br/>
        <w:t>3. El nombre de quien debe pagar o girado;</w:t>
      </w:r>
      <w:r>
        <w:rPr>
          <w:rFonts w:eastAsia="Times New Roman"/>
          <w:sz w:val="30"/>
          <w:szCs w:val="30"/>
          <w:lang w:val="es-ES"/>
        </w:rPr>
        <w:br/>
      </w:r>
      <w:r>
        <w:rPr>
          <w:rFonts w:eastAsia="Times New Roman"/>
          <w:sz w:val="30"/>
          <w:szCs w:val="30"/>
          <w:lang w:val="es-ES"/>
        </w:rPr>
        <w:br/>
        <w:t>4. La indicación de la fecha de pago;</w:t>
      </w:r>
      <w:r>
        <w:rPr>
          <w:rFonts w:eastAsia="Times New Roman"/>
          <w:sz w:val="30"/>
          <w:szCs w:val="30"/>
          <w:lang w:val="es-ES"/>
        </w:rPr>
        <w:br/>
      </w:r>
      <w:r>
        <w:rPr>
          <w:rFonts w:eastAsia="Times New Roman"/>
          <w:sz w:val="30"/>
          <w:szCs w:val="30"/>
          <w:lang w:val="es-ES"/>
        </w:rPr>
        <w:br/>
        <w:t>5. La indicación del lugar de la emisi</w:t>
      </w:r>
      <w:r>
        <w:rPr>
          <w:rFonts w:eastAsia="Times New Roman"/>
          <w:sz w:val="30"/>
          <w:szCs w:val="30"/>
          <w:lang w:val="es-ES"/>
        </w:rPr>
        <w:t>ón del cheque; y,</w:t>
      </w:r>
      <w:r>
        <w:rPr>
          <w:rFonts w:eastAsia="Times New Roman"/>
          <w:sz w:val="30"/>
          <w:szCs w:val="30"/>
          <w:lang w:val="es-ES"/>
        </w:rPr>
        <w:br/>
      </w:r>
      <w:r>
        <w:rPr>
          <w:rFonts w:eastAsia="Times New Roman"/>
          <w:sz w:val="30"/>
          <w:szCs w:val="30"/>
          <w:lang w:val="es-ES"/>
        </w:rPr>
        <w:br/>
        <w:t>6. La firma de quien expide el cheque o girador.</w:t>
      </w:r>
      <w:r>
        <w:rPr>
          <w:rFonts w:eastAsia="Times New Roman"/>
          <w:sz w:val="30"/>
          <w:szCs w:val="30"/>
          <w:lang w:val="es-ES"/>
        </w:rPr>
        <w:br/>
      </w:r>
      <w:r>
        <w:rPr>
          <w:rFonts w:eastAsia="Times New Roman"/>
          <w:sz w:val="30"/>
          <w:szCs w:val="30"/>
          <w:lang w:val="es-ES"/>
        </w:rPr>
        <w:br/>
        <w:t>El cheque en el que falte alguno de los requisitos indicados no tendrá validez como cheque.</w:t>
      </w:r>
    </w:p>
    <w:p w:rsidR="00000000" w:rsidRDefault="0018461E">
      <w:pPr>
        <w:divId w:val="153374185"/>
        <w:rPr>
          <w:rFonts w:eastAsia="Times New Roman"/>
          <w:sz w:val="30"/>
          <w:szCs w:val="30"/>
          <w:lang w:val="es-ES"/>
        </w:rPr>
      </w:pPr>
      <w:r>
        <w:rPr>
          <w:rFonts w:eastAsia="Times New Roman"/>
          <w:sz w:val="30"/>
          <w:szCs w:val="30"/>
          <w:lang w:val="es-ES"/>
        </w:rPr>
        <w:t xml:space="preserve">Art. 480.- </w:t>
      </w:r>
      <w:r>
        <w:rPr>
          <w:rFonts w:eastAsia="Times New Roman"/>
          <w:b/>
          <w:bCs/>
          <w:sz w:val="30"/>
          <w:szCs w:val="30"/>
          <w:lang w:val="es-ES"/>
        </w:rPr>
        <w:t xml:space="preserve">Intereses. </w:t>
      </w:r>
      <w:r>
        <w:rPr>
          <w:rFonts w:eastAsia="Times New Roman"/>
          <w:sz w:val="30"/>
          <w:szCs w:val="30"/>
          <w:lang w:val="es-ES"/>
        </w:rPr>
        <w:t>El importe del cheque no genera intereses, por tanto toda estipulación so</w:t>
      </w:r>
      <w:r>
        <w:rPr>
          <w:rFonts w:eastAsia="Times New Roman"/>
          <w:sz w:val="30"/>
          <w:szCs w:val="30"/>
          <w:lang w:val="es-ES"/>
        </w:rPr>
        <w:t>bre intereses se reputa inexistente.</w:t>
      </w:r>
    </w:p>
    <w:p w:rsidR="00000000" w:rsidRDefault="0018461E">
      <w:pPr>
        <w:divId w:val="79067348"/>
        <w:rPr>
          <w:rFonts w:eastAsia="Times New Roman"/>
          <w:sz w:val="30"/>
          <w:szCs w:val="30"/>
          <w:lang w:val="es-ES"/>
        </w:rPr>
      </w:pPr>
      <w:r>
        <w:rPr>
          <w:rFonts w:eastAsia="Times New Roman"/>
          <w:sz w:val="30"/>
          <w:szCs w:val="30"/>
          <w:lang w:val="es-ES"/>
        </w:rPr>
        <w:t xml:space="preserve">Art. 481.- </w:t>
      </w:r>
      <w:r>
        <w:rPr>
          <w:rFonts w:eastAsia="Times New Roman"/>
          <w:b/>
          <w:bCs/>
          <w:sz w:val="30"/>
          <w:szCs w:val="30"/>
          <w:lang w:val="es-ES"/>
        </w:rPr>
        <w:t xml:space="preserve">Firmas en cheques. </w:t>
      </w:r>
      <w:r>
        <w:rPr>
          <w:rFonts w:eastAsia="Times New Roman"/>
          <w:sz w:val="30"/>
          <w:szCs w:val="30"/>
          <w:lang w:val="es-ES"/>
        </w:rPr>
        <w:t>Cuando un cheque lleve firmas de personas incapaces, firmas falsas, de personas imaginarias o firmas que por cualquier otra razón no pueden obligar a las personas por quienes se haya firmad</w:t>
      </w:r>
      <w:r>
        <w:rPr>
          <w:rFonts w:eastAsia="Times New Roman"/>
          <w:sz w:val="30"/>
          <w:szCs w:val="30"/>
          <w:lang w:val="es-ES"/>
        </w:rPr>
        <w:t xml:space="preserve">o el cheque, o con cuyo nombre aparezca </w:t>
      </w:r>
      <w:r>
        <w:rPr>
          <w:rFonts w:eastAsia="Times New Roman"/>
          <w:sz w:val="30"/>
          <w:szCs w:val="30"/>
          <w:lang w:val="es-ES"/>
        </w:rPr>
        <w:lastRenderedPageBreak/>
        <w:t>firmado, las obligaciones de cualesquiera otros firmantes no dejarán, por eso, de ser válidas.</w:t>
      </w:r>
    </w:p>
    <w:p w:rsidR="00000000" w:rsidRDefault="0018461E">
      <w:pPr>
        <w:divId w:val="333849789"/>
        <w:rPr>
          <w:rFonts w:eastAsia="Times New Roman"/>
          <w:sz w:val="30"/>
          <w:szCs w:val="30"/>
          <w:lang w:val="es-ES"/>
        </w:rPr>
      </w:pPr>
      <w:r>
        <w:rPr>
          <w:rFonts w:eastAsia="Times New Roman"/>
          <w:sz w:val="30"/>
          <w:szCs w:val="30"/>
          <w:lang w:val="es-ES"/>
        </w:rPr>
        <w:t xml:space="preserve">Art. 482.- </w:t>
      </w:r>
      <w:r>
        <w:rPr>
          <w:rFonts w:eastAsia="Times New Roman"/>
          <w:b/>
          <w:bCs/>
          <w:sz w:val="30"/>
          <w:szCs w:val="30"/>
          <w:lang w:val="es-ES"/>
        </w:rPr>
        <w:t xml:space="preserve">Responsabilidad. </w:t>
      </w:r>
      <w:r>
        <w:rPr>
          <w:rFonts w:eastAsia="Times New Roman"/>
          <w:sz w:val="30"/>
          <w:szCs w:val="30"/>
          <w:lang w:val="es-ES"/>
        </w:rPr>
        <w:t>Quien firme un cheque como representante de una persona de la que no tenga poder para actuar,</w:t>
      </w:r>
      <w:r>
        <w:rPr>
          <w:rFonts w:eastAsia="Times New Roman"/>
          <w:sz w:val="30"/>
          <w:szCs w:val="30"/>
          <w:lang w:val="es-ES"/>
        </w:rPr>
        <w:t xml:space="preserve"> se obliga por sí mismo en virtud del cheque, y, si ha pagado, tiene iguales derechos que tendría el supuesto representado. La misma regla se aplica al representante que se ha excedido en sus poderes.</w:t>
      </w:r>
    </w:p>
    <w:p w:rsidR="00000000" w:rsidRDefault="0018461E">
      <w:pPr>
        <w:divId w:val="1826044363"/>
        <w:rPr>
          <w:rFonts w:eastAsia="Times New Roman"/>
          <w:sz w:val="30"/>
          <w:szCs w:val="30"/>
          <w:lang w:val="es-ES"/>
        </w:rPr>
      </w:pPr>
      <w:r>
        <w:rPr>
          <w:rFonts w:eastAsia="Times New Roman"/>
          <w:sz w:val="30"/>
          <w:szCs w:val="30"/>
          <w:lang w:val="es-ES"/>
        </w:rPr>
        <w:t xml:space="preserve">Art. 483.- </w:t>
      </w:r>
      <w:r>
        <w:rPr>
          <w:rFonts w:eastAsia="Times New Roman"/>
          <w:b/>
          <w:bCs/>
          <w:sz w:val="30"/>
          <w:szCs w:val="30"/>
          <w:lang w:val="es-ES"/>
        </w:rPr>
        <w:t xml:space="preserve">Responsabilidad del girador. </w:t>
      </w:r>
      <w:r>
        <w:rPr>
          <w:rFonts w:eastAsia="Times New Roman"/>
          <w:sz w:val="30"/>
          <w:szCs w:val="30"/>
          <w:lang w:val="es-ES"/>
        </w:rPr>
        <w:t>El girador resp</w:t>
      </w:r>
      <w:r>
        <w:rPr>
          <w:rFonts w:eastAsia="Times New Roman"/>
          <w:sz w:val="30"/>
          <w:szCs w:val="30"/>
          <w:lang w:val="es-ES"/>
        </w:rPr>
        <w:t>onde por el pago. Toda cláusula por la cual el girador se exima de esta responsabilidad no tiene valor.</w:t>
      </w:r>
    </w:p>
    <w:p w:rsidR="00000000" w:rsidRDefault="0018461E">
      <w:pPr>
        <w:divId w:val="1204362114"/>
        <w:rPr>
          <w:rFonts w:eastAsia="Times New Roman"/>
          <w:sz w:val="30"/>
          <w:szCs w:val="30"/>
          <w:lang w:val="es-ES"/>
        </w:rPr>
      </w:pPr>
      <w:r>
        <w:rPr>
          <w:rFonts w:eastAsia="Times New Roman"/>
          <w:sz w:val="30"/>
          <w:szCs w:val="30"/>
          <w:lang w:val="es-ES"/>
        </w:rPr>
        <w:t xml:space="preserve">Art. 484.- </w:t>
      </w:r>
      <w:r>
        <w:rPr>
          <w:rFonts w:eastAsia="Times New Roman"/>
          <w:b/>
          <w:bCs/>
          <w:sz w:val="30"/>
          <w:szCs w:val="30"/>
          <w:lang w:val="es-ES"/>
        </w:rPr>
        <w:t xml:space="preserve">Prohibición duplicados de cheques. </w:t>
      </w:r>
      <w:r>
        <w:rPr>
          <w:rFonts w:eastAsia="Times New Roman"/>
          <w:sz w:val="30"/>
          <w:szCs w:val="30"/>
          <w:lang w:val="es-ES"/>
        </w:rPr>
        <w:t>Prohíbase emitir cheques por duplicado.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2 </w:t>
      </w:r>
      <w:r>
        <w:rPr>
          <w:rFonts w:eastAsia="Times New Roman"/>
          <w:b/>
          <w:bCs/>
          <w:sz w:val="36"/>
          <w:szCs w:val="36"/>
          <w:lang w:val="es-ES"/>
        </w:rPr>
        <w:br/>
        <w:t>DE LA TRANSMISIÓN</w:t>
      </w:r>
    </w:p>
    <w:p w:rsidR="00000000" w:rsidRDefault="0018461E">
      <w:pPr>
        <w:divId w:val="1553535446"/>
        <w:rPr>
          <w:rFonts w:eastAsia="Times New Roman"/>
          <w:sz w:val="30"/>
          <w:szCs w:val="30"/>
          <w:lang w:val="es-ES"/>
        </w:rPr>
      </w:pPr>
      <w:r>
        <w:rPr>
          <w:rFonts w:eastAsia="Times New Roman"/>
          <w:sz w:val="30"/>
          <w:szCs w:val="30"/>
          <w:lang w:val="es-ES"/>
        </w:rPr>
        <w:t xml:space="preserve">Art. 485.- </w:t>
      </w:r>
      <w:r>
        <w:rPr>
          <w:rFonts w:eastAsia="Times New Roman"/>
          <w:b/>
          <w:bCs/>
          <w:sz w:val="30"/>
          <w:szCs w:val="30"/>
          <w:lang w:val="es-ES"/>
        </w:rPr>
        <w:t>Transmisibilidad y endoso</w:t>
      </w:r>
      <w:r>
        <w:rPr>
          <w:rFonts w:eastAsia="Times New Roman"/>
          <w:b/>
          <w:bCs/>
          <w:sz w:val="30"/>
          <w:szCs w:val="30"/>
          <w:lang w:val="es-ES"/>
        </w:rPr>
        <w:t xml:space="preserve">. </w:t>
      </w:r>
      <w:r>
        <w:rPr>
          <w:rFonts w:eastAsia="Times New Roman"/>
          <w:sz w:val="30"/>
          <w:szCs w:val="30"/>
          <w:lang w:val="es-ES"/>
        </w:rPr>
        <w:t>El cheque es transmisible por medio de endoso.</w:t>
      </w:r>
      <w:r>
        <w:rPr>
          <w:rFonts w:eastAsia="Times New Roman"/>
          <w:sz w:val="30"/>
          <w:szCs w:val="30"/>
          <w:lang w:val="es-ES"/>
        </w:rPr>
        <w:br/>
      </w:r>
      <w:r>
        <w:rPr>
          <w:rFonts w:eastAsia="Times New Roman"/>
          <w:sz w:val="30"/>
          <w:szCs w:val="30"/>
          <w:lang w:val="es-ES"/>
        </w:rPr>
        <w:br/>
        <w:t>Endoso es la transmisión de un cheque a la orden mediante una fórmula escrita en el reverso del documento.</w:t>
      </w:r>
      <w:r>
        <w:rPr>
          <w:rFonts w:eastAsia="Times New Roman"/>
          <w:sz w:val="30"/>
          <w:szCs w:val="30"/>
          <w:lang w:val="es-ES"/>
        </w:rPr>
        <w:br/>
      </w:r>
      <w:r>
        <w:rPr>
          <w:rFonts w:eastAsia="Times New Roman"/>
          <w:sz w:val="30"/>
          <w:szCs w:val="30"/>
          <w:lang w:val="es-ES"/>
        </w:rPr>
        <w:br/>
        <w:t>El endoso deberá ser puro y simple. Se considerará no escrita toda condición a la que se subordine</w:t>
      </w:r>
      <w:r>
        <w:rPr>
          <w:rFonts w:eastAsia="Times New Roman"/>
          <w:sz w:val="30"/>
          <w:szCs w:val="30"/>
          <w:lang w:val="es-ES"/>
        </w:rPr>
        <w:t xml:space="preserve"> la transmisión del cheque.</w:t>
      </w:r>
      <w:r>
        <w:rPr>
          <w:rFonts w:eastAsia="Times New Roman"/>
          <w:sz w:val="30"/>
          <w:szCs w:val="30"/>
          <w:lang w:val="es-ES"/>
        </w:rPr>
        <w:br/>
      </w:r>
      <w:r>
        <w:rPr>
          <w:rFonts w:eastAsia="Times New Roman"/>
          <w:sz w:val="30"/>
          <w:szCs w:val="30"/>
          <w:lang w:val="es-ES"/>
        </w:rPr>
        <w:br/>
        <w:t>El endoso parcial es nulo.</w:t>
      </w:r>
      <w:r>
        <w:rPr>
          <w:rFonts w:eastAsia="Times New Roman"/>
          <w:sz w:val="30"/>
          <w:szCs w:val="30"/>
          <w:lang w:val="es-ES"/>
        </w:rPr>
        <w:br/>
      </w:r>
      <w:r>
        <w:rPr>
          <w:rFonts w:eastAsia="Times New Roman"/>
          <w:sz w:val="30"/>
          <w:szCs w:val="30"/>
          <w:lang w:val="es-ES"/>
        </w:rPr>
        <w:br/>
        <w:t>Solo se podrán endosar cheques por una sola vez y por los montos establecidos por la Junta de Política y Regulación Monetaria y Financiera.</w:t>
      </w:r>
      <w:r>
        <w:rPr>
          <w:rFonts w:eastAsia="Times New Roman"/>
          <w:sz w:val="30"/>
          <w:szCs w:val="30"/>
          <w:lang w:val="es-ES"/>
        </w:rPr>
        <w:br/>
      </w:r>
      <w:r>
        <w:rPr>
          <w:rFonts w:eastAsia="Times New Roman"/>
          <w:sz w:val="30"/>
          <w:szCs w:val="30"/>
          <w:lang w:val="es-ES"/>
        </w:rPr>
        <w:br/>
        <w:t>La firma que estampe el beneficiario en el cheque para efe</w:t>
      </w:r>
      <w:r>
        <w:rPr>
          <w:rFonts w:eastAsia="Times New Roman"/>
          <w:sz w:val="30"/>
          <w:szCs w:val="30"/>
          <w:lang w:val="es-ES"/>
        </w:rPr>
        <w:t>ctos de presentación y cobro, al girado, no se considerará como un endoso propiamente dicho, por lo que no estará comprendido dentro de la limitación a la circulación dispuesta en el inciso anterior.</w:t>
      </w:r>
    </w:p>
    <w:p w:rsidR="00000000" w:rsidRDefault="0018461E">
      <w:pPr>
        <w:divId w:val="1159342484"/>
        <w:rPr>
          <w:rFonts w:eastAsia="Times New Roman"/>
          <w:sz w:val="30"/>
          <w:szCs w:val="30"/>
          <w:lang w:val="es-ES"/>
        </w:rPr>
      </w:pPr>
      <w:r>
        <w:rPr>
          <w:rFonts w:eastAsia="Times New Roman"/>
          <w:sz w:val="30"/>
          <w:szCs w:val="30"/>
          <w:lang w:val="es-ES"/>
        </w:rPr>
        <w:t>Art. 486.-</w:t>
      </w:r>
      <w:r>
        <w:rPr>
          <w:rFonts w:eastAsia="Times New Roman"/>
          <w:b/>
          <w:bCs/>
          <w:sz w:val="30"/>
          <w:szCs w:val="30"/>
          <w:lang w:val="es-ES"/>
        </w:rPr>
        <w:t xml:space="preserve"> Firma del endoso. </w:t>
      </w:r>
      <w:r>
        <w:rPr>
          <w:rFonts w:eastAsia="Times New Roman"/>
          <w:sz w:val="30"/>
          <w:szCs w:val="30"/>
          <w:lang w:val="es-ES"/>
        </w:rPr>
        <w:t>El endoso debe escribirse e</w:t>
      </w:r>
      <w:r>
        <w:rPr>
          <w:rFonts w:eastAsia="Times New Roman"/>
          <w:sz w:val="30"/>
          <w:szCs w:val="30"/>
          <w:lang w:val="es-ES"/>
        </w:rPr>
        <w:t>n el cheque y debe estar firmado por el endosante.</w:t>
      </w:r>
    </w:p>
    <w:p w:rsidR="00000000" w:rsidRDefault="0018461E">
      <w:pPr>
        <w:divId w:val="689256076"/>
        <w:rPr>
          <w:rFonts w:eastAsia="Times New Roman"/>
          <w:sz w:val="30"/>
          <w:szCs w:val="30"/>
          <w:lang w:val="es-ES"/>
        </w:rPr>
      </w:pPr>
      <w:r>
        <w:rPr>
          <w:rFonts w:eastAsia="Times New Roman"/>
          <w:sz w:val="30"/>
          <w:szCs w:val="30"/>
          <w:lang w:val="es-ES"/>
        </w:rPr>
        <w:t xml:space="preserve">Art. 487.- </w:t>
      </w:r>
      <w:r>
        <w:rPr>
          <w:rFonts w:eastAsia="Times New Roman"/>
          <w:b/>
          <w:bCs/>
          <w:sz w:val="30"/>
          <w:szCs w:val="30"/>
          <w:lang w:val="es-ES"/>
        </w:rPr>
        <w:t xml:space="preserve">Transmisión de los derechos. </w:t>
      </w:r>
      <w:r>
        <w:rPr>
          <w:rFonts w:eastAsia="Times New Roman"/>
          <w:sz w:val="30"/>
          <w:szCs w:val="30"/>
          <w:lang w:val="es-ES"/>
        </w:rPr>
        <w:t>El endoso transmite todos los derechos resultantes del cheque. Prohíbase los endosos en blanco o al portador.</w:t>
      </w:r>
    </w:p>
    <w:p w:rsidR="00000000" w:rsidRDefault="0018461E">
      <w:pPr>
        <w:divId w:val="1038362152"/>
        <w:rPr>
          <w:rFonts w:eastAsia="Times New Roman"/>
          <w:sz w:val="30"/>
          <w:szCs w:val="30"/>
          <w:lang w:val="es-ES"/>
        </w:rPr>
      </w:pPr>
      <w:r>
        <w:rPr>
          <w:rFonts w:eastAsia="Times New Roman"/>
          <w:sz w:val="30"/>
          <w:szCs w:val="30"/>
          <w:lang w:val="es-ES"/>
        </w:rPr>
        <w:lastRenderedPageBreak/>
        <w:t xml:space="preserve">Art. 488.- </w:t>
      </w:r>
      <w:r>
        <w:rPr>
          <w:rFonts w:eastAsia="Times New Roman"/>
          <w:b/>
          <w:bCs/>
          <w:sz w:val="30"/>
          <w:szCs w:val="30"/>
          <w:lang w:val="es-ES"/>
        </w:rPr>
        <w:t xml:space="preserve">Garantía de pago. </w:t>
      </w:r>
      <w:r>
        <w:rPr>
          <w:rFonts w:eastAsia="Times New Roman"/>
          <w:sz w:val="30"/>
          <w:szCs w:val="30"/>
          <w:lang w:val="es-ES"/>
        </w:rPr>
        <w:t>El endosante, salvo cláusu</w:t>
      </w:r>
      <w:r>
        <w:rPr>
          <w:rFonts w:eastAsia="Times New Roman"/>
          <w:sz w:val="30"/>
          <w:szCs w:val="30"/>
          <w:lang w:val="es-ES"/>
        </w:rPr>
        <w:t>las en contrario, garantiza el pago.</w:t>
      </w:r>
      <w:r>
        <w:rPr>
          <w:rFonts w:eastAsia="Times New Roman"/>
          <w:sz w:val="30"/>
          <w:szCs w:val="30"/>
          <w:lang w:val="es-ES"/>
        </w:rPr>
        <w:br/>
      </w:r>
      <w:r>
        <w:rPr>
          <w:rFonts w:eastAsia="Times New Roman"/>
          <w:sz w:val="30"/>
          <w:szCs w:val="30"/>
          <w:lang w:val="es-ES"/>
        </w:rPr>
        <w:br/>
        <w:t>La Junta regulará los mecanismos de endoso.</w:t>
      </w:r>
    </w:p>
    <w:p w:rsidR="00000000" w:rsidRDefault="0018461E">
      <w:pPr>
        <w:divId w:val="1388913973"/>
        <w:rPr>
          <w:rFonts w:eastAsia="Times New Roman"/>
          <w:sz w:val="30"/>
          <w:szCs w:val="30"/>
          <w:lang w:val="es-ES"/>
        </w:rPr>
      </w:pPr>
      <w:r>
        <w:rPr>
          <w:rFonts w:eastAsia="Times New Roman"/>
          <w:sz w:val="30"/>
          <w:szCs w:val="30"/>
          <w:lang w:val="es-ES"/>
        </w:rPr>
        <w:t xml:space="preserve">Art. 489.- </w:t>
      </w:r>
      <w:r>
        <w:rPr>
          <w:rFonts w:eastAsia="Times New Roman"/>
          <w:b/>
          <w:bCs/>
          <w:sz w:val="30"/>
          <w:szCs w:val="30"/>
          <w:lang w:val="es-ES"/>
        </w:rPr>
        <w:t xml:space="preserve">Tenedor legítimo. </w:t>
      </w:r>
      <w:r>
        <w:rPr>
          <w:rFonts w:eastAsia="Times New Roman"/>
          <w:sz w:val="30"/>
          <w:szCs w:val="30"/>
          <w:lang w:val="es-ES"/>
        </w:rPr>
        <w:t>El beneficiario de un cheque, endosable o no de acuerdo a lo indicado en el artículo 485, es considerado como tenedor legítimo.</w:t>
      </w:r>
    </w:p>
    <w:p w:rsidR="00000000" w:rsidRDefault="0018461E">
      <w:pPr>
        <w:divId w:val="1665350334"/>
        <w:rPr>
          <w:rFonts w:eastAsia="Times New Roman"/>
          <w:sz w:val="30"/>
          <w:szCs w:val="30"/>
          <w:lang w:val="es-ES"/>
        </w:rPr>
      </w:pPr>
      <w:r>
        <w:rPr>
          <w:rFonts w:eastAsia="Times New Roman"/>
          <w:sz w:val="30"/>
          <w:szCs w:val="30"/>
          <w:lang w:val="es-ES"/>
        </w:rPr>
        <w:t>Art. 490.-</w:t>
      </w:r>
      <w:r>
        <w:rPr>
          <w:rFonts w:eastAsia="Times New Roman"/>
          <w:b/>
          <w:bCs/>
          <w:sz w:val="30"/>
          <w:szCs w:val="30"/>
          <w:lang w:val="es-ES"/>
        </w:rPr>
        <w:t xml:space="preserve"> Excepc</w:t>
      </w:r>
      <w:r>
        <w:rPr>
          <w:rFonts w:eastAsia="Times New Roman"/>
          <w:b/>
          <w:bCs/>
          <w:sz w:val="30"/>
          <w:szCs w:val="30"/>
          <w:lang w:val="es-ES"/>
        </w:rPr>
        <w:t xml:space="preserve">iones oponibles al portador. </w:t>
      </w:r>
      <w:r>
        <w:rPr>
          <w:rFonts w:eastAsia="Times New Roman"/>
          <w:sz w:val="30"/>
          <w:szCs w:val="30"/>
          <w:lang w:val="es-ES"/>
        </w:rPr>
        <w:t>Las personas demandadas en virtud del cheque no pueden oponer al portador o tenedor las excepciones fundadas en sus relaciones con el girador o con los tenedores anteriores, a menos que el portador o tenedor, al adquirir el che</w:t>
      </w:r>
      <w:r>
        <w:rPr>
          <w:rFonts w:eastAsia="Times New Roman"/>
          <w:sz w:val="30"/>
          <w:szCs w:val="30"/>
          <w:lang w:val="es-ES"/>
        </w:rPr>
        <w:t>que, haya obrado a sabiendas en perjuicio del deudor.</w:t>
      </w:r>
    </w:p>
    <w:p w:rsidR="00000000" w:rsidRDefault="0018461E">
      <w:pPr>
        <w:divId w:val="772670179"/>
        <w:rPr>
          <w:rFonts w:eastAsia="Times New Roman"/>
          <w:sz w:val="30"/>
          <w:szCs w:val="30"/>
          <w:lang w:val="es-ES"/>
        </w:rPr>
      </w:pPr>
      <w:r>
        <w:rPr>
          <w:rFonts w:eastAsia="Times New Roman"/>
          <w:sz w:val="30"/>
          <w:szCs w:val="30"/>
          <w:lang w:val="es-ES"/>
        </w:rPr>
        <w:t>Art. 491.-</w:t>
      </w:r>
      <w:r>
        <w:rPr>
          <w:rFonts w:eastAsia="Times New Roman"/>
          <w:b/>
          <w:bCs/>
          <w:sz w:val="30"/>
          <w:szCs w:val="30"/>
          <w:lang w:val="es-ES"/>
        </w:rPr>
        <w:t xml:space="preserve"> Endoso posterior al protesto. </w:t>
      </w:r>
      <w:r>
        <w:rPr>
          <w:rFonts w:eastAsia="Times New Roman"/>
          <w:sz w:val="30"/>
          <w:szCs w:val="30"/>
          <w:lang w:val="es-ES"/>
        </w:rPr>
        <w:t>El endoso posterior al protesto o efectuado después de la terminación del plazo de presentación, no produce otros efectos que los de una cesión ordinaria.</w:t>
      </w:r>
      <w:r>
        <w:rPr>
          <w:rFonts w:eastAsia="Times New Roman"/>
          <w:sz w:val="30"/>
          <w:szCs w:val="30"/>
          <w:lang w:val="es-ES"/>
        </w:rPr>
        <w:br/>
      </w:r>
      <w:r>
        <w:rPr>
          <w:rFonts w:eastAsia="Times New Roman"/>
          <w:sz w:val="30"/>
          <w:szCs w:val="30"/>
          <w:lang w:val="es-ES"/>
        </w:rPr>
        <w:br/>
        <w:t>El en</w:t>
      </w:r>
      <w:r>
        <w:rPr>
          <w:rFonts w:eastAsia="Times New Roman"/>
          <w:sz w:val="30"/>
          <w:szCs w:val="30"/>
          <w:lang w:val="es-ES"/>
        </w:rPr>
        <w:t>doso sin fecha se presume hecho, salvo, prueba en contrario, antes del protesto o antes de la terminación del plazo a que se refiere el inciso anterior.</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3 </w:t>
      </w:r>
      <w:r>
        <w:rPr>
          <w:rFonts w:eastAsia="Times New Roman"/>
          <w:b/>
          <w:bCs/>
          <w:sz w:val="36"/>
          <w:szCs w:val="36"/>
          <w:lang w:val="es-ES"/>
        </w:rPr>
        <w:br/>
        <w:t>DE LA PRESENTACIÓN Y DEL PAGO</w:t>
      </w:r>
    </w:p>
    <w:p w:rsidR="00000000" w:rsidRDefault="0018461E">
      <w:pPr>
        <w:divId w:val="1367218065"/>
        <w:rPr>
          <w:rFonts w:eastAsia="Times New Roman"/>
          <w:sz w:val="30"/>
          <w:szCs w:val="30"/>
          <w:lang w:val="es-ES"/>
        </w:rPr>
      </w:pPr>
      <w:r>
        <w:rPr>
          <w:rFonts w:eastAsia="Times New Roman"/>
          <w:sz w:val="30"/>
          <w:szCs w:val="30"/>
          <w:lang w:val="es-ES"/>
        </w:rPr>
        <w:t xml:space="preserve">Art. 492.- </w:t>
      </w:r>
      <w:r>
        <w:rPr>
          <w:rFonts w:eastAsia="Times New Roman"/>
          <w:b/>
          <w:bCs/>
          <w:sz w:val="30"/>
          <w:szCs w:val="30"/>
          <w:lang w:val="es-ES"/>
        </w:rPr>
        <w:t xml:space="preserve">Pago del cheque. </w:t>
      </w:r>
      <w:r>
        <w:rPr>
          <w:rFonts w:eastAsia="Times New Roman"/>
          <w:sz w:val="30"/>
          <w:szCs w:val="30"/>
          <w:lang w:val="es-ES"/>
        </w:rPr>
        <w:t>El cheque es pagadero a la vista.</w:t>
      </w:r>
      <w:r>
        <w:rPr>
          <w:rFonts w:eastAsia="Times New Roman"/>
          <w:sz w:val="30"/>
          <w:szCs w:val="30"/>
          <w:lang w:val="es-ES"/>
        </w:rPr>
        <w:br/>
      </w:r>
      <w:r>
        <w:rPr>
          <w:rFonts w:eastAsia="Times New Roman"/>
          <w:sz w:val="30"/>
          <w:szCs w:val="30"/>
          <w:lang w:val="es-ES"/>
        </w:rPr>
        <w:br/>
        <w:t>A la presentación del cheque, el girado está obligado a pagarlo o a protestarlo. En caso contrario, responderá por los daños y perjuicios que ocasione al portador o tenedor, independientemente de las demás sanciones a que hubiere lugar.</w:t>
      </w:r>
      <w:r>
        <w:rPr>
          <w:rFonts w:eastAsia="Times New Roman"/>
          <w:sz w:val="30"/>
          <w:szCs w:val="30"/>
          <w:lang w:val="es-ES"/>
        </w:rPr>
        <w:br/>
      </w:r>
      <w:r>
        <w:rPr>
          <w:rFonts w:eastAsia="Times New Roman"/>
          <w:sz w:val="30"/>
          <w:szCs w:val="30"/>
          <w:lang w:val="es-ES"/>
        </w:rPr>
        <w:br/>
        <w:t xml:space="preserve">Prohíbase a las </w:t>
      </w:r>
      <w:r>
        <w:rPr>
          <w:rFonts w:eastAsia="Times New Roman"/>
          <w:sz w:val="30"/>
          <w:szCs w:val="30"/>
          <w:lang w:val="es-ES"/>
        </w:rPr>
        <w:t>entidades financieras poner en lugar del protesto cualquier leyenda, con o sin fecha, que establezca que el cheque fue presentado para el pago y no pagado. La entidad que infringiere esta prohibición será sancionada por los organismos de control con una mu</w:t>
      </w:r>
      <w:r>
        <w:rPr>
          <w:rFonts w:eastAsia="Times New Roman"/>
          <w:sz w:val="30"/>
          <w:szCs w:val="30"/>
          <w:lang w:val="es-ES"/>
        </w:rPr>
        <w:t>lta por el valor del correspondiente cheque.</w:t>
      </w:r>
      <w:r>
        <w:rPr>
          <w:rFonts w:eastAsia="Times New Roman"/>
          <w:sz w:val="30"/>
          <w:szCs w:val="30"/>
          <w:lang w:val="es-ES"/>
        </w:rPr>
        <w:br/>
      </w:r>
      <w:r>
        <w:rPr>
          <w:rFonts w:eastAsia="Times New Roman"/>
          <w:sz w:val="30"/>
          <w:szCs w:val="30"/>
          <w:lang w:val="es-ES"/>
        </w:rPr>
        <w:br/>
        <w:t xml:space="preserve">Se exceptúan de esta disposición los cheques rechazados por defectos de forma y los presentados después del plazo máximo para pago del cheque señalado en el artículo 517, así como las imágenes digitalizadas de </w:t>
      </w:r>
      <w:r>
        <w:rPr>
          <w:rFonts w:eastAsia="Times New Roman"/>
          <w:sz w:val="30"/>
          <w:szCs w:val="30"/>
          <w:lang w:val="es-ES"/>
        </w:rPr>
        <w:t>los cheques ingresados a cámara de compensación.</w:t>
      </w:r>
    </w:p>
    <w:p w:rsidR="00000000" w:rsidRDefault="0018461E">
      <w:pPr>
        <w:divId w:val="816997567"/>
        <w:rPr>
          <w:rFonts w:eastAsia="Times New Roman"/>
          <w:sz w:val="30"/>
          <w:szCs w:val="30"/>
          <w:lang w:val="es-ES"/>
        </w:rPr>
      </w:pPr>
      <w:r>
        <w:rPr>
          <w:rFonts w:eastAsia="Times New Roman"/>
          <w:sz w:val="30"/>
          <w:szCs w:val="30"/>
          <w:lang w:val="es-ES"/>
        </w:rPr>
        <w:lastRenderedPageBreak/>
        <w:t xml:space="preserve">Art. 493.- </w:t>
      </w:r>
      <w:r>
        <w:rPr>
          <w:rFonts w:eastAsia="Times New Roman"/>
          <w:b/>
          <w:bCs/>
          <w:sz w:val="30"/>
          <w:szCs w:val="30"/>
          <w:lang w:val="es-ES"/>
        </w:rPr>
        <w:t xml:space="preserve">Plazo de presentación. </w:t>
      </w:r>
      <w:r>
        <w:rPr>
          <w:rFonts w:eastAsia="Times New Roman"/>
          <w:sz w:val="30"/>
          <w:szCs w:val="30"/>
          <w:lang w:val="es-ES"/>
        </w:rPr>
        <w:t>Los cheques girados y pagaderos en el Ecuador deberán presentarse para el pago dentro del plazo de veinte días, contados desde la fecha de su emisión.</w:t>
      </w:r>
      <w:r>
        <w:rPr>
          <w:rFonts w:eastAsia="Times New Roman"/>
          <w:sz w:val="30"/>
          <w:szCs w:val="30"/>
          <w:lang w:val="es-ES"/>
        </w:rPr>
        <w:br/>
      </w:r>
      <w:r>
        <w:rPr>
          <w:rFonts w:eastAsia="Times New Roman"/>
          <w:sz w:val="30"/>
          <w:szCs w:val="30"/>
          <w:lang w:val="es-ES"/>
        </w:rPr>
        <w:br/>
        <w:t>Los cheques girados e</w:t>
      </w:r>
      <w:r>
        <w:rPr>
          <w:rFonts w:eastAsia="Times New Roman"/>
          <w:sz w:val="30"/>
          <w:szCs w:val="30"/>
          <w:lang w:val="es-ES"/>
        </w:rPr>
        <w:t>n el exterior y pagaderos en el Ecuador deberán presentarse para el pago dentro del plazo de noventa días, contados desde la fecha de su emisión.</w:t>
      </w:r>
      <w:r>
        <w:rPr>
          <w:rFonts w:eastAsia="Times New Roman"/>
          <w:sz w:val="30"/>
          <w:szCs w:val="30"/>
          <w:lang w:val="es-ES"/>
        </w:rPr>
        <w:br/>
      </w:r>
      <w:r>
        <w:rPr>
          <w:rFonts w:eastAsia="Times New Roman"/>
          <w:sz w:val="30"/>
          <w:szCs w:val="30"/>
          <w:lang w:val="es-ES"/>
        </w:rPr>
        <w:br/>
        <w:t>Los cheques girados en el Ecuador y pagaderos en el exterior se sujetarán, para la presentación al pago, a lo</w:t>
      </w:r>
      <w:r>
        <w:rPr>
          <w:rFonts w:eastAsia="Times New Roman"/>
          <w:sz w:val="30"/>
          <w:szCs w:val="30"/>
          <w:lang w:val="es-ES"/>
        </w:rPr>
        <w:t>s términos o plazos que determine la ley del Estado donde tenga su domicilio el banco girado.</w:t>
      </w:r>
    </w:p>
    <w:p w:rsidR="00000000" w:rsidRDefault="0018461E">
      <w:pPr>
        <w:divId w:val="254948524"/>
        <w:rPr>
          <w:rFonts w:eastAsia="Times New Roman"/>
          <w:sz w:val="30"/>
          <w:szCs w:val="30"/>
          <w:lang w:val="es-ES"/>
        </w:rPr>
      </w:pPr>
      <w:r>
        <w:rPr>
          <w:rFonts w:eastAsia="Times New Roman"/>
          <w:sz w:val="30"/>
          <w:szCs w:val="30"/>
          <w:lang w:val="es-ES"/>
        </w:rPr>
        <w:t xml:space="preserve">Art. 494.- </w:t>
      </w:r>
      <w:r>
        <w:rPr>
          <w:rFonts w:eastAsia="Times New Roman"/>
          <w:b/>
          <w:bCs/>
          <w:sz w:val="30"/>
          <w:szCs w:val="30"/>
          <w:lang w:val="es-ES"/>
        </w:rPr>
        <w:t xml:space="preserve">Presentación para el pago. </w:t>
      </w:r>
      <w:r>
        <w:rPr>
          <w:rFonts w:eastAsia="Times New Roman"/>
          <w:sz w:val="30"/>
          <w:szCs w:val="30"/>
          <w:lang w:val="es-ES"/>
        </w:rPr>
        <w:t xml:space="preserve">La presentación del cheque a una cámara de compensación por parte de la entidad financiera, equivale a la presentación para </w:t>
      </w:r>
      <w:r>
        <w:rPr>
          <w:rFonts w:eastAsia="Times New Roman"/>
          <w:sz w:val="30"/>
          <w:szCs w:val="30"/>
          <w:lang w:val="es-ES"/>
        </w:rPr>
        <w:t>el pago.</w:t>
      </w:r>
    </w:p>
    <w:p w:rsidR="00000000" w:rsidRDefault="0018461E">
      <w:pPr>
        <w:divId w:val="1375427502"/>
        <w:rPr>
          <w:rFonts w:eastAsia="Times New Roman"/>
          <w:sz w:val="30"/>
          <w:szCs w:val="30"/>
          <w:lang w:val="es-ES"/>
        </w:rPr>
      </w:pPr>
      <w:r>
        <w:rPr>
          <w:rFonts w:eastAsia="Times New Roman"/>
          <w:sz w:val="30"/>
          <w:szCs w:val="30"/>
          <w:lang w:val="es-ES"/>
        </w:rPr>
        <w:t>Art. 495.-</w:t>
      </w:r>
      <w:r>
        <w:rPr>
          <w:rFonts w:eastAsia="Times New Roman"/>
          <w:b/>
          <w:bCs/>
          <w:sz w:val="30"/>
          <w:szCs w:val="30"/>
          <w:lang w:val="es-ES"/>
        </w:rPr>
        <w:t xml:space="preserve"> Revocatoria del cheque. </w:t>
      </w:r>
      <w:r>
        <w:rPr>
          <w:rFonts w:eastAsia="Times New Roman"/>
          <w:sz w:val="30"/>
          <w:szCs w:val="30"/>
          <w:lang w:val="es-ES"/>
        </w:rPr>
        <w:t>El girador podrá revocar un cheque comunicando por escrito al girado que se abstenga de pagarlo, con indicación del motivo de tal revocatoria, sin que por esto desaparezca la responsabilidad del girador.</w:t>
      </w:r>
      <w:r>
        <w:rPr>
          <w:rFonts w:eastAsia="Times New Roman"/>
          <w:sz w:val="30"/>
          <w:szCs w:val="30"/>
          <w:lang w:val="es-ES"/>
        </w:rPr>
        <w:br/>
      </w:r>
      <w:r>
        <w:rPr>
          <w:rFonts w:eastAsia="Times New Roman"/>
          <w:sz w:val="30"/>
          <w:szCs w:val="30"/>
          <w:lang w:val="es-ES"/>
        </w:rPr>
        <w:br/>
        <w:t>A petic</w:t>
      </w:r>
      <w:r>
        <w:rPr>
          <w:rFonts w:eastAsia="Times New Roman"/>
          <w:sz w:val="30"/>
          <w:szCs w:val="30"/>
          <w:lang w:val="es-ES"/>
        </w:rPr>
        <w:t>ión del portador o tenedor que hubiere perdido el cheque, el girador está obligado, como medida de protección transitoria, a suspender, por escrito, la orden de pago.</w:t>
      </w:r>
      <w:r>
        <w:rPr>
          <w:rFonts w:eastAsia="Times New Roman"/>
          <w:sz w:val="30"/>
          <w:szCs w:val="30"/>
          <w:lang w:val="es-ES"/>
        </w:rPr>
        <w:br/>
      </w:r>
      <w:r>
        <w:rPr>
          <w:rFonts w:eastAsia="Times New Roman"/>
          <w:sz w:val="30"/>
          <w:szCs w:val="30"/>
          <w:lang w:val="es-ES"/>
        </w:rPr>
        <w:br/>
        <w:t>No surtirá efecto la revocatoria del cheque cuando no exista suficiente provisión de fon</w:t>
      </w:r>
      <w:r>
        <w:rPr>
          <w:rFonts w:eastAsia="Times New Roman"/>
          <w:sz w:val="30"/>
          <w:szCs w:val="30"/>
          <w:lang w:val="es-ES"/>
        </w:rPr>
        <w:t>dos y, en este caso, el banco estará obligado a protestar el cheque.</w:t>
      </w:r>
      <w:r>
        <w:rPr>
          <w:rFonts w:eastAsia="Times New Roman"/>
          <w:sz w:val="30"/>
          <w:szCs w:val="30"/>
          <w:lang w:val="es-ES"/>
        </w:rPr>
        <w:br/>
      </w:r>
      <w:r>
        <w:rPr>
          <w:rFonts w:eastAsia="Times New Roman"/>
          <w:sz w:val="30"/>
          <w:szCs w:val="30"/>
          <w:lang w:val="es-ES"/>
        </w:rPr>
        <w:br/>
        <w:t>El girado deberá retener el importe del cheque revocado hasta que un juez resuelva lo conveniente, o hasta que el girador deje sin efecto la revocatoria, o hasta el vencimiento del plazo</w:t>
      </w:r>
      <w:r>
        <w:rPr>
          <w:rFonts w:eastAsia="Times New Roman"/>
          <w:sz w:val="30"/>
          <w:szCs w:val="30"/>
          <w:lang w:val="es-ES"/>
        </w:rPr>
        <w:t xml:space="preserve"> de prescripción de seis meses, contados desde la expiración del plazo de presentación, o hasta cuando se declare sin efecto el cheque por sustracción, deterioro, pérdida o destrucción, de conformidad con las normas de carácter general dictadas por la Junt</w:t>
      </w:r>
      <w:r>
        <w:rPr>
          <w:rFonts w:eastAsia="Times New Roman"/>
          <w:sz w:val="30"/>
          <w:szCs w:val="30"/>
          <w:lang w:val="es-ES"/>
        </w:rPr>
        <w:t>a de Política y Regulación Monetaria y Financiera.</w:t>
      </w:r>
    </w:p>
    <w:p w:rsidR="00000000" w:rsidRDefault="0018461E">
      <w:pPr>
        <w:divId w:val="1199708676"/>
        <w:rPr>
          <w:rFonts w:eastAsia="Times New Roman"/>
          <w:sz w:val="30"/>
          <w:szCs w:val="30"/>
          <w:lang w:val="es-ES"/>
        </w:rPr>
      </w:pPr>
      <w:r>
        <w:rPr>
          <w:rFonts w:eastAsia="Times New Roman"/>
          <w:sz w:val="30"/>
          <w:szCs w:val="30"/>
          <w:lang w:val="es-ES"/>
        </w:rPr>
        <w:t>Art. 496.-</w:t>
      </w:r>
      <w:r>
        <w:rPr>
          <w:rFonts w:eastAsia="Times New Roman"/>
          <w:b/>
          <w:bCs/>
          <w:sz w:val="30"/>
          <w:szCs w:val="30"/>
          <w:lang w:val="es-ES"/>
        </w:rPr>
        <w:t xml:space="preserve"> Validez del cheque. </w:t>
      </w:r>
      <w:r>
        <w:rPr>
          <w:rFonts w:eastAsia="Times New Roman"/>
          <w:sz w:val="30"/>
          <w:szCs w:val="30"/>
          <w:lang w:val="es-ES"/>
        </w:rPr>
        <w:t>Ni la muerte ni la incapacidad superviniente del girador afectan la validez del cheque.</w:t>
      </w:r>
      <w:r>
        <w:rPr>
          <w:rFonts w:eastAsia="Times New Roman"/>
          <w:sz w:val="30"/>
          <w:szCs w:val="30"/>
          <w:lang w:val="es-ES"/>
        </w:rPr>
        <w:br/>
      </w:r>
      <w:r>
        <w:rPr>
          <w:rFonts w:eastAsia="Times New Roman"/>
          <w:sz w:val="30"/>
          <w:szCs w:val="30"/>
          <w:lang w:val="es-ES"/>
        </w:rPr>
        <w:br/>
        <w:t>El girado que tuviere conocimiento de la quiebra del girador, debe negar el pago.</w:t>
      </w:r>
    </w:p>
    <w:p w:rsidR="00000000" w:rsidRDefault="0018461E">
      <w:pPr>
        <w:divId w:val="420377781"/>
        <w:rPr>
          <w:rFonts w:eastAsia="Times New Roman"/>
          <w:sz w:val="30"/>
          <w:szCs w:val="30"/>
          <w:lang w:val="es-ES"/>
        </w:rPr>
      </w:pPr>
      <w:r>
        <w:rPr>
          <w:rFonts w:eastAsia="Times New Roman"/>
          <w:sz w:val="30"/>
          <w:szCs w:val="30"/>
          <w:lang w:val="es-ES"/>
        </w:rPr>
        <w:lastRenderedPageBreak/>
        <w:t>Art</w:t>
      </w:r>
      <w:r>
        <w:rPr>
          <w:rFonts w:eastAsia="Times New Roman"/>
          <w:sz w:val="30"/>
          <w:szCs w:val="30"/>
          <w:lang w:val="es-ES"/>
        </w:rPr>
        <w:t>. 497.-</w:t>
      </w:r>
      <w:r>
        <w:rPr>
          <w:rFonts w:eastAsia="Times New Roman"/>
          <w:b/>
          <w:bCs/>
          <w:sz w:val="30"/>
          <w:szCs w:val="30"/>
          <w:lang w:val="es-ES"/>
        </w:rPr>
        <w:t xml:space="preserve"> Cancelación del cheque. </w:t>
      </w:r>
      <w:r>
        <w:rPr>
          <w:rFonts w:eastAsia="Times New Roman"/>
          <w:sz w:val="30"/>
          <w:szCs w:val="30"/>
          <w:lang w:val="es-ES"/>
        </w:rPr>
        <w:t>El girado, al pagar el cheque, exigirá al portador o tenedor su cancelación.</w:t>
      </w:r>
      <w:r>
        <w:rPr>
          <w:rFonts w:eastAsia="Times New Roman"/>
          <w:sz w:val="30"/>
          <w:szCs w:val="30"/>
          <w:lang w:val="es-ES"/>
        </w:rPr>
        <w:br/>
      </w:r>
      <w:r>
        <w:rPr>
          <w:rFonts w:eastAsia="Times New Roman"/>
          <w:sz w:val="30"/>
          <w:szCs w:val="30"/>
          <w:lang w:val="es-ES"/>
        </w:rPr>
        <w:br/>
        <w:t>El portador o tenedor puede admitir o rehusar, a voluntad, un pago parcial, pero el girado está obligado a pagar el importe del cheque hasta el to</w:t>
      </w:r>
      <w:r>
        <w:rPr>
          <w:rFonts w:eastAsia="Times New Roman"/>
          <w:sz w:val="30"/>
          <w:szCs w:val="30"/>
          <w:lang w:val="es-ES"/>
        </w:rPr>
        <w:t>tal de los fondos que tenga a disposición del girador.</w:t>
      </w:r>
      <w:r>
        <w:rPr>
          <w:rFonts w:eastAsia="Times New Roman"/>
          <w:sz w:val="30"/>
          <w:szCs w:val="30"/>
          <w:lang w:val="es-ES"/>
        </w:rPr>
        <w:br/>
      </w:r>
      <w:r>
        <w:rPr>
          <w:rFonts w:eastAsia="Times New Roman"/>
          <w:sz w:val="30"/>
          <w:szCs w:val="30"/>
          <w:lang w:val="es-ES"/>
        </w:rPr>
        <w:br/>
        <w:t>En caso de pago parcial, el girado puede exigir que se mencione dicho pago en el cheque y se le confiera recibo, y estará obligado por su parte, a otorgar al portador o tenedor un comprobante en el qu</w:t>
      </w:r>
      <w:r>
        <w:rPr>
          <w:rFonts w:eastAsia="Times New Roman"/>
          <w:sz w:val="30"/>
          <w:szCs w:val="30"/>
          <w:lang w:val="es-ES"/>
        </w:rPr>
        <w:t>e consten todas las especificaciones del cheque y el saldo no pagado. Este comprobante surtirá los mismos efectos que el cheque protestado en cuanto al saldo no cubierto.</w:t>
      </w:r>
    </w:p>
    <w:p w:rsidR="00000000" w:rsidRDefault="0018461E">
      <w:pPr>
        <w:divId w:val="9063620"/>
        <w:rPr>
          <w:rFonts w:eastAsia="Times New Roman"/>
          <w:sz w:val="30"/>
          <w:szCs w:val="30"/>
          <w:lang w:val="es-ES"/>
        </w:rPr>
      </w:pPr>
      <w:r>
        <w:rPr>
          <w:rFonts w:eastAsia="Times New Roman"/>
          <w:sz w:val="30"/>
          <w:szCs w:val="30"/>
          <w:lang w:val="es-ES"/>
        </w:rPr>
        <w:t>Art. 498.-</w:t>
      </w:r>
      <w:r>
        <w:rPr>
          <w:rFonts w:eastAsia="Times New Roman"/>
          <w:b/>
          <w:bCs/>
          <w:sz w:val="30"/>
          <w:szCs w:val="30"/>
          <w:lang w:val="es-ES"/>
        </w:rPr>
        <w:t xml:space="preserve"> Verificación de firma. </w:t>
      </w:r>
      <w:r>
        <w:rPr>
          <w:rFonts w:eastAsia="Times New Roman"/>
          <w:sz w:val="30"/>
          <w:szCs w:val="30"/>
          <w:lang w:val="es-ES"/>
        </w:rPr>
        <w:t>El girado que paga un cheque está obligado a compro</w:t>
      </w:r>
      <w:r>
        <w:rPr>
          <w:rFonts w:eastAsia="Times New Roman"/>
          <w:sz w:val="30"/>
          <w:szCs w:val="30"/>
          <w:lang w:val="es-ES"/>
        </w:rPr>
        <w:t>bar la regularidad del endoso y la identidad de la persona a quien lo paga, pero no la firma del endosante.</w:t>
      </w:r>
    </w:p>
    <w:p w:rsidR="00000000" w:rsidRDefault="0018461E">
      <w:pPr>
        <w:divId w:val="457728071"/>
        <w:rPr>
          <w:rFonts w:eastAsia="Times New Roman"/>
          <w:sz w:val="30"/>
          <w:szCs w:val="30"/>
          <w:lang w:val="es-ES"/>
        </w:rPr>
      </w:pPr>
      <w:r>
        <w:rPr>
          <w:rFonts w:eastAsia="Times New Roman"/>
          <w:sz w:val="30"/>
          <w:szCs w:val="30"/>
          <w:lang w:val="es-ES"/>
        </w:rPr>
        <w:t>Art. 499.-</w:t>
      </w:r>
      <w:r>
        <w:rPr>
          <w:rFonts w:eastAsia="Times New Roman"/>
          <w:b/>
          <w:bCs/>
          <w:sz w:val="30"/>
          <w:szCs w:val="30"/>
          <w:lang w:val="es-ES"/>
        </w:rPr>
        <w:t xml:space="preserve"> Multa por cheque protestado. </w:t>
      </w:r>
      <w:r>
        <w:rPr>
          <w:rFonts w:eastAsia="Times New Roman"/>
          <w:sz w:val="30"/>
          <w:szCs w:val="30"/>
          <w:lang w:val="es-ES"/>
        </w:rPr>
        <w:t>Se establece la multa del 10% sobre el valor de cada cheque protestado por insuficiencia de fondos, que debe</w:t>
      </w:r>
      <w:r>
        <w:rPr>
          <w:rFonts w:eastAsia="Times New Roman"/>
          <w:sz w:val="30"/>
          <w:szCs w:val="30"/>
          <w:lang w:val="es-ES"/>
        </w:rPr>
        <w:t xml:space="preserve"> ser pagado por el girador, multa que será debitada por la entidad financiera, de las cuentas del girador, hasta el monto que se mantenga en depósito y transferida mensualmente a la Cuenta Única del Tesoro Nacional.</w:t>
      </w:r>
    </w:p>
    <w:p w:rsidR="00000000" w:rsidRDefault="0018461E">
      <w:pPr>
        <w:jc w:val="center"/>
        <w:rPr>
          <w:rFonts w:eastAsia="Times New Roman"/>
          <w:sz w:val="36"/>
          <w:szCs w:val="36"/>
          <w:lang w:val="es-ES"/>
        </w:rPr>
      </w:pPr>
      <w:r>
        <w:rPr>
          <w:rFonts w:eastAsia="Times New Roman"/>
          <w:b/>
          <w:bCs/>
          <w:sz w:val="36"/>
          <w:szCs w:val="36"/>
          <w:lang w:val="es-ES"/>
        </w:rPr>
        <w:br/>
        <w:t>Sección 4</w:t>
      </w:r>
      <w:r>
        <w:rPr>
          <w:rFonts w:eastAsia="Times New Roman"/>
          <w:b/>
          <w:bCs/>
          <w:sz w:val="36"/>
          <w:szCs w:val="36"/>
          <w:lang w:val="es-ES"/>
        </w:rPr>
        <w:br/>
        <w:t>DEL CHEQUE CRUZADO Y DEL CHEQ</w:t>
      </w:r>
      <w:r>
        <w:rPr>
          <w:rFonts w:eastAsia="Times New Roman"/>
          <w:b/>
          <w:bCs/>
          <w:sz w:val="36"/>
          <w:szCs w:val="36"/>
          <w:lang w:val="es-ES"/>
        </w:rPr>
        <w:t>UE NO NEGOCIABLE</w:t>
      </w:r>
    </w:p>
    <w:p w:rsidR="00000000" w:rsidRDefault="0018461E">
      <w:pPr>
        <w:divId w:val="803087434"/>
        <w:rPr>
          <w:rFonts w:eastAsia="Times New Roman"/>
          <w:sz w:val="30"/>
          <w:szCs w:val="30"/>
          <w:lang w:val="es-ES"/>
        </w:rPr>
      </w:pPr>
      <w:r>
        <w:rPr>
          <w:rFonts w:eastAsia="Times New Roman"/>
          <w:sz w:val="30"/>
          <w:szCs w:val="30"/>
          <w:lang w:val="es-ES"/>
        </w:rPr>
        <w:t>Art. 500.-</w:t>
      </w:r>
      <w:r>
        <w:rPr>
          <w:rFonts w:eastAsia="Times New Roman"/>
          <w:b/>
          <w:bCs/>
          <w:sz w:val="30"/>
          <w:szCs w:val="30"/>
          <w:lang w:val="es-ES"/>
        </w:rPr>
        <w:t xml:space="preserve"> Cheques cruzados. </w:t>
      </w:r>
      <w:r>
        <w:rPr>
          <w:rFonts w:eastAsia="Times New Roman"/>
          <w:sz w:val="30"/>
          <w:szCs w:val="30"/>
          <w:lang w:val="es-ES"/>
        </w:rPr>
        <w:t>El girador o el portador o tenedor de un cheque puede cruzarlo, de conformidad con las normas que expida la Junta.</w:t>
      </w:r>
    </w:p>
    <w:p w:rsidR="00000000" w:rsidRDefault="0018461E">
      <w:pPr>
        <w:divId w:val="1008606305"/>
        <w:rPr>
          <w:rFonts w:eastAsia="Times New Roman"/>
          <w:sz w:val="30"/>
          <w:szCs w:val="30"/>
          <w:lang w:val="es-ES"/>
        </w:rPr>
      </w:pPr>
      <w:r>
        <w:rPr>
          <w:rFonts w:eastAsia="Times New Roman"/>
          <w:sz w:val="30"/>
          <w:szCs w:val="30"/>
          <w:lang w:val="es-ES"/>
        </w:rPr>
        <w:t>Art. 501.-</w:t>
      </w:r>
      <w:r>
        <w:rPr>
          <w:rFonts w:eastAsia="Times New Roman"/>
          <w:b/>
          <w:bCs/>
          <w:sz w:val="30"/>
          <w:szCs w:val="30"/>
          <w:lang w:val="es-ES"/>
        </w:rPr>
        <w:t xml:space="preserve"> Cheque no negociable. </w:t>
      </w:r>
      <w:r>
        <w:rPr>
          <w:rFonts w:eastAsia="Times New Roman"/>
          <w:sz w:val="30"/>
          <w:szCs w:val="30"/>
          <w:lang w:val="es-ES"/>
        </w:rPr>
        <w:t>El cheque que contenga la expresión "no a la orden" u otra equivalente como “no endosable", "no negociable", "no transferible”, no es transferible sino en la forma y con los efectos de una cesión ordinaria.</w:t>
      </w:r>
      <w:r>
        <w:rPr>
          <w:rFonts w:eastAsia="Times New Roman"/>
          <w:sz w:val="30"/>
          <w:szCs w:val="30"/>
          <w:lang w:val="es-ES"/>
        </w:rPr>
        <w:br/>
      </w:r>
      <w:r>
        <w:rPr>
          <w:rFonts w:eastAsia="Times New Roman"/>
          <w:sz w:val="30"/>
          <w:szCs w:val="30"/>
          <w:lang w:val="es-ES"/>
        </w:rPr>
        <w:br/>
        <w:t>El banco girado que reciba un cheque con cualqui</w:t>
      </w:r>
      <w:r>
        <w:rPr>
          <w:rFonts w:eastAsia="Times New Roman"/>
          <w:sz w:val="30"/>
          <w:szCs w:val="30"/>
          <w:lang w:val="es-ES"/>
        </w:rPr>
        <w:t>era de las expresiones antes indicadas, únicamente podrá acreditar su valor en una cuenta perteneciente al beneficiario, o pagarlo en moneda al propio beneficiario o al cesionario.</w:t>
      </w:r>
    </w:p>
    <w:p w:rsidR="00000000" w:rsidRDefault="0018461E">
      <w:pPr>
        <w:divId w:val="1083334559"/>
        <w:rPr>
          <w:rFonts w:eastAsia="Times New Roman"/>
          <w:sz w:val="30"/>
          <w:szCs w:val="30"/>
          <w:lang w:val="es-ES"/>
        </w:rPr>
      </w:pPr>
      <w:r>
        <w:rPr>
          <w:rFonts w:eastAsia="Times New Roman"/>
          <w:sz w:val="30"/>
          <w:szCs w:val="30"/>
          <w:lang w:val="es-ES"/>
        </w:rPr>
        <w:lastRenderedPageBreak/>
        <w:t>Art. 502.-</w:t>
      </w:r>
      <w:r>
        <w:rPr>
          <w:rFonts w:eastAsia="Times New Roman"/>
          <w:b/>
          <w:bCs/>
          <w:sz w:val="30"/>
          <w:szCs w:val="30"/>
          <w:lang w:val="es-ES"/>
        </w:rPr>
        <w:t xml:space="preserve"> Perjuicios. </w:t>
      </w:r>
      <w:r>
        <w:rPr>
          <w:rFonts w:eastAsia="Times New Roman"/>
          <w:sz w:val="30"/>
          <w:szCs w:val="30"/>
          <w:lang w:val="es-ES"/>
        </w:rPr>
        <w:t>El girado que no observe las disposiciones de esta s</w:t>
      </w:r>
      <w:r>
        <w:rPr>
          <w:rFonts w:eastAsia="Times New Roman"/>
          <w:sz w:val="30"/>
          <w:szCs w:val="30"/>
          <w:lang w:val="es-ES"/>
        </w:rPr>
        <w:t>ección, responderá de los perjuicios hasta por una suma igual al importe del cheque.</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5 </w:t>
      </w:r>
      <w:r>
        <w:rPr>
          <w:rFonts w:eastAsia="Times New Roman"/>
          <w:b/>
          <w:bCs/>
          <w:sz w:val="36"/>
          <w:szCs w:val="36"/>
          <w:lang w:val="es-ES"/>
        </w:rPr>
        <w:br/>
        <w:t>DEL CHEQUE CERTIFICADO</w:t>
      </w:r>
    </w:p>
    <w:p w:rsidR="00000000" w:rsidRDefault="0018461E">
      <w:pPr>
        <w:divId w:val="2018455994"/>
        <w:rPr>
          <w:rFonts w:eastAsia="Times New Roman"/>
          <w:sz w:val="30"/>
          <w:szCs w:val="30"/>
          <w:lang w:val="es-ES"/>
        </w:rPr>
      </w:pPr>
      <w:r>
        <w:rPr>
          <w:rFonts w:eastAsia="Times New Roman"/>
          <w:sz w:val="30"/>
          <w:szCs w:val="30"/>
          <w:lang w:val="es-ES"/>
        </w:rPr>
        <w:t xml:space="preserve">Art. 503.- </w:t>
      </w:r>
      <w:r>
        <w:rPr>
          <w:rFonts w:eastAsia="Times New Roman"/>
          <w:b/>
          <w:bCs/>
          <w:sz w:val="30"/>
          <w:szCs w:val="30"/>
          <w:lang w:val="es-ES"/>
        </w:rPr>
        <w:t xml:space="preserve">Cheque certificado. </w:t>
      </w:r>
      <w:r>
        <w:rPr>
          <w:rFonts w:eastAsia="Times New Roman"/>
          <w:sz w:val="30"/>
          <w:szCs w:val="30"/>
          <w:lang w:val="es-ES"/>
        </w:rPr>
        <w:t>El cheque que contenga la palabra "certificado", escrita, fechada y firmada por el girado, obliga a este a pagar el cheque a su presentación y libera al girador de la responsabilidad del pago.</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6 </w:t>
      </w:r>
      <w:r>
        <w:rPr>
          <w:rFonts w:eastAsia="Times New Roman"/>
          <w:b/>
          <w:bCs/>
          <w:sz w:val="36"/>
          <w:szCs w:val="36"/>
          <w:lang w:val="es-ES"/>
        </w:rPr>
        <w:br/>
        <w:t>DE LAS ACCIONES POR FALTA DE PAGO</w:t>
      </w:r>
    </w:p>
    <w:p w:rsidR="00000000" w:rsidRDefault="0018461E">
      <w:pPr>
        <w:divId w:val="1191335539"/>
        <w:rPr>
          <w:rFonts w:eastAsia="Times New Roman"/>
          <w:sz w:val="30"/>
          <w:szCs w:val="30"/>
          <w:lang w:val="es-ES"/>
        </w:rPr>
      </w:pPr>
      <w:r>
        <w:rPr>
          <w:rFonts w:eastAsia="Times New Roman"/>
          <w:sz w:val="30"/>
          <w:szCs w:val="30"/>
          <w:lang w:val="es-ES"/>
        </w:rPr>
        <w:t>Art. 504.-</w:t>
      </w:r>
      <w:r>
        <w:rPr>
          <w:rFonts w:eastAsia="Times New Roman"/>
          <w:b/>
          <w:bCs/>
          <w:sz w:val="30"/>
          <w:szCs w:val="30"/>
          <w:lang w:val="es-ES"/>
        </w:rPr>
        <w:t xml:space="preserve"> Protes</w:t>
      </w:r>
      <w:r>
        <w:rPr>
          <w:rFonts w:eastAsia="Times New Roman"/>
          <w:b/>
          <w:bCs/>
          <w:sz w:val="30"/>
          <w:szCs w:val="30"/>
          <w:lang w:val="es-ES"/>
        </w:rPr>
        <w:t xml:space="preserve">to de cheques. </w:t>
      </w:r>
      <w:r>
        <w:rPr>
          <w:rFonts w:eastAsia="Times New Roman"/>
          <w:sz w:val="30"/>
          <w:szCs w:val="30"/>
          <w:lang w:val="es-ES"/>
        </w:rPr>
        <w:t>El portador o tenedor podrá ejercitar sus acciones contra el girador, el endosante y los demás obligados, cuando, presentando el cheque en tiempo hábil, no fuere pagado, siempre que la falta de pago se acredite por protesto, en cualquiera de</w:t>
      </w:r>
      <w:r>
        <w:rPr>
          <w:rFonts w:eastAsia="Times New Roman"/>
          <w:sz w:val="30"/>
          <w:szCs w:val="30"/>
          <w:lang w:val="es-ES"/>
        </w:rPr>
        <w:t xml:space="preserve"> las formas siguientes:</w:t>
      </w:r>
      <w:r>
        <w:rPr>
          <w:rFonts w:eastAsia="Times New Roman"/>
          <w:sz w:val="30"/>
          <w:szCs w:val="30"/>
          <w:lang w:val="es-ES"/>
        </w:rPr>
        <w:br/>
      </w:r>
      <w:r>
        <w:rPr>
          <w:rFonts w:eastAsia="Times New Roman"/>
          <w:sz w:val="30"/>
          <w:szCs w:val="30"/>
          <w:lang w:val="es-ES"/>
        </w:rPr>
        <w:br/>
        <w:t>1. Por declaración del girado, fechada y escrita en el cheque;</w:t>
      </w:r>
      <w:r>
        <w:rPr>
          <w:rFonts w:eastAsia="Times New Roman"/>
          <w:sz w:val="30"/>
          <w:szCs w:val="30"/>
          <w:lang w:val="es-ES"/>
        </w:rPr>
        <w:br/>
      </w:r>
      <w:r>
        <w:rPr>
          <w:rFonts w:eastAsia="Times New Roman"/>
          <w:sz w:val="30"/>
          <w:szCs w:val="30"/>
          <w:lang w:val="es-ES"/>
        </w:rPr>
        <w:br/>
        <w:t>2. Cuando el girado se negare a extender la declaración mencionada en el numeral anterior, un notario público del domicilio de la entidad financiera, a petición verbal</w:t>
      </w:r>
      <w:r>
        <w:rPr>
          <w:rFonts w:eastAsia="Times New Roman"/>
          <w:sz w:val="30"/>
          <w:szCs w:val="30"/>
          <w:lang w:val="es-ES"/>
        </w:rPr>
        <w:t xml:space="preserve"> o escrita del portador o tenedor, requerirá a la entidad el pago del cheque, y, en caso de negativa, extenderá el protesto haciendo constar el requerimiento, la negativa al pago y la razón de ésta; y,</w:t>
      </w:r>
      <w:r>
        <w:rPr>
          <w:rFonts w:eastAsia="Times New Roman"/>
          <w:sz w:val="30"/>
          <w:szCs w:val="30"/>
          <w:lang w:val="es-ES"/>
        </w:rPr>
        <w:br/>
      </w:r>
      <w:r>
        <w:rPr>
          <w:rFonts w:eastAsia="Times New Roman"/>
          <w:sz w:val="30"/>
          <w:szCs w:val="30"/>
          <w:lang w:val="es-ES"/>
        </w:rPr>
        <w:br/>
        <w:t>3. Por declaración fechada de una cámara de compensac</w:t>
      </w:r>
      <w:r>
        <w:rPr>
          <w:rFonts w:eastAsia="Times New Roman"/>
          <w:sz w:val="30"/>
          <w:szCs w:val="30"/>
          <w:lang w:val="es-ES"/>
        </w:rPr>
        <w:t>ión, en que conste que el cheque ha sido enviado en tiempo hábil y no ha sido pagado.</w:t>
      </w:r>
    </w:p>
    <w:p w:rsidR="00000000" w:rsidRDefault="0018461E">
      <w:pPr>
        <w:divId w:val="342512507"/>
        <w:rPr>
          <w:rFonts w:eastAsia="Times New Roman"/>
          <w:sz w:val="30"/>
          <w:szCs w:val="30"/>
          <w:lang w:val="es-ES"/>
        </w:rPr>
      </w:pPr>
      <w:r>
        <w:rPr>
          <w:rFonts w:eastAsia="Times New Roman"/>
          <w:sz w:val="30"/>
          <w:szCs w:val="30"/>
          <w:lang w:val="es-ES"/>
        </w:rPr>
        <w:t>Art. 505.-</w:t>
      </w:r>
      <w:r>
        <w:rPr>
          <w:rFonts w:eastAsia="Times New Roman"/>
          <w:b/>
          <w:bCs/>
          <w:sz w:val="30"/>
          <w:szCs w:val="30"/>
          <w:lang w:val="es-ES"/>
        </w:rPr>
        <w:t xml:space="preserve"> Pérdida de la acción. </w:t>
      </w:r>
      <w:r>
        <w:rPr>
          <w:rFonts w:eastAsia="Times New Roman"/>
          <w:sz w:val="30"/>
          <w:szCs w:val="30"/>
          <w:lang w:val="es-ES"/>
        </w:rPr>
        <w:t>El portador o tenedor que no presentare el cheque para el pago dentro del plazo legal, perderá su acción contra el endosante, y contra el</w:t>
      </w:r>
      <w:r>
        <w:rPr>
          <w:rFonts w:eastAsia="Times New Roman"/>
          <w:sz w:val="30"/>
          <w:szCs w:val="30"/>
          <w:lang w:val="es-ES"/>
        </w:rPr>
        <w:t xml:space="preserve"> girador, cuando, habiendo tenido fondos, se llegaren a perder, después de expirado el plazo, por haberse declarado en liquidación a la entidad financiera.</w:t>
      </w:r>
    </w:p>
    <w:p w:rsidR="00000000" w:rsidRDefault="0018461E">
      <w:pPr>
        <w:divId w:val="1147091723"/>
        <w:rPr>
          <w:rFonts w:eastAsia="Times New Roman"/>
          <w:sz w:val="30"/>
          <w:szCs w:val="30"/>
          <w:lang w:val="es-ES"/>
        </w:rPr>
      </w:pPr>
      <w:r>
        <w:rPr>
          <w:rFonts w:eastAsia="Times New Roman"/>
          <w:sz w:val="30"/>
          <w:szCs w:val="30"/>
          <w:lang w:val="es-ES"/>
        </w:rPr>
        <w:t>Art. 506.-</w:t>
      </w:r>
      <w:r>
        <w:rPr>
          <w:rFonts w:eastAsia="Times New Roman"/>
          <w:b/>
          <w:bCs/>
          <w:sz w:val="30"/>
          <w:szCs w:val="30"/>
          <w:lang w:val="es-ES"/>
        </w:rPr>
        <w:t xml:space="preserve"> Solidaridad. </w:t>
      </w:r>
      <w:r>
        <w:rPr>
          <w:rFonts w:eastAsia="Times New Roman"/>
          <w:sz w:val="30"/>
          <w:szCs w:val="30"/>
          <w:lang w:val="es-ES"/>
        </w:rPr>
        <w:t>Todas las personas obligadas en virtud del cheque, lo están solidariamente r</w:t>
      </w:r>
      <w:r>
        <w:rPr>
          <w:rFonts w:eastAsia="Times New Roman"/>
          <w:sz w:val="30"/>
          <w:szCs w:val="30"/>
          <w:lang w:val="es-ES"/>
        </w:rPr>
        <w:t>especto al portador o tenedor.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portador o tenedor tiene derecho a proceder contra todas estas personas, individual o colectivamente, sin que pueda ser compelido a observar el orden en que aquellas se hubieren obligado.</w:t>
      </w:r>
      <w:r>
        <w:rPr>
          <w:rFonts w:eastAsia="Times New Roman"/>
          <w:sz w:val="30"/>
          <w:szCs w:val="30"/>
          <w:lang w:val="es-ES"/>
        </w:rPr>
        <w:br/>
      </w:r>
      <w:r>
        <w:rPr>
          <w:rFonts w:eastAsia="Times New Roman"/>
          <w:sz w:val="30"/>
          <w:szCs w:val="30"/>
          <w:lang w:val="es-ES"/>
        </w:rPr>
        <w:br/>
        <w:t>Igual derecho corresponde a todo</w:t>
      </w:r>
      <w:r>
        <w:rPr>
          <w:rFonts w:eastAsia="Times New Roman"/>
          <w:sz w:val="30"/>
          <w:szCs w:val="30"/>
          <w:lang w:val="es-ES"/>
        </w:rPr>
        <w:t xml:space="preserve"> firmante de un cheque que haya pagado.</w:t>
      </w:r>
      <w:r>
        <w:rPr>
          <w:rFonts w:eastAsia="Times New Roman"/>
          <w:sz w:val="30"/>
          <w:szCs w:val="30"/>
          <w:lang w:val="es-ES"/>
        </w:rPr>
        <w:br/>
      </w:r>
      <w:r>
        <w:rPr>
          <w:rFonts w:eastAsia="Times New Roman"/>
          <w:sz w:val="30"/>
          <w:szCs w:val="30"/>
          <w:lang w:val="es-ES"/>
        </w:rPr>
        <w:br/>
        <w:t>La acción intentada contra uno de los obligados, no impide que se proceda contra los demás, incluso los posteriores a aquel contra el cual se procedió en principio.</w:t>
      </w:r>
    </w:p>
    <w:p w:rsidR="00000000" w:rsidRDefault="0018461E">
      <w:pPr>
        <w:divId w:val="1062362623"/>
        <w:rPr>
          <w:rFonts w:eastAsia="Times New Roman"/>
          <w:sz w:val="30"/>
          <w:szCs w:val="30"/>
          <w:lang w:val="es-ES"/>
        </w:rPr>
      </w:pPr>
      <w:r>
        <w:rPr>
          <w:rFonts w:eastAsia="Times New Roman"/>
          <w:sz w:val="30"/>
          <w:szCs w:val="30"/>
          <w:lang w:val="es-ES"/>
        </w:rPr>
        <w:t>Art. 507.-</w:t>
      </w:r>
      <w:r>
        <w:rPr>
          <w:rFonts w:eastAsia="Times New Roman"/>
          <w:b/>
          <w:bCs/>
          <w:sz w:val="30"/>
          <w:szCs w:val="30"/>
          <w:lang w:val="es-ES"/>
        </w:rPr>
        <w:t xml:space="preserve"> Valores a reclamar. </w:t>
      </w:r>
      <w:r>
        <w:rPr>
          <w:rFonts w:eastAsia="Times New Roman"/>
          <w:sz w:val="30"/>
          <w:szCs w:val="30"/>
          <w:lang w:val="es-ES"/>
        </w:rPr>
        <w:t>El portador o tened</w:t>
      </w:r>
      <w:r>
        <w:rPr>
          <w:rFonts w:eastAsia="Times New Roman"/>
          <w:sz w:val="30"/>
          <w:szCs w:val="30"/>
          <w:lang w:val="es-ES"/>
        </w:rPr>
        <w:t>or puede reclamar de aquel contra quien ejercita su acción:</w:t>
      </w:r>
      <w:r>
        <w:rPr>
          <w:rFonts w:eastAsia="Times New Roman"/>
          <w:sz w:val="30"/>
          <w:szCs w:val="30"/>
          <w:lang w:val="es-ES"/>
        </w:rPr>
        <w:br/>
      </w:r>
      <w:r>
        <w:rPr>
          <w:rFonts w:eastAsia="Times New Roman"/>
          <w:sz w:val="30"/>
          <w:szCs w:val="30"/>
          <w:lang w:val="es-ES"/>
        </w:rPr>
        <w:br/>
        <w:t>1. El importe del cheque no pagado;</w:t>
      </w:r>
      <w:r>
        <w:rPr>
          <w:rFonts w:eastAsia="Times New Roman"/>
          <w:sz w:val="30"/>
          <w:szCs w:val="30"/>
          <w:lang w:val="es-ES"/>
        </w:rPr>
        <w:br/>
      </w:r>
      <w:r>
        <w:rPr>
          <w:rFonts w:eastAsia="Times New Roman"/>
          <w:sz w:val="30"/>
          <w:szCs w:val="30"/>
          <w:lang w:val="es-ES"/>
        </w:rPr>
        <w:br/>
        <w:t>2. Sus intereses, a la tasa máxima, a partir de la fecha del protesto; y,</w:t>
      </w:r>
      <w:r>
        <w:rPr>
          <w:rFonts w:eastAsia="Times New Roman"/>
          <w:sz w:val="30"/>
          <w:szCs w:val="30"/>
          <w:lang w:val="es-ES"/>
        </w:rPr>
        <w:br/>
      </w:r>
      <w:r>
        <w:rPr>
          <w:rFonts w:eastAsia="Times New Roman"/>
          <w:sz w:val="30"/>
          <w:szCs w:val="30"/>
          <w:lang w:val="es-ES"/>
        </w:rPr>
        <w:br/>
        <w:t>3. Los gastos del protesto, los de las notificaciones y las costas procesales.</w:t>
      </w:r>
    </w:p>
    <w:p w:rsidR="00000000" w:rsidRDefault="0018461E">
      <w:pPr>
        <w:divId w:val="592058647"/>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508.-</w:t>
      </w:r>
      <w:r>
        <w:rPr>
          <w:rFonts w:eastAsia="Times New Roman"/>
          <w:b/>
          <w:bCs/>
          <w:sz w:val="30"/>
          <w:szCs w:val="30"/>
          <w:lang w:val="es-ES"/>
        </w:rPr>
        <w:t xml:space="preserve"> Reclamo a solidariamente obligados. </w:t>
      </w:r>
      <w:r>
        <w:rPr>
          <w:rFonts w:eastAsia="Times New Roman"/>
          <w:sz w:val="30"/>
          <w:szCs w:val="30"/>
          <w:lang w:val="es-ES"/>
        </w:rPr>
        <w:t>El que haya pagado el cheque puede reclamar de los solidariamente obligados:</w:t>
      </w:r>
      <w:r>
        <w:rPr>
          <w:rFonts w:eastAsia="Times New Roman"/>
          <w:sz w:val="30"/>
          <w:szCs w:val="30"/>
          <w:lang w:val="es-ES"/>
        </w:rPr>
        <w:br/>
      </w:r>
      <w:r>
        <w:rPr>
          <w:rFonts w:eastAsia="Times New Roman"/>
          <w:sz w:val="30"/>
          <w:szCs w:val="30"/>
          <w:lang w:val="es-ES"/>
        </w:rPr>
        <w:br/>
        <w:t>1. La suma íntegra pagada por él;</w:t>
      </w:r>
      <w:r>
        <w:rPr>
          <w:rFonts w:eastAsia="Times New Roman"/>
          <w:sz w:val="30"/>
          <w:szCs w:val="30"/>
          <w:lang w:val="es-ES"/>
        </w:rPr>
        <w:br/>
      </w:r>
      <w:r>
        <w:rPr>
          <w:rFonts w:eastAsia="Times New Roman"/>
          <w:sz w:val="30"/>
          <w:szCs w:val="30"/>
          <w:lang w:val="es-ES"/>
        </w:rPr>
        <w:br/>
        <w:t>2. Los intereses de dicha suma, calculados a la tasa máxima, a partir del día del pago; y,</w:t>
      </w:r>
      <w:r>
        <w:rPr>
          <w:rFonts w:eastAsia="Times New Roman"/>
          <w:sz w:val="30"/>
          <w:szCs w:val="30"/>
          <w:lang w:val="es-ES"/>
        </w:rPr>
        <w:br/>
      </w:r>
      <w:r>
        <w:rPr>
          <w:rFonts w:eastAsia="Times New Roman"/>
          <w:sz w:val="30"/>
          <w:szCs w:val="30"/>
          <w:lang w:val="es-ES"/>
        </w:rPr>
        <w:br/>
        <w:t>3. Las c</w:t>
      </w:r>
      <w:r>
        <w:rPr>
          <w:rFonts w:eastAsia="Times New Roman"/>
          <w:sz w:val="30"/>
          <w:szCs w:val="30"/>
          <w:lang w:val="es-ES"/>
        </w:rPr>
        <w:t>ostas procesales.</w:t>
      </w:r>
    </w:p>
    <w:p w:rsidR="00000000" w:rsidRDefault="0018461E">
      <w:pPr>
        <w:divId w:val="451480336"/>
        <w:rPr>
          <w:rFonts w:eastAsia="Times New Roman"/>
          <w:sz w:val="30"/>
          <w:szCs w:val="30"/>
          <w:lang w:val="es-ES"/>
        </w:rPr>
      </w:pPr>
      <w:r>
        <w:rPr>
          <w:rFonts w:eastAsia="Times New Roman"/>
          <w:sz w:val="30"/>
          <w:szCs w:val="30"/>
          <w:lang w:val="es-ES"/>
        </w:rPr>
        <w:t>Art. 509.-</w:t>
      </w:r>
      <w:r>
        <w:rPr>
          <w:rFonts w:eastAsia="Times New Roman"/>
          <w:b/>
          <w:bCs/>
          <w:sz w:val="30"/>
          <w:szCs w:val="30"/>
          <w:lang w:val="es-ES"/>
        </w:rPr>
        <w:t xml:space="preserve"> Entrega del cheque protestado. </w:t>
      </w:r>
      <w:r>
        <w:rPr>
          <w:rFonts w:eastAsia="Times New Roman"/>
          <w:sz w:val="30"/>
          <w:szCs w:val="30"/>
          <w:lang w:val="es-ES"/>
        </w:rPr>
        <w:t>Cualquier obligado contra el que se ejercite una acción o que esté expuesto a ella, puede exigir contra el pago la entrega del cheque protestado y un recibo.</w:t>
      </w:r>
    </w:p>
    <w:p w:rsidR="00000000" w:rsidRDefault="0018461E">
      <w:pPr>
        <w:divId w:val="1937009895"/>
        <w:rPr>
          <w:rFonts w:eastAsia="Times New Roman"/>
          <w:sz w:val="30"/>
          <w:szCs w:val="30"/>
          <w:lang w:val="es-ES"/>
        </w:rPr>
      </w:pPr>
      <w:r>
        <w:rPr>
          <w:rFonts w:eastAsia="Times New Roman"/>
          <w:sz w:val="30"/>
          <w:szCs w:val="30"/>
          <w:lang w:val="es-ES"/>
        </w:rPr>
        <w:t>Art. 510.-</w:t>
      </w:r>
      <w:r>
        <w:rPr>
          <w:rFonts w:eastAsia="Times New Roman"/>
          <w:b/>
          <w:bCs/>
          <w:sz w:val="30"/>
          <w:szCs w:val="30"/>
          <w:lang w:val="es-ES"/>
        </w:rPr>
        <w:t xml:space="preserve"> Fuerza mayor o caso fortuit</w:t>
      </w:r>
      <w:r>
        <w:rPr>
          <w:rFonts w:eastAsia="Times New Roman"/>
          <w:b/>
          <w:bCs/>
          <w:sz w:val="30"/>
          <w:szCs w:val="30"/>
          <w:lang w:val="es-ES"/>
        </w:rPr>
        <w:t xml:space="preserve">o. </w:t>
      </w:r>
      <w:r>
        <w:rPr>
          <w:rFonts w:eastAsia="Times New Roman"/>
          <w:sz w:val="30"/>
          <w:szCs w:val="30"/>
          <w:lang w:val="es-ES"/>
        </w:rPr>
        <w:t>Cuando la presentación del cheque o el levantamiento del protesto no puedan efectuarse en los plazos prescritos, por fuerza mayor o caso fortuito, estos plazos se prorrogarán hasta cuando hayan cesado dichos acontecimientos.</w:t>
      </w:r>
      <w:r>
        <w:rPr>
          <w:rFonts w:eastAsia="Times New Roman"/>
          <w:sz w:val="30"/>
          <w:szCs w:val="30"/>
          <w:lang w:val="es-ES"/>
        </w:rPr>
        <w:br/>
      </w:r>
      <w:r>
        <w:rPr>
          <w:rFonts w:eastAsia="Times New Roman"/>
          <w:sz w:val="30"/>
          <w:szCs w:val="30"/>
          <w:lang w:val="es-ES"/>
        </w:rPr>
        <w:br/>
        <w:t>No se considerarán como cas</w:t>
      </w:r>
      <w:r>
        <w:rPr>
          <w:rFonts w:eastAsia="Times New Roman"/>
          <w:sz w:val="30"/>
          <w:szCs w:val="30"/>
          <w:lang w:val="es-ES"/>
        </w:rPr>
        <w:t>os de fuerza mayor los hechos puramente personales del portador o tenedor o de aquél a quien se haya encargado la presentación del cheque o del levantamiento del protesto.</w:t>
      </w:r>
    </w:p>
    <w:p w:rsidR="00000000" w:rsidRDefault="0018461E">
      <w:pPr>
        <w:divId w:val="309335943"/>
        <w:rPr>
          <w:rFonts w:eastAsia="Times New Roman"/>
          <w:sz w:val="30"/>
          <w:szCs w:val="30"/>
          <w:lang w:val="es-ES"/>
        </w:rPr>
      </w:pPr>
      <w:r>
        <w:rPr>
          <w:rFonts w:eastAsia="Times New Roman"/>
          <w:sz w:val="30"/>
          <w:szCs w:val="30"/>
          <w:lang w:val="es-ES"/>
        </w:rPr>
        <w:lastRenderedPageBreak/>
        <w:t>Art. 511.-</w:t>
      </w:r>
      <w:r>
        <w:rPr>
          <w:rFonts w:eastAsia="Times New Roman"/>
          <w:b/>
          <w:bCs/>
          <w:sz w:val="30"/>
          <w:szCs w:val="30"/>
          <w:lang w:val="es-ES"/>
        </w:rPr>
        <w:t xml:space="preserve"> Alteración del cheque. </w:t>
      </w:r>
      <w:r>
        <w:rPr>
          <w:rFonts w:eastAsia="Times New Roman"/>
          <w:sz w:val="30"/>
          <w:szCs w:val="30"/>
          <w:lang w:val="es-ES"/>
        </w:rPr>
        <w:t xml:space="preserve">En caso de alteración del texto de un cheque, los </w:t>
      </w:r>
      <w:r>
        <w:rPr>
          <w:rFonts w:eastAsia="Times New Roman"/>
          <w:sz w:val="30"/>
          <w:szCs w:val="30"/>
          <w:lang w:val="es-ES"/>
        </w:rPr>
        <w:t>firmantes posteriores a la alteración quedarán obligados con arreglo a los términos del texto; pero los firmantes anteriores lo estarán solamente con arreglo al texto original.</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7 </w:t>
      </w:r>
      <w:r>
        <w:rPr>
          <w:rFonts w:eastAsia="Times New Roman"/>
          <w:b/>
          <w:bCs/>
          <w:sz w:val="36"/>
          <w:szCs w:val="36"/>
          <w:lang w:val="es-ES"/>
        </w:rPr>
        <w:br/>
        <w:t>DE LA PRESCRIPCIÓN</w:t>
      </w:r>
    </w:p>
    <w:p w:rsidR="00000000" w:rsidRDefault="0018461E">
      <w:pPr>
        <w:divId w:val="710613928"/>
        <w:rPr>
          <w:rFonts w:eastAsia="Times New Roman"/>
          <w:sz w:val="30"/>
          <w:szCs w:val="30"/>
          <w:lang w:val="es-ES"/>
        </w:rPr>
      </w:pPr>
      <w:r>
        <w:rPr>
          <w:rFonts w:eastAsia="Times New Roman"/>
          <w:sz w:val="30"/>
          <w:szCs w:val="30"/>
          <w:lang w:val="es-ES"/>
        </w:rPr>
        <w:t>Art. 512.-</w:t>
      </w:r>
      <w:r>
        <w:rPr>
          <w:rFonts w:eastAsia="Times New Roman"/>
          <w:b/>
          <w:bCs/>
          <w:sz w:val="30"/>
          <w:szCs w:val="30"/>
          <w:lang w:val="es-ES"/>
        </w:rPr>
        <w:t xml:space="preserve"> Prescripción. </w:t>
      </w:r>
      <w:r>
        <w:rPr>
          <w:rFonts w:eastAsia="Times New Roman"/>
          <w:sz w:val="30"/>
          <w:szCs w:val="30"/>
          <w:lang w:val="es-ES"/>
        </w:rPr>
        <w:t>Las acciones que corres</w:t>
      </w:r>
      <w:r>
        <w:rPr>
          <w:rFonts w:eastAsia="Times New Roman"/>
          <w:sz w:val="30"/>
          <w:szCs w:val="30"/>
          <w:lang w:val="es-ES"/>
        </w:rPr>
        <w:t>ponden al portador o tenedor contra el girador, los endosantes y demás obligados, prescriben a los seis meses, contados desde la expiración del plazo de presentación.</w:t>
      </w:r>
      <w:r>
        <w:rPr>
          <w:rFonts w:eastAsia="Times New Roman"/>
          <w:sz w:val="30"/>
          <w:szCs w:val="30"/>
          <w:lang w:val="es-ES"/>
        </w:rPr>
        <w:br/>
      </w:r>
      <w:r>
        <w:rPr>
          <w:rFonts w:eastAsia="Times New Roman"/>
          <w:sz w:val="30"/>
          <w:szCs w:val="30"/>
          <w:lang w:val="es-ES"/>
        </w:rPr>
        <w:br/>
        <w:t>Las acciones que correspondan entre sí a los diversos obligados al pago de un cheque, pr</w:t>
      </w:r>
      <w:r>
        <w:rPr>
          <w:rFonts w:eastAsia="Times New Roman"/>
          <w:sz w:val="30"/>
          <w:szCs w:val="30"/>
          <w:lang w:val="es-ES"/>
        </w:rPr>
        <w:t>escriben a los seis meses, a contar desde el día en que un obligado ha pagado el cheque o desde el día en que se ha ejercitado una acción contra él.</w:t>
      </w:r>
    </w:p>
    <w:p w:rsidR="00000000" w:rsidRDefault="0018461E">
      <w:pPr>
        <w:divId w:val="284579968"/>
        <w:rPr>
          <w:rFonts w:eastAsia="Times New Roman"/>
          <w:sz w:val="30"/>
          <w:szCs w:val="30"/>
          <w:lang w:val="es-ES"/>
        </w:rPr>
      </w:pPr>
      <w:r>
        <w:rPr>
          <w:rFonts w:eastAsia="Times New Roman"/>
          <w:sz w:val="30"/>
          <w:szCs w:val="30"/>
          <w:lang w:val="es-ES"/>
        </w:rPr>
        <w:t>Art. 513.-</w:t>
      </w:r>
      <w:r>
        <w:rPr>
          <w:rFonts w:eastAsia="Times New Roman"/>
          <w:b/>
          <w:bCs/>
          <w:sz w:val="30"/>
          <w:szCs w:val="30"/>
          <w:lang w:val="es-ES"/>
        </w:rPr>
        <w:t xml:space="preserve"> Interrupción de la prescripción. </w:t>
      </w:r>
      <w:r>
        <w:rPr>
          <w:rFonts w:eastAsia="Times New Roman"/>
          <w:sz w:val="30"/>
          <w:szCs w:val="30"/>
          <w:lang w:val="es-ES"/>
        </w:rPr>
        <w:t>La prescripción se interrumpe de conformidad con las disposicio</w:t>
      </w:r>
      <w:r>
        <w:rPr>
          <w:rFonts w:eastAsia="Times New Roman"/>
          <w:sz w:val="30"/>
          <w:szCs w:val="30"/>
          <w:lang w:val="es-ES"/>
        </w:rPr>
        <w:t>nes contenidas en la ley.</w:t>
      </w:r>
    </w:p>
    <w:p w:rsidR="00000000" w:rsidRDefault="0018461E">
      <w:pPr>
        <w:jc w:val="center"/>
        <w:rPr>
          <w:rFonts w:eastAsia="Times New Roman"/>
          <w:sz w:val="36"/>
          <w:szCs w:val="36"/>
          <w:lang w:val="es-ES"/>
        </w:rPr>
      </w:pPr>
      <w:r>
        <w:rPr>
          <w:rFonts w:eastAsia="Times New Roman"/>
          <w:b/>
          <w:bCs/>
          <w:sz w:val="36"/>
          <w:szCs w:val="36"/>
          <w:lang w:val="es-ES"/>
        </w:rPr>
        <w:br/>
        <w:t xml:space="preserve">Sección 8 </w:t>
      </w:r>
      <w:r>
        <w:rPr>
          <w:rFonts w:eastAsia="Times New Roman"/>
          <w:b/>
          <w:bCs/>
          <w:sz w:val="36"/>
          <w:szCs w:val="36"/>
          <w:lang w:val="es-ES"/>
        </w:rPr>
        <w:br/>
        <w:t>CONFLICTOS DE LEYES</w:t>
      </w:r>
    </w:p>
    <w:p w:rsidR="00000000" w:rsidRDefault="0018461E">
      <w:pPr>
        <w:divId w:val="1356496043"/>
        <w:rPr>
          <w:rFonts w:eastAsia="Times New Roman"/>
          <w:sz w:val="30"/>
          <w:szCs w:val="30"/>
          <w:lang w:val="es-ES"/>
        </w:rPr>
      </w:pPr>
      <w:r>
        <w:rPr>
          <w:rFonts w:eastAsia="Times New Roman"/>
          <w:sz w:val="30"/>
          <w:szCs w:val="30"/>
          <w:lang w:val="es-ES"/>
        </w:rPr>
        <w:t>Art. 514.-</w:t>
      </w:r>
      <w:r>
        <w:rPr>
          <w:rFonts w:eastAsia="Times New Roman"/>
          <w:b/>
          <w:bCs/>
          <w:sz w:val="30"/>
          <w:szCs w:val="30"/>
          <w:lang w:val="es-ES"/>
        </w:rPr>
        <w:t xml:space="preserve"> Conflicto de leyes. </w:t>
      </w:r>
      <w:r>
        <w:rPr>
          <w:rFonts w:eastAsia="Times New Roman"/>
          <w:sz w:val="30"/>
          <w:szCs w:val="30"/>
          <w:lang w:val="es-ES"/>
        </w:rPr>
        <w:t>En lo relativo a conflicto de leyes, la ley del Estado en que el cheque debe pagarse, determina:</w:t>
      </w:r>
      <w:r>
        <w:rPr>
          <w:rFonts w:eastAsia="Times New Roman"/>
          <w:sz w:val="30"/>
          <w:szCs w:val="30"/>
          <w:lang w:val="es-ES"/>
        </w:rPr>
        <w:br/>
      </w:r>
      <w:r>
        <w:rPr>
          <w:rFonts w:eastAsia="Times New Roman"/>
          <w:sz w:val="30"/>
          <w:szCs w:val="30"/>
          <w:lang w:val="es-ES"/>
        </w:rPr>
        <w:br/>
        <w:t>1. El término de presentación;</w:t>
      </w:r>
      <w:r>
        <w:rPr>
          <w:rFonts w:eastAsia="Times New Roman"/>
          <w:sz w:val="30"/>
          <w:szCs w:val="30"/>
          <w:lang w:val="es-ES"/>
        </w:rPr>
        <w:br/>
      </w:r>
      <w:r>
        <w:rPr>
          <w:rFonts w:eastAsia="Times New Roman"/>
          <w:sz w:val="30"/>
          <w:szCs w:val="30"/>
          <w:lang w:val="es-ES"/>
        </w:rPr>
        <w:br/>
        <w:t>2. Si puede ser aceptado, cruzado, ce</w:t>
      </w:r>
      <w:r>
        <w:rPr>
          <w:rFonts w:eastAsia="Times New Roman"/>
          <w:sz w:val="30"/>
          <w:szCs w:val="30"/>
          <w:lang w:val="es-ES"/>
        </w:rPr>
        <w:t>rtificado o confirmado, y los efectos de esas operaciones;</w:t>
      </w:r>
      <w:r>
        <w:rPr>
          <w:rFonts w:eastAsia="Times New Roman"/>
          <w:sz w:val="30"/>
          <w:szCs w:val="30"/>
          <w:lang w:val="es-ES"/>
        </w:rPr>
        <w:br/>
      </w:r>
      <w:r>
        <w:rPr>
          <w:rFonts w:eastAsia="Times New Roman"/>
          <w:sz w:val="30"/>
          <w:szCs w:val="30"/>
          <w:lang w:val="es-ES"/>
        </w:rPr>
        <w:br/>
        <w:t>3. Los derechos del tenedor sobre la provisión de fondos y su naturaleza;</w:t>
      </w:r>
      <w:r>
        <w:rPr>
          <w:rFonts w:eastAsia="Times New Roman"/>
          <w:sz w:val="30"/>
          <w:szCs w:val="30"/>
          <w:lang w:val="es-ES"/>
        </w:rPr>
        <w:br/>
      </w:r>
      <w:r>
        <w:rPr>
          <w:rFonts w:eastAsia="Times New Roman"/>
          <w:sz w:val="30"/>
          <w:szCs w:val="30"/>
          <w:lang w:val="es-ES"/>
        </w:rPr>
        <w:br/>
        <w:t>4. Los derechos del girador para revocar el cheque u oponerse al pago;</w:t>
      </w:r>
      <w:r>
        <w:rPr>
          <w:rFonts w:eastAsia="Times New Roman"/>
          <w:sz w:val="30"/>
          <w:szCs w:val="30"/>
          <w:lang w:val="es-ES"/>
        </w:rPr>
        <w:br/>
      </w:r>
      <w:r>
        <w:rPr>
          <w:rFonts w:eastAsia="Times New Roman"/>
          <w:sz w:val="30"/>
          <w:szCs w:val="30"/>
          <w:lang w:val="es-ES"/>
        </w:rPr>
        <w:br/>
        <w:t>5. La necesidad del protesto u otro acto equivale</w:t>
      </w:r>
      <w:r>
        <w:rPr>
          <w:rFonts w:eastAsia="Times New Roman"/>
          <w:sz w:val="30"/>
          <w:szCs w:val="30"/>
          <w:lang w:val="es-ES"/>
        </w:rPr>
        <w:t>nte para conservar los derechos contra los endosantes, el girador u otros obligados; y,</w:t>
      </w:r>
      <w:r>
        <w:rPr>
          <w:rFonts w:eastAsia="Times New Roman"/>
          <w:sz w:val="30"/>
          <w:szCs w:val="30"/>
          <w:lang w:val="es-ES"/>
        </w:rPr>
        <w:br/>
      </w:r>
      <w:r>
        <w:rPr>
          <w:rFonts w:eastAsia="Times New Roman"/>
          <w:sz w:val="30"/>
          <w:szCs w:val="30"/>
          <w:lang w:val="es-ES"/>
        </w:rPr>
        <w:br/>
        <w:t>6. Las demás situaciones referentes a las modalidades del cheque.</w:t>
      </w:r>
    </w:p>
    <w:p w:rsidR="00000000" w:rsidRDefault="0018461E">
      <w:pPr>
        <w:jc w:val="center"/>
        <w:rPr>
          <w:rFonts w:eastAsia="Times New Roman"/>
          <w:sz w:val="36"/>
          <w:szCs w:val="36"/>
          <w:lang w:val="es-ES"/>
        </w:rPr>
      </w:pPr>
      <w:r>
        <w:rPr>
          <w:rFonts w:eastAsia="Times New Roman"/>
          <w:b/>
          <w:bCs/>
          <w:sz w:val="36"/>
          <w:szCs w:val="36"/>
          <w:lang w:val="es-ES"/>
        </w:rPr>
        <w:lastRenderedPageBreak/>
        <w:br/>
        <w:t xml:space="preserve">Sección 9 </w:t>
      </w:r>
      <w:r>
        <w:rPr>
          <w:rFonts w:eastAsia="Times New Roman"/>
          <w:b/>
          <w:bCs/>
          <w:sz w:val="36"/>
          <w:szCs w:val="36"/>
          <w:lang w:val="es-ES"/>
        </w:rPr>
        <w:br/>
        <w:t>NORMAS COMUNES</w:t>
      </w:r>
    </w:p>
    <w:p w:rsidR="00000000" w:rsidRDefault="0018461E">
      <w:pPr>
        <w:divId w:val="1699545315"/>
        <w:rPr>
          <w:rFonts w:eastAsia="Times New Roman"/>
          <w:sz w:val="30"/>
          <w:szCs w:val="30"/>
          <w:lang w:val="es-ES"/>
        </w:rPr>
      </w:pPr>
      <w:r>
        <w:rPr>
          <w:rFonts w:eastAsia="Times New Roman"/>
          <w:sz w:val="30"/>
          <w:szCs w:val="30"/>
          <w:lang w:val="es-ES"/>
        </w:rPr>
        <w:t>Art. 515.-</w:t>
      </w:r>
      <w:r>
        <w:rPr>
          <w:rFonts w:eastAsia="Times New Roman"/>
          <w:b/>
          <w:bCs/>
          <w:sz w:val="30"/>
          <w:szCs w:val="30"/>
          <w:lang w:val="es-ES"/>
        </w:rPr>
        <w:t xml:space="preserve"> Plazo para presentación y protesto de un cheque. </w:t>
      </w:r>
      <w:r>
        <w:rPr>
          <w:rFonts w:eastAsia="Times New Roman"/>
          <w:sz w:val="30"/>
          <w:szCs w:val="30"/>
          <w:lang w:val="es-ES"/>
        </w:rPr>
        <w:t>La presentació</w:t>
      </w:r>
      <w:r>
        <w:rPr>
          <w:rFonts w:eastAsia="Times New Roman"/>
          <w:sz w:val="30"/>
          <w:szCs w:val="30"/>
          <w:lang w:val="es-ES"/>
        </w:rPr>
        <w:t>n y el protesto de un cheque deben realizarse dentro de los plazos previstos en el artículo 493 y en un día hábil para la diligencia respectiva.</w:t>
      </w:r>
      <w:r>
        <w:rPr>
          <w:rFonts w:eastAsia="Times New Roman"/>
          <w:sz w:val="30"/>
          <w:szCs w:val="30"/>
          <w:lang w:val="es-ES"/>
        </w:rPr>
        <w:br/>
      </w:r>
      <w:r>
        <w:rPr>
          <w:rFonts w:eastAsia="Times New Roman"/>
          <w:sz w:val="30"/>
          <w:szCs w:val="30"/>
          <w:lang w:val="es-ES"/>
        </w:rPr>
        <w:br/>
        <w:t>Cuando el último día del plazo no sea día laborable, quedará prorrogado hasta el primer día hábil siguiente. L</w:t>
      </w:r>
      <w:r>
        <w:rPr>
          <w:rFonts w:eastAsia="Times New Roman"/>
          <w:sz w:val="30"/>
          <w:szCs w:val="30"/>
          <w:lang w:val="es-ES"/>
        </w:rPr>
        <w:t>os días feriados intermedios se incluirán en el cómputo del plazo.</w:t>
      </w:r>
    </w:p>
    <w:p w:rsidR="00000000" w:rsidRDefault="0018461E">
      <w:pPr>
        <w:divId w:val="179664831"/>
        <w:rPr>
          <w:rFonts w:eastAsia="Times New Roman"/>
          <w:sz w:val="30"/>
          <w:szCs w:val="30"/>
          <w:lang w:val="es-ES"/>
        </w:rPr>
      </w:pPr>
      <w:r>
        <w:rPr>
          <w:rFonts w:eastAsia="Times New Roman"/>
          <w:sz w:val="30"/>
          <w:szCs w:val="30"/>
          <w:lang w:val="es-ES"/>
        </w:rPr>
        <w:t>Art. 516.-</w:t>
      </w:r>
      <w:r>
        <w:rPr>
          <w:rFonts w:eastAsia="Times New Roman"/>
          <w:b/>
          <w:bCs/>
          <w:sz w:val="30"/>
          <w:szCs w:val="30"/>
          <w:lang w:val="es-ES"/>
        </w:rPr>
        <w:t xml:space="preserve"> Título ejecutivo. </w:t>
      </w:r>
      <w:r>
        <w:rPr>
          <w:rFonts w:eastAsia="Times New Roman"/>
          <w:sz w:val="30"/>
          <w:szCs w:val="30"/>
          <w:lang w:val="es-ES"/>
        </w:rPr>
        <w:t>El cheque no pagado por falta o insuficiencia de fondos y protestado dentro del plazo de presentación, constituye título ejecutivo. Igualmente constituye título</w:t>
      </w:r>
      <w:r>
        <w:rPr>
          <w:rFonts w:eastAsia="Times New Roman"/>
          <w:sz w:val="30"/>
          <w:szCs w:val="30"/>
          <w:lang w:val="es-ES"/>
        </w:rPr>
        <w:t xml:space="preserve"> ejecutivo el comprobante a que se refiere el inciso tercero del artículo 497.</w:t>
      </w:r>
      <w:r>
        <w:rPr>
          <w:rFonts w:eastAsia="Times New Roman"/>
          <w:sz w:val="30"/>
          <w:szCs w:val="30"/>
          <w:lang w:val="es-ES"/>
        </w:rPr>
        <w:br/>
      </w:r>
      <w:r>
        <w:rPr>
          <w:rFonts w:eastAsia="Times New Roman"/>
          <w:sz w:val="30"/>
          <w:szCs w:val="30"/>
          <w:lang w:val="es-ES"/>
        </w:rPr>
        <w:br/>
        <w:t>En los demás casos, salvo disposición legal en contrario, el pago de un cheque podrá reclamarse en juicio verbal sumario.</w:t>
      </w:r>
      <w:r>
        <w:rPr>
          <w:rFonts w:eastAsia="Times New Roman"/>
          <w:sz w:val="30"/>
          <w:szCs w:val="30"/>
          <w:lang w:val="es-ES"/>
        </w:rPr>
        <w:br/>
      </w:r>
      <w:r>
        <w:rPr>
          <w:rFonts w:eastAsia="Times New Roman"/>
          <w:sz w:val="30"/>
          <w:szCs w:val="30"/>
          <w:lang w:val="es-ES"/>
        </w:rPr>
        <w:br/>
        <w:t xml:space="preserve">La acción civil intentada para el pago de un cheque, </w:t>
      </w:r>
      <w:r>
        <w:rPr>
          <w:rFonts w:eastAsia="Times New Roman"/>
          <w:sz w:val="30"/>
          <w:szCs w:val="30"/>
          <w:lang w:val="es-ES"/>
        </w:rPr>
        <w:t>no perjudica la acción penal correspondiente.</w:t>
      </w:r>
    </w:p>
    <w:p w:rsidR="00000000" w:rsidRDefault="0018461E">
      <w:pPr>
        <w:divId w:val="403727710"/>
        <w:rPr>
          <w:rFonts w:eastAsia="Times New Roman"/>
          <w:sz w:val="30"/>
          <w:szCs w:val="30"/>
          <w:lang w:val="es-ES"/>
        </w:rPr>
      </w:pPr>
      <w:r>
        <w:rPr>
          <w:rFonts w:eastAsia="Times New Roman"/>
          <w:sz w:val="30"/>
          <w:szCs w:val="30"/>
          <w:lang w:val="es-ES"/>
        </w:rPr>
        <w:t>Art. 517.-</w:t>
      </w:r>
      <w:r>
        <w:rPr>
          <w:rFonts w:eastAsia="Times New Roman"/>
          <w:b/>
          <w:bCs/>
          <w:sz w:val="30"/>
          <w:szCs w:val="30"/>
          <w:lang w:val="es-ES"/>
        </w:rPr>
        <w:t xml:space="preserve"> Plazo máximo para pago de cheque. </w:t>
      </w:r>
      <w:r>
        <w:rPr>
          <w:rFonts w:eastAsia="Times New Roman"/>
          <w:sz w:val="30"/>
          <w:szCs w:val="30"/>
          <w:lang w:val="es-ES"/>
        </w:rPr>
        <w:t>El girado puede pagar un cheque aun después de expirados los plazos establecidos en el artículo 493 y dentro de los trece meses posteriores a la fecha de su emisión.</w:t>
      </w:r>
    </w:p>
    <w:p w:rsidR="00000000" w:rsidRDefault="0018461E">
      <w:pPr>
        <w:divId w:val="2017926654"/>
        <w:rPr>
          <w:rFonts w:eastAsia="Times New Roman"/>
          <w:sz w:val="30"/>
          <w:szCs w:val="30"/>
          <w:lang w:val="es-ES"/>
        </w:rPr>
      </w:pPr>
      <w:r>
        <w:rPr>
          <w:rFonts w:eastAsia="Times New Roman"/>
          <w:sz w:val="30"/>
          <w:szCs w:val="30"/>
          <w:lang w:val="es-ES"/>
        </w:rPr>
        <w:t>Art. 518.-</w:t>
      </w:r>
      <w:r>
        <w:rPr>
          <w:rFonts w:eastAsia="Times New Roman"/>
          <w:b/>
          <w:bCs/>
          <w:sz w:val="30"/>
          <w:szCs w:val="30"/>
          <w:lang w:val="es-ES"/>
        </w:rPr>
        <w:t xml:space="preserve"> Pérdida causada por pago cheque falsificado. </w:t>
      </w:r>
      <w:r>
        <w:rPr>
          <w:rFonts w:eastAsia="Times New Roman"/>
          <w:sz w:val="30"/>
          <w:szCs w:val="30"/>
          <w:lang w:val="es-ES"/>
        </w:rPr>
        <w:t>La pérdida causada por el pago de un cheque falsificado no comprendido en la numeración del girador, corresponde al girado.</w:t>
      </w:r>
      <w:r>
        <w:rPr>
          <w:rFonts w:eastAsia="Times New Roman"/>
          <w:sz w:val="30"/>
          <w:szCs w:val="30"/>
          <w:lang w:val="es-ES"/>
        </w:rPr>
        <w:br/>
      </w:r>
      <w:r>
        <w:rPr>
          <w:rFonts w:eastAsia="Times New Roman"/>
          <w:sz w:val="30"/>
          <w:szCs w:val="30"/>
          <w:lang w:val="es-ES"/>
        </w:rPr>
        <w:br/>
        <w:t>La pérdida causada por el pago de cheques falsificados, comprendidos en la</w:t>
      </w:r>
      <w:r>
        <w:rPr>
          <w:rFonts w:eastAsia="Times New Roman"/>
          <w:sz w:val="30"/>
          <w:szCs w:val="30"/>
          <w:lang w:val="es-ES"/>
        </w:rPr>
        <w:t xml:space="preserve"> numeración del girador, corresponde a este o al girado, según tenga uno u otro culpa en la pérdida. Si ninguno de los dos tuviere culpa, la pérdida corresponderá al girado.</w:t>
      </w:r>
      <w:r>
        <w:rPr>
          <w:rFonts w:eastAsia="Times New Roman"/>
          <w:sz w:val="30"/>
          <w:szCs w:val="30"/>
          <w:lang w:val="es-ES"/>
        </w:rPr>
        <w:br/>
      </w:r>
      <w:r>
        <w:rPr>
          <w:rFonts w:eastAsia="Times New Roman"/>
          <w:sz w:val="30"/>
          <w:szCs w:val="30"/>
          <w:lang w:val="es-ES"/>
        </w:rPr>
        <w:br/>
        <w:t>Si el girador no reclamare dentro de los seis meses de presentado por el girado e</w:t>
      </w:r>
      <w:r>
        <w:rPr>
          <w:rFonts w:eastAsia="Times New Roman"/>
          <w:sz w:val="30"/>
          <w:szCs w:val="30"/>
          <w:lang w:val="es-ES"/>
        </w:rPr>
        <w:t>l estado de la cuenta corriente, en el que conste el pago de cheques falsificados, la pérdida causada por el pago de tales cheques corresponderá al girador.</w:t>
      </w:r>
      <w:r>
        <w:rPr>
          <w:rFonts w:eastAsia="Times New Roman"/>
          <w:sz w:val="30"/>
          <w:szCs w:val="30"/>
          <w:lang w:val="es-ES"/>
        </w:rPr>
        <w:br/>
      </w:r>
      <w:r>
        <w:rPr>
          <w:rFonts w:eastAsia="Times New Roman"/>
          <w:sz w:val="30"/>
          <w:szCs w:val="30"/>
          <w:lang w:val="es-ES"/>
        </w:rPr>
        <w:lastRenderedPageBreak/>
        <w:br/>
        <w:t>Prohíbase toda estipulación contraria a lo dispuesto en este artículo.</w:t>
      </w:r>
    </w:p>
    <w:p w:rsidR="00000000" w:rsidRDefault="0018461E">
      <w:pPr>
        <w:divId w:val="1013803889"/>
        <w:rPr>
          <w:rFonts w:eastAsia="Times New Roman"/>
          <w:sz w:val="30"/>
          <w:szCs w:val="30"/>
          <w:lang w:val="es-ES"/>
        </w:rPr>
      </w:pPr>
      <w:r>
        <w:rPr>
          <w:rFonts w:eastAsia="Times New Roman"/>
          <w:sz w:val="30"/>
          <w:szCs w:val="30"/>
          <w:lang w:val="es-ES"/>
        </w:rPr>
        <w:t>Art. 519.-</w:t>
      </w:r>
      <w:r>
        <w:rPr>
          <w:rFonts w:eastAsia="Times New Roman"/>
          <w:b/>
          <w:bCs/>
          <w:sz w:val="30"/>
          <w:szCs w:val="30"/>
          <w:lang w:val="es-ES"/>
        </w:rPr>
        <w:t xml:space="preserve"> Regulación. </w:t>
      </w:r>
      <w:r>
        <w:rPr>
          <w:rFonts w:eastAsia="Times New Roman"/>
          <w:sz w:val="30"/>
          <w:szCs w:val="30"/>
          <w:lang w:val="es-ES"/>
        </w:rPr>
        <w:t>La J</w:t>
      </w:r>
      <w:r>
        <w:rPr>
          <w:rFonts w:eastAsia="Times New Roman"/>
          <w:sz w:val="30"/>
          <w:szCs w:val="30"/>
          <w:lang w:val="es-ES"/>
        </w:rPr>
        <w:t>unta de Política y Regulación Monetaria y Financiera, dictará las normas de carácter general necesarias a efectos de la aplicación de las disposiciones relativas a los cheques contempladas en este Código.</w:t>
      </w:r>
      <w:r>
        <w:rPr>
          <w:rFonts w:eastAsia="Times New Roman"/>
          <w:sz w:val="30"/>
          <w:szCs w:val="30"/>
          <w:lang w:val="es-ES"/>
        </w:rPr>
        <w:br/>
      </w:r>
      <w:r>
        <w:rPr>
          <w:rFonts w:eastAsia="Times New Roman"/>
          <w:sz w:val="30"/>
          <w:szCs w:val="30"/>
          <w:lang w:val="es-ES"/>
        </w:rPr>
        <w:br/>
        <w:t>El Banco Central del Ecuador regulará el procesami</w:t>
      </w:r>
      <w:r>
        <w:rPr>
          <w:rFonts w:eastAsia="Times New Roman"/>
          <w:sz w:val="30"/>
          <w:szCs w:val="30"/>
          <w:lang w:val="es-ES"/>
        </w:rPr>
        <w:t>ento de los cheques digitalizados en la cámara de compensación de cheques.</w:t>
      </w:r>
      <w:r>
        <w:rPr>
          <w:rFonts w:eastAsia="Times New Roman"/>
          <w:sz w:val="30"/>
          <w:szCs w:val="30"/>
          <w:lang w:val="es-ES"/>
        </w:rPr>
        <w:br/>
      </w:r>
      <w:r>
        <w:rPr>
          <w:rFonts w:eastAsia="Times New Roman"/>
          <w:sz w:val="30"/>
          <w:szCs w:val="30"/>
          <w:lang w:val="es-ES"/>
        </w:rPr>
        <w:br/>
        <w:t>Las imágenes digitalizadas de los cheques procesadas en la cámara de compensación de cheques, tendrán igual valor probatorio que el original.</w:t>
      </w:r>
      <w:r>
        <w:rPr>
          <w:rFonts w:eastAsia="Times New Roman"/>
          <w:sz w:val="30"/>
          <w:szCs w:val="30"/>
          <w:lang w:val="es-ES"/>
        </w:rPr>
        <w:br/>
      </w:r>
      <w:r>
        <w:rPr>
          <w:rFonts w:eastAsia="Times New Roman"/>
          <w:sz w:val="30"/>
          <w:szCs w:val="30"/>
          <w:lang w:val="es-ES"/>
        </w:rPr>
        <w:br/>
        <w:t>Las entidades financieras están facul</w:t>
      </w:r>
      <w:r>
        <w:rPr>
          <w:rFonts w:eastAsia="Times New Roman"/>
          <w:sz w:val="30"/>
          <w:szCs w:val="30"/>
          <w:lang w:val="es-ES"/>
        </w:rPr>
        <w:t>tadas para destruir los cheques físicos recibidos en depósito, una vez vencido el plazo determinado para mantenerlos en forma física.</w:t>
      </w:r>
    </w:p>
    <w:p w:rsidR="00000000" w:rsidRDefault="0018461E">
      <w:pPr>
        <w:divId w:val="2112892702"/>
        <w:rPr>
          <w:rFonts w:eastAsia="Times New Roman"/>
          <w:sz w:val="30"/>
          <w:szCs w:val="30"/>
          <w:lang w:val="es-ES"/>
        </w:rPr>
      </w:pPr>
      <w:r>
        <w:rPr>
          <w:rFonts w:eastAsia="Times New Roman"/>
          <w:sz w:val="30"/>
          <w:szCs w:val="30"/>
          <w:lang w:val="es-ES"/>
        </w:rPr>
        <w:t>Art. 520.-</w:t>
      </w:r>
      <w:r>
        <w:rPr>
          <w:rFonts w:eastAsia="Times New Roman"/>
          <w:b/>
          <w:bCs/>
          <w:sz w:val="30"/>
          <w:szCs w:val="30"/>
          <w:lang w:val="es-ES"/>
        </w:rPr>
        <w:t xml:space="preserve"> Potestad sancionatoria. </w:t>
      </w:r>
      <w:r>
        <w:rPr>
          <w:rFonts w:eastAsia="Times New Roman"/>
          <w:sz w:val="30"/>
          <w:szCs w:val="30"/>
          <w:lang w:val="es-ES"/>
        </w:rPr>
        <w:t>Los organismos de control tienen potestad para sancionar los incumplimientos de este ca</w:t>
      </w:r>
      <w:r>
        <w:rPr>
          <w:rFonts w:eastAsia="Times New Roman"/>
          <w:sz w:val="30"/>
          <w:szCs w:val="30"/>
          <w:lang w:val="es-ES"/>
        </w:rPr>
        <w:t>pítulo, mediante la imposición de multas que estarán comprendidas entre uno y treinta salarios básicos unificados.</w:t>
      </w:r>
    </w:p>
    <w:p w:rsidR="00000000" w:rsidRDefault="0018461E">
      <w:pPr>
        <w:jc w:val="center"/>
        <w:rPr>
          <w:rFonts w:eastAsia="Times New Roman"/>
          <w:sz w:val="36"/>
          <w:szCs w:val="36"/>
          <w:lang w:val="es-ES"/>
        </w:rPr>
      </w:pPr>
      <w:r>
        <w:rPr>
          <w:rFonts w:eastAsia="Times New Roman"/>
          <w:b/>
          <w:bCs/>
          <w:sz w:val="36"/>
          <w:szCs w:val="36"/>
          <w:lang w:val="es-ES"/>
        </w:rPr>
        <w:br/>
        <w:t>DISPOSICIONES GENERALES</w:t>
      </w:r>
    </w:p>
    <w:p w:rsidR="00000000" w:rsidRDefault="0018461E">
      <w:pPr>
        <w:divId w:val="960038301"/>
        <w:rPr>
          <w:rFonts w:eastAsia="Times New Roman"/>
          <w:sz w:val="30"/>
          <w:szCs w:val="30"/>
          <w:lang w:val="es-ES"/>
        </w:rPr>
      </w:pPr>
      <w:r>
        <w:rPr>
          <w:rFonts w:eastAsia="Times New Roman"/>
          <w:sz w:val="30"/>
          <w:szCs w:val="30"/>
          <w:lang w:val="es-ES"/>
        </w:rPr>
        <w:t xml:space="preserve">Primera.- </w:t>
      </w:r>
      <w:r>
        <w:rPr>
          <w:rFonts w:eastAsia="Times New Roman"/>
          <w:b/>
          <w:bCs/>
          <w:sz w:val="30"/>
          <w:szCs w:val="30"/>
          <w:lang w:val="es-ES"/>
        </w:rPr>
        <w:t xml:space="preserve">Límites de la responsabilidad. </w:t>
      </w:r>
      <w:r>
        <w:rPr>
          <w:rFonts w:eastAsia="Times New Roman"/>
          <w:sz w:val="30"/>
          <w:szCs w:val="30"/>
          <w:lang w:val="es-ES"/>
        </w:rPr>
        <w:t>El Estado no será responsable de la solvencia de las entidades de los secto</w:t>
      </w:r>
      <w:r>
        <w:rPr>
          <w:rFonts w:eastAsia="Times New Roman"/>
          <w:sz w:val="30"/>
          <w:szCs w:val="30"/>
          <w:lang w:val="es-ES"/>
        </w:rPr>
        <w:t>res financieros privado; popular y solidario; ni de las entidades que conforman los regímenes de valores y seguros privados y en ningún caso podrá asumir sus deudas.</w:t>
      </w:r>
      <w:r>
        <w:rPr>
          <w:rFonts w:eastAsia="Times New Roman"/>
          <w:sz w:val="30"/>
          <w:szCs w:val="30"/>
          <w:lang w:val="es-ES"/>
        </w:rPr>
        <w:br/>
      </w:r>
      <w:r>
        <w:rPr>
          <w:rFonts w:eastAsia="Times New Roman"/>
          <w:sz w:val="30"/>
          <w:szCs w:val="30"/>
          <w:lang w:val="es-ES"/>
        </w:rPr>
        <w:br/>
        <w:t xml:space="preserve">La regulación y el control de los sectores financieros privado y popular y solidario, de </w:t>
      </w:r>
      <w:r>
        <w:rPr>
          <w:rFonts w:eastAsia="Times New Roman"/>
          <w:sz w:val="30"/>
          <w:szCs w:val="30"/>
          <w:lang w:val="es-ES"/>
        </w:rPr>
        <w:t>valores y seguros, no trasladará al Estado la responsabilidad de la solvencia de las entidades que los integran.</w:t>
      </w:r>
    </w:p>
    <w:p w:rsidR="00000000" w:rsidRDefault="0018461E">
      <w:pPr>
        <w:divId w:val="1356424437"/>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Funciones de la Junta. </w:t>
      </w:r>
      <w:r>
        <w:rPr>
          <w:rFonts w:eastAsia="Times New Roman"/>
          <w:sz w:val="30"/>
          <w:szCs w:val="30"/>
          <w:lang w:val="es-ES"/>
        </w:rPr>
        <w:t>Todas las funciones en materia de política y regulación que las leyes vigentes a la fecha de promulgación de e</w:t>
      </w:r>
      <w:r>
        <w:rPr>
          <w:rFonts w:eastAsia="Times New Roman"/>
          <w:sz w:val="30"/>
          <w:szCs w:val="30"/>
          <w:lang w:val="es-ES"/>
        </w:rPr>
        <w:t xml:space="preserve">ste Código, otorgan a la Junta Bancaria, Directorio del Banco Central del Ecuador, Junta de Regulación del Sector Financiero Popular y Solidario, Junta de Regulación del Mercado de Valores, Directorio de la Corporación del Seguro de Depósitos y Directorio </w:t>
      </w:r>
      <w:r>
        <w:rPr>
          <w:rFonts w:eastAsia="Times New Roman"/>
          <w:sz w:val="30"/>
          <w:szCs w:val="30"/>
          <w:lang w:val="es-ES"/>
        </w:rPr>
        <w:t xml:space="preserve">del Fondo de Liquidez, serán asumidas por la Junta de Política y </w:t>
      </w:r>
      <w:r>
        <w:rPr>
          <w:rFonts w:eastAsia="Times New Roman"/>
          <w:sz w:val="30"/>
          <w:szCs w:val="30"/>
          <w:lang w:val="es-ES"/>
        </w:rPr>
        <w:lastRenderedPageBreak/>
        <w:t>Regulación Monetaria y Financiera, salvo los casos expresamente delegados a los organismos de control en este Código.</w:t>
      </w:r>
    </w:p>
    <w:p w:rsidR="00000000" w:rsidRDefault="0018461E">
      <w:pPr>
        <w:divId w:val="525140639"/>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Conversión a dólares de los Estados Unidos de América. </w:t>
      </w:r>
      <w:r>
        <w:rPr>
          <w:rFonts w:eastAsia="Times New Roman"/>
          <w:sz w:val="30"/>
          <w:szCs w:val="30"/>
          <w:lang w:val="es-ES"/>
        </w:rPr>
        <w:t>En toda la legislación vigente y en las obligaciones pendientes de pago en las que se disponga que los pagos deban hacerse en sucres, se entenderá que deberán realizarse en dólares de los Estados Unidos de América a una tasa de conversión de veinticinco mi</w:t>
      </w:r>
      <w:r>
        <w:rPr>
          <w:rFonts w:eastAsia="Times New Roman"/>
          <w:sz w:val="30"/>
          <w:szCs w:val="30"/>
          <w:lang w:val="es-ES"/>
        </w:rPr>
        <w:t>l (25.000,00) sucres por dólar de los Estados Unidos de América.</w:t>
      </w:r>
      <w:r>
        <w:rPr>
          <w:rFonts w:eastAsia="Times New Roman"/>
          <w:sz w:val="30"/>
          <w:szCs w:val="30"/>
          <w:lang w:val="es-ES"/>
        </w:rPr>
        <w:br/>
      </w:r>
      <w:r>
        <w:rPr>
          <w:rFonts w:eastAsia="Times New Roman"/>
          <w:sz w:val="30"/>
          <w:szCs w:val="30"/>
          <w:lang w:val="es-ES"/>
        </w:rPr>
        <w:br/>
        <w:t xml:space="preserve">En toda la legislación vigente y en las obligaciones pendientes de pago en las que se disponga que los pagos deban hacerse en unidades de valor constante (UVC) o en salarios mínimos vitales </w:t>
      </w:r>
      <w:r>
        <w:rPr>
          <w:rFonts w:eastAsia="Times New Roman"/>
          <w:sz w:val="30"/>
          <w:szCs w:val="30"/>
          <w:lang w:val="es-ES"/>
        </w:rPr>
        <w:t>generales, se entenderá que cada unidad de valor constante y cada salario mínimo vital general tienen un valor fijo e invariable equivalente a, respectivamente, dos coma seis dos ocho nueve (2,6289) y USD 4,00 (cuatro dólares de los Estados Unidos de Améri</w:t>
      </w:r>
      <w:r>
        <w:rPr>
          <w:rFonts w:eastAsia="Times New Roman"/>
          <w:sz w:val="30"/>
          <w:szCs w:val="30"/>
          <w:lang w:val="es-ES"/>
        </w:rPr>
        <w:t>ca), respectivamente.</w:t>
      </w:r>
      <w:r>
        <w:rPr>
          <w:rFonts w:eastAsia="Times New Roman"/>
          <w:sz w:val="30"/>
          <w:szCs w:val="30"/>
          <w:lang w:val="es-ES"/>
        </w:rPr>
        <w:br/>
      </w:r>
      <w:r>
        <w:rPr>
          <w:rFonts w:eastAsia="Times New Roman"/>
          <w:sz w:val="30"/>
          <w:szCs w:val="30"/>
          <w:lang w:val="es-ES"/>
        </w:rPr>
        <w:br/>
        <w:t>Los valores pendientes de pago por obligaciones tributarias constantes de títulos de crédito u órdenes de cobro directo, así como las correspondientes a períodos anteriores y que se determinan por el propio contribuyente o por la Adm</w:t>
      </w:r>
      <w:r>
        <w:rPr>
          <w:rFonts w:eastAsia="Times New Roman"/>
          <w:sz w:val="30"/>
          <w:szCs w:val="30"/>
          <w:lang w:val="es-ES"/>
        </w:rPr>
        <w:t xml:space="preserve">inistración, se liquidarán añadiendo los intereses de mora que estuvieron vigentes hasta el 10 de enero del 2000, a la tasa vigente para cada período trimestral. El valor así obtenido y el de las multas, serán transformados a dólares de los Estados Unidos </w:t>
      </w:r>
      <w:r>
        <w:rPr>
          <w:rFonts w:eastAsia="Times New Roman"/>
          <w:sz w:val="30"/>
          <w:szCs w:val="30"/>
          <w:lang w:val="es-ES"/>
        </w:rPr>
        <w:t>de América, a una cotización de veinticinco mil (25.000,00) sucres por dólar, y se emitirán los nuevos títulos de crédito u órdenes de cobro directo que devengarán una tasa de intereses equivalente al 16,82% anual, a partir del 11 de enero del 2000. La liq</w:t>
      </w:r>
      <w:r>
        <w:rPr>
          <w:rFonts w:eastAsia="Times New Roman"/>
          <w:sz w:val="30"/>
          <w:szCs w:val="30"/>
          <w:lang w:val="es-ES"/>
        </w:rPr>
        <w:t>uidación será notificada al contribuyente y se continuará con las acciones previstas en el Código Tributario.</w:t>
      </w:r>
    </w:p>
    <w:p w:rsidR="00000000" w:rsidRDefault="0018461E">
      <w:pPr>
        <w:divId w:val="467282214"/>
        <w:rPr>
          <w:rFonts w:eastAsia="Times New Roman"/>
          <w:sz w:val="30"/>
          <w:szCs w:val="30"/>
          <w:lang w:val="es-ES"/>
        </w:rPr>
      </w:pPr>
      <w:r>
        <w:rPr>
          <w:rFonts w:eastAsia="Times New Roman"/>
          <w:sz w:val="30"/>
          <w:szCs w:val="30"/>
          <w:lang w:val="es-ES"/>
        </w:rPr>
        <w:t>Cuarta.-</w:t>
      </w:r>
      <w:r>
        <w:rPr>
          <w:rFonts w:eastAsia="Times New Roman"/>
          <w:b/>
          <w:bCs/>
          <w:sz w:val="30"/>
          <w:szCs w:val="30"/>
          <w:lang w:val="es-ES"/>
        </w:rPr>
        <w:t xml:space="preserve"> Transacciones monetarias y financieras a través de paraísos fiscales. </w:t>
      </w:r>
      <w:r>
        <w:rPr>
          <w:rFonts w:eastAsia="Times New Roman"/>
          <w:sz w:val="30"/>
          <w:szCs w:val="30"/>
          <w:lang w:val="es-ES"/>
        </w:rPr>
        <w:t>La Junta de Política y Regulación Monetaria y Financiera regulará l</w:t>
      </w:r>
      <w:r>
        <w:rPr>
          <w:rFonts w:eastAsia="Times New Roman"/>
          <w:sz w:val="30"/>
          <w:szCs w:val="30"/>
          <w:lang w:val="es-ES"/>
        </w:rPr>
        <w:t>as transacciones monetarias y financieras con el exterior, especialmente las realizadas con paraísos fiscales o jurisdicciones de menor imposición a la del Ecuador, de acuerdo con las definiciones que establezca el Servicio de Rentas Internas.</w:t>
      </w:r>
      <w:r>
        <w:rPr>
          <w:rFonts w:eastAsia="Times New Roman"/>
          <w:sz w:val="30"/>
          <w:szCs w:val="30"/>
          <w:lang w:val="es-ES"/>
        </w:rPr>
        <w:br/>
      </w:r>
      <w:r>
        <w:rPr>
          <w:rFonts w:eastAsia="Times New Roman"/>
          <w:sz w:val="30"/>
          <w:szCs w:val="30"/>
          <w:lang w:val="es-ES"/>
        </w:rPr>
        <w:br/>
        <w:t>El Banco Ce</w:t>
      </w:r>
      <w:r>
        <w:rPr>
          <w:rFonts w:eastAsia="Times New Roman"/>
          <w:sz w:val="30"/>
          <w:szCs w:val="30"/>
          <w:lang w:val="es-ES"/>
        </w:rPr>
        <w:t xml:space="preserve">ntral podrá solicitar a las entidades del sistema financiero nacional información sobre la cadena completa de pagos a nivel internacional de las transacciones monetarias y financieras. También </w:t>
      </w:r>
      <w:r>
        <w:rPr>
          <w:rFonts w:eastAsia="Times New Roman"/>
          <w:sz w:val="30"/>
          <w:szCs w:val="30"/>
          <w:lang w:val="es-ES"/>
        </w:rPr>
        <w:lastRenderedPageBreak/>
        <w:t xml:space="preserve">podrá solicitarse la información de sustento correspondiente a </w:t>
      </w:r>
      <w:r>
        <w:rPr>
          <w:rFonts w:eastAsia="Times New Roman"/>
          <w:sz w:val="30"/>
          <w:szCs w:val="30"/>
          <w:lang w:val="es-ES"/>
        </w:rPr>
        <w:t>las personas naturales y jurídicas ordenantes de dichas transacciones, que representen los montos acumulados más importantes de conformidad con las regulaciones que emita la Junta de Política y Regulación Monetaria y Financiera.</w:t>
      </w:r>
    </w:p>
    <w:p w:rsidR="00000000" w:rsidRDefault="0018461E">
      <w:pPr>
        <w:divId w:val="1042285289"/>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Retención temporal</w:t>
      </w:r>
      <w:r>
        <w:rPr>
          <w:rFonts w:eastAsia="Times New Roman"/>
          <w:b/>
          <w:bCs/>
          <w:sz w:val="30"/>
          <w:szCs w:val="30"/>
          <w:lang w:val="es-ES"/>
        </w:rPr>
        <w:t xml:space="preserve"> de depósitos e inversiones. </w:t>
      </w:r>
      <w:r>
        <w:rPr>
          <w:rFonts w:eastAsia="Times New Roman"/>
          <w:sz w:val="30"/>
          <w:szCs w:val="30"/>
          <w:lang w:val="es-ES"/>
        </w:rPr>
        <w:t>Los superintendentes, el Procurador General del Estado, el Contralor General del Estado y el Fiscal General del Estado, de manera excepcional, por presunción de actos ilegales y de forma motivada e individual, podrán ordenar la</w:t>
      </w:r>
      <w:r>
        <w:rPr>
          <w:rFonts w:eastAsia="Times New Roman"/>
          <w:sz w:val="30"/>
          <w:szCs w:val="30"/>
          <w:lang w:val="es-ES"/>
        </w:rPr>
        <w:t xml:space="preserve"> retención temporal de depósitos e inversiones en las entidades del Sistema Financiero Nacional.</w:t>
      </w:r>
      <w:r>
        <w:rPr>
          <w:rFonts w:eastAsia="Times New Roman"/>
          <w:sz w:val="30"/>
          <w:szCs w:val="30"/>
          <w:lang w:val="es-ES"/>
        </w:rPr>
        <w:br/>
      </w:r>
      <w:r>
        <w:rPr>
          <w:rFonts w:eastAsia="Times New Roman"/>
          <w:sz w:val="30"/>
          <w:szCs w:val="30"/>
          <w:lang w:val="es-ES"/>
        </w:rPr>
        <w:br/>
        <w:t>La retención ordenada caducará en el plazo de quince días contados desde la notificación a la respectiva entidad financiera, a menos que sea confirmada por un</w:t>
      </w:r>
      <w:r>
        <w:rPr>
          <w:rFonts w:eastAsia="Times New Roman"/>
          <w:sz w:val="30"/>
          <w:szCs w:val="30"/>
          <w:lang w:val="es-ES"/>
        </w:rPr>
        <w:t xml:space="preserve"> Juez competente. En este caso, la retención quedará sujeta a las disposiciones del Código de Procedimiento Civil.</w:t>
      </w:r>
    </w:p>
    <w:p w:rsidR="00000000" w:rsidRDefault="0018461E">
      <w:pPr>
        <w:divId w:val="673648787"/>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Pasivos y saldos inmovilizados. </w:t>
      </w:r>
      <w:r>
        <w:rPr>
          <w:rFonts w:eastAsia="Times New Roman"/>
          <w:sz w:val="30"/>
          <w:szCs w:val="30"/>
          <w:lang w:val="es-ES"/>
        </w:rPr>
        <w:t>Los pasivos que hubieren permanecido inmovilizados en cualquier entidad del sistema financiero naciona</w:t>
      </w:r>
      <w:r>
        <w:rPr>
          <w:rFonts w:eastAsia="Times New Roman"/>
          <w:sz w:val="30"/>
          <w:szCs w:val="30"/>
          <w:lang w:val="es-ES"/>
        </w:rPr>
        <w:t xml:space="preserve">l por más de cinco años con un saldo de hasta el equivalente al 25% de un salario básico unificado, o por más de diez (10) años con un saldo mayor, por no haber sido reclamados por su beneficiario desde la fecha en que fueren exigibles, serán transferidos </w:t>
      </w:r>
      <w:r>
        <w:rPr>
          <w:rFonts w:eastAsia="Times New Roman"/>
          <w:sz w:val="30"/>
          <w:szCs w:val="30"/>
          <w:lang w:val="es-ES"/>
        </w:rPr>
        <w:t>a la Cuenta Única del Tesoro Nacional, con excepción de los pasivos inmovilizados por disposición legal o judicial debidamente notificadas a la entidad financiera.</w:t>
      </w:r>
      <w:r>
        <w:rPr>
          <w:rFonts w:eastAsia="Times New Roman"/>
          <w:sz w:val="30"/>
          <w:szCs w:val="30"/>
          <w:lang w:val="es-ES"/>
        </w:rPr>
        <w:br/>
      </w:r>
      <w:r>
        <w:rPr>
          <w:rFonts w:eastAsia="Times New Roman"/>
          <w:sz w:val="30"/>
          <w:szCs w:val="30"/>
          <w:lang w:val="es-ES"/>
        </w:rPr>
        <w:br/>
        <w:t>Los pasivos inmovilizados se liquidarán al 31 de enero de cada año.</w:t>
      </w:r>
      <w:r>
        <w:rPr>
          <w:rFonts w:eastAsia="Times New Roman"/>
          <w:sz w:val="30"/>
          <w:szCs w:val="30"/>
          <w:lang w:val="es-ES"/>
        </w:rPr>
        <w:br/>
      </w:r>
      <w:r>
        <w:rPr>
          <w:rFonts w:eastAsia="Times New Roman"/>
          <w:sz w:val="30"/>
          <w:szCs w:val="30"/>
          <w:lang w:val="es-ES"/>
        </w:rPr>
        <w:br/>
        <w:t>Las entidades financie</w:t>
      </w:r>
      <w:r>
        <w:rPr>
          <w:rFonts w:eastAsia="Times New Roman"/>
          <w:sz w:val="30"/>
          <w:szCs w:val="30"/>
          <w:lang w:val="es-ES"/>
        </w:rPr>
        <w:t>ras no podrán transferir a utilidades, directamente mediante traspaso a cuentas provisionales o de cualquier otro modo, valores o saldos inmovilizados, pertenecientes a otras personas, cualquiera que sea la calidad de éstas.</w:t>
      </w:r>
      <w:r>
        <w:rPr>
          <w:rFonts w:eastAsia="Times New Roman"/>
          <w:sz w:val="30"/>
          <w:szCs w:val="30"/>
          <w:lang w:val="es-ES"/>
        </w:rPr>
        <w:br/>
      </w:r>
      <w:r>
        <w:rPr>
          <w:rFonts w:eastAsia="Times New Roman"/>
          <w:sz w:val="30"/>
          <w:szCs w:val="30"/>
          <w:lang w:val="es-ES"/>
        </w:rPr>
        <w:br/>
        <w:t>Toda entidad financiera deberá</w:t>
      </w:r>
      <w:r>
        <w:rPr>
          <w:rFonts w:eastAsia="Times New Roman"/>
          <w:sz w:val="30"/>
          <w:szCs w:val="30"/>
          <w:lang w:val="es-ES"/>
        </w:rPr>
        <w:t xml:space="preserve"> presentar en enero de cada año un informe al organismo de control respecto de la existencia de cualquier valor, dividendo o saldo no reclamado perteneciente a terceros que hubiere permanecido inmovilizado como pasivo a su cargo por cinco o diez años.</w:t>
      </w:r>
    </w:p>
    <w:p w:rsidR="00000000" w:rsidRDefault="0018461E">
      <w:pPr>
        <w:divId w:val="1985042046"/>
        <w:rPr>
          <w:rFonts w:eastAsia="Times New Roman"/>
          <w:sz w:val="30"/>
          <w:szCs w:val="30"/>
          <w:lang w:val="es-ES"/>
        </w:rPr>
      </w:pPr>
      <w:r>
        <w:rPr>
          <w:rFonts w:eastAsia="Times New Roman"/>
          <w:sz w:val="30"/>
          <w:szCs w:val="30"/>
          <w:lang w:val="es-ES"/>
        </w:rPr>
        <w:t>Sépt</w:t>
      </w:r>
      <w:r>
        <w:rPr>
          <w:rFonts w:eastAsia="Times New Roman"/>
          <w:sz w:val="30"/>
          <w:szCs w:val="30"/>
          <w:lang w:val="es-ES"/>
        </w:rPr>
        <w:t>ima.-</w:t>
      </w:r>
      <w:r>
        <w:rPr>
          <w:rFonts w:eastAsia="Times New Roman"/>
          <w:b/>
          <w:bCs/>
          <w:sz w:val="30"/>
          <w:szCs w:val="30"/>
          <w:lang w:val="es-ES"/>
        </w:rPr>
        <w:t xml:space="preserve"> Pago de las acreencias depositarias de mayor cuantía. </w:t>
      </w:r>
      <w:r>
        <w:rPr>
          <w:rFonts w:eastAsia="Times New Roman"/>
          <w:sz w:val="30"/>
          <w:szCs w:val="30"/>
          <w:lang w:val="es-ES"/>
        </w:rPr>
        <w:t xml:space="preserve">En los procesos de liquidación forzosa de las entidades del sistema </w:t>
      </w:r>
      <w:r>
        <w:rPr>
          <w:rFonts w:eastAsia="Times New Roman"/>
          <w:sz w:val="30"/>
          <w:szCs w:val="30"/>
          <w:lang w:val="es-ES"/>
        </w:rPr>
        <w:lastRenderedPageBreak/>
        <w:t>financiero nacional, sin perjuicio de la prelación de pagos establecida en este Código, el liquidador de forma motivada podrá so</w:t>
      </w:r>
      <w:r>
        <w:rPr>
          <w:rFonts w:eastAsia="Times New Roman"/>
          <w:sz w:val="30"/>
          <w:szCs w:val="30"/>
          <w:lang w:val="es-ES"/>
        </w:rPr>
        <w:t>licitar a las personas naturales o jurídicas que posean acreencias por sobre el valor que determine la Junta, justificaciones adicionales sobre el origen de dichos recursos.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w:t>
      </w:r>
      <w:r>
        <w:rPr>
          <w:rFonts w:eastAsia="Times New Roman"/>
          <w:i/>
          <w:iCs/>
          <w:sz w:val="30"/>
          <w:szCs w:val="30"/>
          <w:lang w:val="es-ES"/>
        </w:rPr>
        <w:t xml:space="preserve"> </w:t>
      </w:r>
      <w:r>
        <w:rPr>
          <w:rFonts w:eastAsia="Times New Roman"/>
          <w:i/>
          <w:iCs/>
          <w:sz w:val="30"/>
          <w:szCs w:val="30"/>
          <w:lang w:val="es-ES"/>
        </w:rPr>
        <w:t>004-2014-F, publicada en el Suplemento del Registro Ofi</w:t>
      </w:r>
      <w:r>
        <w:rPr>
          <w:rFonts w:eastAsia="Times New Roman"/>
          <w:i/>
          <w:iCs/>
          <w:sz w:val="30"/>
          <w:szCs w:val="30"/>
          <w:lang w:val="es-ES"/>
        </w:rPr>
        <w:t>cial 365 de 30 de octubre de 2014, se emitieron las Normas para la aplicación de la Disposición General Séptima del Código Orgánico Monetario y Financiero en los Procesos de liquidación forzosa de entidades del Sector Financiero Popular y Solidario.</w:t>
      </w:r>
    </w:p>
    <w:p w:rsidR="00000000" w:rsidRDefault="0018461E">
      <w:pPr>
        <w:divId w:val="1143497739"/>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Competencia. </w:t>
      </w:r>
      <w:r>
        <w:rPr>
          <w:rFonts w:eastAsia="Times New Roman"/>
          <w:sz w:val="30"/>
          <w:szCs w:val="30"/>
          <w:lang w:val="es-ES"/>
        </w:rPr>
        <w:t>Cuando el objeto o materia de un reclamo o recurso administrativo se encuentre bajo conocimiento de la justicia ordinaria, los organismos públicos regulados por este Código se abstendrán de seguir conociéndolos en cuanto sean informad</w:t>
      </w:r>
      <w:r>
        <w:rPr>
          <w:rFonts w:eastAsia="Times New Roman"/>
          <w:sz w:val="30"/>
          <w:szCs w:val="30"/>
          <w:lang w:val="es-ES"/>
        </w:rPr>
        <w:t>os de tal circunstancia, y siempre que sea el reclamante o recurrente quien intervenga como parte actora en el proceso judicial. Lo preceptuado no es aplicable cuando los hechos materia del reclamo o recurso administrativo sean también objeto de investigac</w:t>
      </w:r>
      <w:r>
        <w:rPr>
          <w:rFonts w:eastAsia="Times New Roman"/>
          <w:sz w:val="30"/>
          <w:szCs w:val="30"/>
          <w:lang w:val="es-ES"/>
        </w:rPr>
        <w:t>ión o juzgamiento en el ámbito penal.</w:t>
      </w:r>
    </w:p>
    <w:p w:rsidR="00000000" w:rsidRDefault="0018461E">
      <w:pPr>
        <w:divId w:val="481503798"/>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Acciones judiciales. </w:t>
      </w:r>
      <w:r>
        <w:rPr>
          <w:rFonts w:eastAsia="Times New Roman"/>
          <w:sz w:val="30"/>
          <w:szCs w:val="30"/>
          <w:lang w:val="es-ES"/>
        </w:rPr>
        <w:t>Toda acción judicial iniciada en contra de los titulares o delegados de la Junta de Política y Regulación Monetaria y Financiera a título personal, por actos, resoluciones o decisiones tom</w:t>
      </w:r>
      <w:r>
        <w:rPr>
          <w:rFonts w:eastAsia="Times New Roman"/>
          <w:sz w:val="30"/>
          <w:szCs w:val="30"/>
          <w:lang w:val="es-ES"/>
        </w:rPr>
        <w:t>adas en el seno de dicho cuerpo colegiado, será ineficaz y los jueces que la conozcan deberán desecharlas, salvo aquellas acciones que inicie la Fiscalía General del Estado por los delitos contra la Administración Pública y la acción judicial de repetición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Los Superintendentes contemplados en este código no estarán exentos de responsabilidades por los actos realizados en el ejercicio de sus funciones o por sus omisiones y serán responsables administrativa, civil y penalmente por sus decisiones. Las respon</w:t>
      </w:r>
      <w:r>
        <w:rPr>
          <w:rFonts w:eastAsia="Times New Roman"/>
          <w:sz w:val="30"/>
          <w:szCs w:val="30"/>
          <w:lang w:val="es-ES"/>
        </w:rPr>
        <w:t>sabilidades serán determinadas por los organismos de control del Estado, la Fiscalía General del Estado y los jueces competentes.</w:t>
      </w:r>
      <w:r>
        <w:rPr>
          <w:rFonts w:eastAsia="Times New Roman"/>
          <w:sz w:val="30"/>
          <w:szCs w:val="30"/>
          <w:lang w:val="es-ES"/>
        </w:rPr>
        <w:br/>
      </w:r>
      <w:r>
        <w:rPr>
          <w:rFonts w:eastAsia="Times New Roman"/>
          <w:sz w:val="30"/>
          <w:szCs w:val="30"/>
          <w:lang w:val="es-ES"/>
        </w:rPr>
        <w:br/>
        <w:t>Las acciones judiciales impulsadas en contra de actos de las Superintendencias serán interpuestas contra dichas entidades. Cu</w:t>
      </w:r>
      <w:r>
        <w:rPr>
          <w:rFonts w:eastAsia="Times New Roman"/>
          <w:sz w:val="30"/>
          <w:szCs w:val="30"/>
          <w:lang w:val="es-ES"/>
        </w:rPr>
        <w:t xml:space="preserve">alquier acción judicial en contra de los titulares de dichos </w:t>
      </w:r>
      <w:r>
        <w:rPr>
          <w:rFonts w:eastAsia="Times New Roman"/>
          <w:sz w:val="30"/>
          <w:szCs w:val="30"/>
          <w:lang w:val="es-ES"/>
        </w:rPr>
        <w:lastRenderedPageBreak/>
        <w:t>organismos a título personal será ineficaz y no será admitida a trámite alguno, salvo las interpuestas por los organismos de control del Estado, la Contraloría General de Estado y la Fiscalía Gen</w:t>
      </w:r>
      <w:r>
        <w:rPr>
          <w:rFonts w:eastAsia="Times New Roman"/>
          <w:sz w:val="30"/>
          <w:szCs w:val="30"/>
          <w:lang w:val="es-ES"/>
        </w:rPr>
        <w:t>eral del Estado, sin perjuicio de la acción de repetición establecida en el artículo 11 numeral 9 de la Constitución de la República.</w:t>
      </w:r>
    </w:p>
    <w:p w:rsidR="00000000" w:rsidRDefault="0018461E">
      <w:pPr>
        <w:divId w:val="1579056876"/>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Contribuciones. </w:t>
      </w:r>
      <w:r>
        <w:rPr>
          <w:rFonts w:eastAsia="Times New Roman"/>
          <w:sz w:val="30"/>
          <w:szCs w:val="30"/>
          <w:lang w:val="es-ES"/>
        </w:rPr>
        <w:t>Las contribuciones que a la fecha de vigencia de este Código están financiando los presupuestos d</w:t>
      </w:r>
      <w:r>
        <w:rPr>
          <w:rFonts w:eastAsia="Times New Roman"/>
          <w:sz w:val="30"/>
          <w:szCs w:val="30"/>
          <w:lang w:val="es-ES"/>
        </w:rPr>
        <w:t>e los organismos de control serán consignadas directamente a la Cuenta Única del Tesoro Nacional.</w:t>
      </w:r>
      <w:r>
        <w:rPr>
          <w:rFonts w:eastAsia="Times New Roman"/>
          <w:sz w:val="30"/>
          <w:szCs w:val="30"/>
          <w:lang w:val="es-ES"/>
        </w:rPr>
        <w:br/>
      </w:r>
      <w:r>
        <w:rPr>
          <w:rFonts w:eastAsia="Times New Roman"/>
          <w:sz w:val="30"/>
          <w:szCs w:val="30"/>
          <w:lang w:val="es-ES"/>
        </w:rPr>
        <w:br/>
        <w:t>El pago de estas contribuciones se realizará con transferencias directas a la Cuenta Única del Tesoro Nacional con excepción de la correspondiente al Fondo d</w:t>
      </w:r>
      <w:r>
        <w:rPr>
          <w:rFonts w:eastAsia="Times New Roman"/>
          <w:sz w:val="30"/>
          <w:szCs w:val="30"/>
          <w:lang w:val="es-ES"/>
        </w:rPr>
        <w:t>e Seguros Privados prevista en el artículo 67 de la Ley General de Seguros o mediante débito directo de las cuentas que las entidades obligadas a contribuir mantengan en el Banco Central del Ecuador.</w:t>
      </w:r>
    </w:p>
    <w:p w:rsidR="00000000" w:rsidRDefault="0018461E">
      <w:pPr>
        <w:divId w:val="1343317214"/>
        <w:rPr>
          <w:rFonts w:eastAsia="Times New Roman"/>
          <w:sz w:val="30"/>
          <w:szCs w:val="30"/>
          <w:lang w:val="es-ES"/>
        </w:rPr>
      </w:pPr>
      <w:r>
        <w:rPr>
          <w:rFonts w:eastAsia="Times New Roman"/>
          <w:sz w:val="30"/>
          <w:szCs w:val="30"/>
          <w:lang w:val="es-ES"/>
        </w:rPr>
        <w:t>Décima primera.-</w:t>
      </w:r>
      <w:r>
        <w:rPr>
          <w:rFonts w:eastAsia="Times New Roman"/>
          <w:b/>
          <w:bCs/>
          <w:sz w:val="30"/>
          <w:szCs w:val="30"/>
          <w:lang w:val="es-ES"/>
        </w:rPr>
        <w:t xml:space="preserve"> Contribución Instituto Ecuatoriano de C</w:t>
      </w:r>
      <w:r>
        <w:rPr>
          <w:rFonts w:eastAsia="Times New Roman"/>
          <w:b/>
          <w:bCs/>
          <w:sz w:val="30"/>
          <w:szCs w:val="30"/>
          <w:lang w:val="es-ES"/>
        </w:rPr>
        <w:t xml:space="preserve">rédito Educativo y Becas IECE y Servicio Ecuatoriano de Capacitación Profesional SECAP. </w:t>
      </w:r>
      <w:r>
        <w:rPr>
          <w:rFonts w:eastAsia="Times New Roman"/>
          <w:sz w:val="30"/>
          <w:szCs w:val="30"/>
          <w:lang w:val="es-ES"/>
        </w:rPr>
        <w:t xml:space="preserve">La contribución de 1% de las planillas de pago al Instituto Ecuatoriano de Seguridad Social, que se están transfiriendo al Instituto Ecuatoriano de Crédito Educativo y </w:t>
      </w:r>
      <w:r>
        <w:rPr>
          <w:rFonts w:eastAsia="Times New Roman"/>
          <w:sz w:val="30"/>
          <w:szCs w:val="30"/>
          <w:lang w:val="es-ES"/>
        </w:rPr>
        <w:t>Becas, IECE (0,5%) y al Servicio Ecuatoriano de Capacitación Profesional SECAP (0,5%), sobre la base del Decreto Supremo Nº 623- A, de 3 de agosto de 1976, referido en el artículo 13 literal a) de la Ley Sustitutiva a la Ley del Instituto Ecuatoriano de Cr</w:t>
      </w:r>
      <w:r>
        <w:rPr>
          <w:rFonts w:eastAsia="Times New Roman"/>
          <w:sz w:val="30"/>
          <w:szCs w:val="30"/>
          <w:lang w:val="es-ES"/>
        </w:rPr>
        <w:t>édito Educativa y Becas, y en el Art 14 literal a) y Art. 14-A de la Ley de Creación y Funcionamiento del SECAP, será depositada en la Cuenta Única del Tesoro Nacional como parte del Presupuesto General del Estado a partir del 1 de enero de 2015.</w:t>
      </w:r>
    </w:p>
    <w:p w:rsidR="00000000" w:rsidRDefault="0018461E">
      <w:pPr>
        <w:divId w:val="871499140"/>
        <w:rPr>
          <w:rFonts w:eastAsia="Times New Roman"/>
          <w:sz w:val="30"/>
          <w:szCs w:val="30"/>
          <w:lang w:val="es-ES"/>
        </w:rPr>
      </w:pPr>
      <w:r>
        <w:rPr>
          <w:rFonts w:eastAsia="Times New Roman"/>
          <w:sz w:val="30"/>
          <w:szCs w:val="30"/>
          <w:lang w:val="es-ES"/>
        </w:rPr>
        <w:t>Décima se</w:t>
      </w:r>
      <w:r>
        <w:rPr>
          <w:rFonts w:eastAsia="Times New Roman"/>
          <w:sz w:val="30"/>
          <w:szCs w:val="30"/>
          <w:lang w:val="es-ES"/>
        </w:rPr>
        <w:t>gunda.-</w:t>
      </w:r>
      <w:r>
        <w:rPr>
          <w:rFonts w:eastAsia="Times New Roman"/>
          <w:b/>
          <w:bCs/>
          <w:sz w:val="30"/>
          <w:szCs w:val="30"/>
          <w:lang w:val="es-ES"/>
        </w:rPr>
        <w:t xml:space="preserve"> Competencia para sancionar. </w:t>
      </w:r>
      <w:r>
        <w:rPr>
          <w:rFonts w:eastAsia="Times New Roman"/>
          <w:sz w:val="30"/>
          <w:szCs w:val="30"/>
          <w:lang w:val="es-ES"/>
        </w:rPr>
        <w:t>La competencia para sancionar las infracciones de las entidades del mercado de valores y seguros, sus administradores, funcionarios o empleados, auditores interno y externo, firmas calificadoras de riesgo, peritos valuad</w:t>
      </w:r>
      <w:r>
        <w:rPr>
          <w:rFonts w:eastAsia="Times New Roman"/>
          <w:sz w:val="30"/>
          <w:szCs w:val="30"/>
          <w:lang w:val="es-ES"/>
        </w:rPr>
        <w:t>ores y otros que efectúen servicios de apoyo a la supervisión, corresponde a la Superintendencia de Compañías, Valores y Seguros.</w:t>
      </w:r>
    </w:p>
    <w:p w:rsidR="00000000" w:rsidRDefault="0018461E">
      <w:pPr>
        <w:divId w:val="763495432"/>
        <w:rPr>
          <w:rFonts w:eastAsia="Times New Roman"/>
          <w:sz w:val="30"/>
          <w:szCs w:val="30"/>
          <w:lang w:val="es-ES"/>
        </w:rPr>
      </w:pPr>
      <w:r>
        <w:rPr>
          <w:rFonts w:eastAsia="Times New Roman"/>
          <w:sz w:val="30"/>
          <w:szCs w:val="30"/>
          <w:lang w:val="es-ES"/>
        </w:rPr>
        <w:t>Décima tercera.-</w:t>
      </w:r>
      <w:r>
        <w:rPr>
          <w:rFonts w:eastAsia="Times New Roman"/>
          <w:b/>
          <w:bCs/>
          <w:sz w:val="30"/>
          <w:szCs w:val="30"/>
          <w:lang w:val="es-ES"/>
        </w:rPr>
        <w:t xml:space="preserve"> Transferibilidad. </w:t>
      </w:r>
      <w:r>
        <w:rPr>
          <w:rFonts w:eastAsia="Times New Roman"/>
          <w:sz w:val="30"/>
          <w:szCs w:val="30"/>
          <w:lang w:val="es-ES"/>
        </w:rPr>
        <w:t>El Estado ecuatoriano garantizará la libre transferibilidad al exterior en divisas de las g</w:t>
      </w:r>
      <w:r>
        <w:rPr>
          <w:rFonts w:eastAsia="Times New Roman"/>
          <w:sz w:val="30"/>
          <w:szCs w:val="30"/>
          <w:lang w:val="es-ES"/>
        </w:rPr>
        <w:t>anancias periódicas o utilidades y rendimientos de la inversión extranjera directa, una vez cumplidas las obligaciones tributarias, laborales y las establecidas en la legislación.</w:t>
      </w:r>
    </w:p>
    <w:p w:rsidR="00000000" w:rsidRDefault="0018461E">
      <w:pPr>
        <w:divId w:val="549465260"/>
        <w:rPr>
          <w:rFonts w:eastAsia="Times New Roman"/>
          <w:sz w:val="30"/>
          <w:szCs w:val="30"/>
          <w:lang w:val="es-ES"/>
        </w:rPr>
      </w:pPr>
      <w:r>
        <w:rPr>
          <w:rFonts w:eastAsia="Times New Roman"/>
          <w:b/>
          <w:bCs/>
          <w:sz w:val="30"/>
          <w:szCs w:val="30"/>
          <w:lang w:val="es-ES"/>
        </w:rPr>
        <w:lastRenderedPageBreak/>
        <w:t xml:space="preserve">Décima cuarta: </w:t>
      </w:r>
      <w:r>
        <w:rPr>
          <w:rFonts w:eastAsia="Times New Roman"/>
          <w:sz w:val="30"/>
          <w:szCs w:val="30"/>
          <w:lang w:val="es-ES"/>
        </w:rPr>
        <w:t>Las personas que reciban operaciones de crédito incluyendo el</w:t>
      </w:r>
      <w:r>
        <w:rPr>
          <w:rFonts w:eastAsia="Times New Roman"/>
          <w:sz w:val="30"/>
          <w:szCs w:val="30"/>
          <w:lang w:val="es-ES"/>
        </w:rPr>
        <w:t xml:space="preserve"> crédito diferido con tarjeta de crédito, de financiamiento, de compra de cartera, de descuentos de letras de cambio y operaciones de reporto con las entidades del sector financiero privado, controladas por la Superintendencia de Bancos, pagarán una contri</w:t>
      </w:r>
      <w:r>
        <w:rPr>
          <w:rFonts w:eastAsia="Times New Roman"/>
          <w:sz w:val="30"/>
          <w:szCs w:val="30"/>
          <w:lang w:val="es-ES"/>
        </w:rPr>
        <w:t>bución del 0,5% del monto de la operación. Esta tarifa podrá ser reducida en casos debidamente justificados por razones de índole económica o social, mediante decreto ejecutivo, hasta el 0,01%, en forma general o por segmentos, a petición fundamentada de l</w:t>
      </w:r>
      <w:r>
        <w:rPr>
          <w:rFonts w:eastAsia="Times New Roman"/>
          <w:sz w:val="30"/>
          <w:szCs w:val="30"/>
          <w:lang w:val="es-ES"/>
        </w:rPr>
        <w:t>a Junta de Política de Regulación Monetaria y Financiera. Esta contribución aplicará además al financiamiento efectuado a los créditos vencidos.</w:t>
      </w:r>
      <w:r>
        <w:rPr>
          <w:rFonts w:eastAsia="Times New Roman"/>
          <w:sz w:val="30"/>
          <w:szCs w:val="30"/>
          <w:lang w:val="es-ES"/>
        </w:rPr>
        <w:br/>
      </w:r>
      <w:r>
        <w:rPr>
          <w:rFonts w:eastAsia="Times New Roman"/>
          <w:sz w:val="30"/>
          <w:szCs w:val="30"/>
          <w:lang w:val="es-ES"/>
        </w:rPr>
        <w:br/>
        <w:t xml:space="preserve">Las instituciones del Estado definidas en el artículo 225 de la Constitución de la República no están sujetas </w:t>
      </w:r>
      <w:r>
        <w:rPr>
          <w:rFonts w:eastAsia="Times New Roman"/>
          <w:sz w:val="30"/>
          <w:szCs w:val="30"/>
          <w:lang w:val="es-ES"/>
        </w:rPr>
        <w:t>al pago de esta contribución.</w:t>
      </w:r>
      <w:r>
        <w:rPr>
          <w:rFonts w:eastAsia="Times New Roman"/>
          <w:sz w:val="30"/>
          <w:szCs w:val="30"/>
          <w:lang w:val="es-ES"/>
        </w:rPr>
        <w:br/>
      </w:r>
      <w:r>
        <w:rPr>
          <w:rFonts w:eastAsia="Times New Roman"/>
          <w:sz w:val="30"/>
          <w:szCs w:val="30"/>
          <w:lang w:val="es-ES"/>
        </w:rPr>
        <w:br/>
        <w:t>Las entidades del sector financiero privado actuarán como agentes de retención de esta contribución. Los montos recaudados serán depositados diariamente, con un rezago de hasta 48 horas, por los agentes de retención en la Cue</w:t>
      </w:r>
      <w:r>
        <w:rPr>
          <w:rFonts w:eastAsia="Times New Roman"/>
          <w:sz w:val="30"/>
          <w:szCs w:val="30"/>
          <w:lang w:val="es-ES"/>
        </w:rPr>
        <w:t>nta Única del Tesoro Nacional. Los recursos de esta contribución serán destinados al financiamiento de la atención integral del cáncer.</w:t>
      </w:r>
      <w:r>
        <w:rPr>
          <w:rFonts w:eastAsia="Times New Roman"/>
          <w:sz w:val="30"/>
          <w:szCs w:val="30"/>
          <w:lang w:val="es-ES"/>
        </w:rPr>
        <w:br/>
      </w:r>
      <w:r>
        <w:rPr>
          <w:rFonts w:eastAsia="Times New Roman"/>
          <w:sz w:val="30"/>
          <w:szCs w:val="30"/>
          <w:lang w:val="es-ES"/>
        </w:rPr>
        <w:br/>
        <w:t xml:space="preserve">El financiamiento a favor de los diferentes núcleos de la Sociedad de Lucha contra el Cáncer –SOLCA-, será transferido </w:t>
      </w:r>
      <w:r>
        <w:rPr>
          <w:rFonts w:eastAsia="Times New Roman"/>
          <w:sz w:val="30"/>
          <w:szCs w:val="30"/>
          <w:lang w:val="es-ES"/>
        </w:rPr>
        <w:t>por el Ministerio de Salud Pública de forma trimestral y anticipada.</w:t>
      </w:r>
      <w:r>
        <w:rPr>
          <w:rFonts w:eastAsia="Times New Roman"/>
          <w:sz w:val="30"/>
          <w:szCs w:val="30"/>
          <w:lang w:val="es-ES"/>
        </w:rPr>
        <w:br/>
      </w:r>
      <w:r>
        <w:rPr>
          <w:rFonts w:eastAsia="Times New Roman"/>
          <w:sz w:val="30"/>
          <w:szCs w:val="30"/>
          <w:lang w:val="es-ES"/>
        </w:rPr>
        <w:br/>
        <w:t>La transferencia a favor de los diferentes núcleos de SOLCA está sujeta al cumplimiento de las políticas que para el efecto dicte el Ministerio de Salud Pública en relación a la atención</w:t>
      </w:r>
      <w:r>
        <w:rPr>
          <w:rFonts w:eastAsia="Times New Roman"/>
          <w:sz w:val="30"/>
          <w:szCs w:val="30"/>
          <w:lang w:val="es-ES"/>
        </w:rPr>
        <w:t xml:space="preserve"> integral oncológica, al co-pago por parte de los usuarios y a la rendición de cuentas del correcto uso de esos recursos en base a la normativa que emita la Autoridad Sanitaria Nacional.</w:t>
      </w:r>
      <w:r>
        <w:rPr>
          <w:rFonts w:eastAsia="Times New Roman"/>
          <w:sz w:val="30"/>
          <w:szCs w:val="30"/>
          <w:lang w:val="es-ES"/>
        </w:rPr>
        <w:br/>
      </w:r>
      <w:r>
        <w:rPr>
          <w:rFonts w:eastAsia="Times New Roman"/>
          <w:sz w:val="30"/>
          <w:szCs w:val="30"/>
          <w:lang w:val="es-ES"/>
        </w:rPr>
        <w:br/>
        <w:t>El uso de los recursos estará sujeto a auditoría y control por parte</w:t>
      </w:r>
      <w:r>
        <w:rPr>
          <w:rFonts w:eastAsia="Times New Roman"/>
          <w:sz w:val="30"/>
          <w:szCs w:val="30"/>
          <w:lang w:val="es-ES"/>
        </w:rPr>
        <w:t xml:space="preserve"> del Ministerio de Salud Pública y por los organismos de control, en el ámbito de sus competencias.</w:t>
      </w:r>
      <w:r>
        <w:rPr>
          <w:rFonts w:eastAsia="Times New Roman"/>
          <w:sz w:val="30"/>
          <w:szCs w:val="30"/>
          <w:lang w:val="es-ES"/>
        </w:rPr>
        <w:br/>
      </w:r>
      <w:r>
        <w:rPr>
          <w:rFonts w:eastAsia="Times New Roman"/>
          <w:sz w:val="30"/>
          <w:szCs w:val="30"/>
          <w:lang w:val="es-ES"/>
        </w:rPr>
        <w:br/>
        <w:t xml:space="preserve">La Sociedad de Lucha Contra el Cáncer –SOLCA-, continuará </w:t>
      </w:r>
      <w:r>
        <w:rPr>
          <w:rFonts w:eastAsia="Times New Roman"/>
          <w:sz w:val="30"/>
          <w:szCs w:val="30"/>
          <w:lang w:val="es-ES"/>
        </w:rPr>
        <w:lastRenderedPageBreak/>
        <w:t>recibiendo recursos por lo menos equivalentes a los que hubiera percibido por efectos de la derog</w:t>
      </w:r>
      <w:r>
        <w:rPr>
          <w:rFonts w:eastAsia="Times New Roman"/>
          <w:sz w:val="30"/>
          <w:szCs w:val="30"/>
          <w:lang w:val="es-ES"/>
        </w:rPr>
        <w:t>ada Ley de Creación de la Red de Seguridad Financiera, sujeta al cumplimiento de lo establecido en esta disposición.</w:t>
      </w:r>
      <w:r>
        <w:rPr>
          <w:rFonts w:eastAsia="Times New Roman"/>
          <w:sz w:val="30"/>
          <w:szCs w:val="30"/>
          <w:lang w:val="es-ES"/>
        </w:rPr>
        <w:br/>
      </w:r>
      <w:r>
        <w:rPr>
          <w:rFonts w:eastAsia="Times New Roman"/>
          <w:sz w:val="30"/>
          <w:szCs w:val="30"/>
          <w:lang w:val="es-ES"/>
        </w:rPr>
        <w:br/>
        <w:t>Esta disposición empezará a regir 30 días después de la entrada en vigencia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Resolución</w:t>
      </w:r>
      <w:r>
        <w:rPr>
          <w:rFonts w:eastAsia="Times New Roman"/>
          <w:i/>
          <w:iCs/>
          <w:sz w:val="30"/>
          <w:szCs w:val="30"/>
          <w:lang w:val="es-ES"/>
        </w:rPr>
        <w:t xml:space="preserve"> </w:t>
      </w:r>
      <w:r>
        <w:rPr>
          <w:rFonts w:eastAsia="Times New Roman"/>
          <w:i/>
          <w:iCs/>
          <w:sz w:val="30"/>
          <w:szCs w:val="30"/>
          <w:lang w:val="es-ES"/>
        </w:rPr>
        <w:t>003-2014-F, publica</w:t>
      </w:r>
      <w:r>
        <w:rPr>
          <w:rFonts w:eastAsia="Times New Roman"/>
          <w:i/>
          <w:iCs/>
          <w:sz w:val="30"/>
          <w:szCs w:val="30"/>
          <w:lang w:val="es-ES"/>
        </w:rPr>
        <w:t>da en el Suplemento del Registro Oficial 365 de 30 de octubre de 2014, se emitieron Normas para la aplicación de la Disposición General Décima Cuarta del Código Orgánico Monetario y Financiero.</w:t>
      </w:r>
    </w:p>
    <w:p w:rsidR="00000000" w:rsidRDefault="0018461E">
      <w:pPr>
        <w:divId w:val="1698046357"/>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El Estado podrá transferir recursos equivalente</w:t>
      </w:r>
      <w:r>
        <w:rPr>
          <w:rFonts w:eastAsia="Times New Roman"/>
          <w:sz w:val="30"/>
          <w:szCs w:val="30"/>
          <w:lang w:val="es-ES"/>
        </w:rPr>
        <w:t xml:space="preserve">s a los que hubieran percibido por efectos de la derogada Ley de Creación de la Red de Seguridad Financiera a las organizaciones de derecho privado que realizan labor social. Las transferencias estarán sujetas a la rendición de cuentas por el uso de estos </w:t>
      </w:r>
      <w:r>
        <w:rPr>
          <w:rFonts w:eastAsia="Times New Roman"/>
          <w:sz w:val="30"/>
          <w:szCs w:val="30"/>
          <w:lang w:val="es-ES"/>
        </w:rPr>
        <w:t>recursos, sobre la base de la normativa que emita para tal efecto el ente rector de las finanzas públicas.</w:t>
      </w:r>
    </w:p>
    <w:p w:rsidR="00000000" w:rsidRDefault="0018461E">
      <w:pPr>
        <w:divId w:val="1732195005"/>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La Junta de Política y Regulación Monetaria y Financiera utilizará los instrumentos establecidos en este Código para promover y facilit</w:t>
      </w:r>
      <w:r>
        <w:rPr>
          <w:rFonts w:eastAsia="Times New Roman"/>
          <w:sz w:val="30"/>
          <w:szCs w:val="30"/>
          <w:lang w:val="es-ES"/>
        </w:rPr>
        <w:t>ar el acceso al crédito a persona en movilidad humana, considerando sus circunstancias y especificidades.</w:t>
      </w:r>
    </w:p>
    <w:p w:rsidR="00000000" w:rsidRDefault="0018461E">
      <w:pPr>
        <w:divId w:val="545484308"/>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Intercambio de información: Las instituciones del Estado, sus organismos, dependencias, y las personas que actúen en virtud de una pot</w:t>
      </w:r>
      <w:r>
        <w:rPr>
          <w:rFonts w:eastAsia="Times New Roman"/>
          <w:sz w:val="30"/>
          <w:szCs w:val="30"/>
          <w:lang w:val="es-ES"/>
        </w:rPr>
        <w:t>estad estatal, podrán intercambiar sin restricción alguna la información que posean, y que sea necesaria para el cumplimiento de sus objetivos.</w:t>
      </w:r>
      <w:r>
        <w:rPr>
          <w:rFonts w:eastAsia="Times New Roman"/>
          <w:sz w:val="30"/>
          <w:szCs w:val="30"/>
          <w:lang w:val="es-ES"/>
        </w:rPr>
        <w:br/>
      </w:r>
      <w:r>
        <w:rPr>
          <w:rFonts w:eastAsia="Times New Roman"/>
          <w:sz w:val="30"/>
          <w:szCs w:val="30"/>
          <w:lang w:val="es-ES"/>
        </w:rPr>
        <w:br/>
        <w:t xml:space="preserve">La información personal es reservada y no perderá tal condición por el intercambio con otras instituciones del </w:t>
      </w:r>
      <w:r>
        <w:rPr>
          <w:rFonts w:eastAsia="Times New Roman"/>
          <w:sz w:val="30"/>
          <w:szCs w:val="30"/>
          <w:lang w:val="es-ES"/>
        </w:rPr>
        <w:t>Estado, a quienes se les trasladará dicha reserva.</w:t>
      </w:r>
    </w:p>
    <w:p w:rsidR="00000000" w:rsidRDefault="0018461E">
      <w:pPr>
        <w:divId w:val="457721959"/>
        <w:rPr>
          <w:rFonts w:eastAsia="Times New Roman"/>
          <w:sz w:val="30"/>
          <w:szCs w:val="30"/>
          <w:lang w:val="es-ES"/>
        </w:rPr>
      </w:pPr>
      <w:r>
        <w:rPr>
          <w:rFonts w:eastAsia="Times New Roman"/>
          <w:sz w:val="30"/>
          <w:szCs w:val="30"/>
          <w:lang w:val="es-ES"/>
        </w:rPr>
        <w:t>Décima Octava:</w:t>
      </w:r>
      <w:r>
        <w:rPr>
          <w:rFonts w:eastAsia="Times New Roman"/>
          <w:b/>
          <w:bCs/>
          <w:sz w:val="30"/>
          <w:szCs w:val="30"/>
          <w:lang w:val="es-ES"/>
        </w:rPr>
        <w:t xml:space="preserve"> Estructura del Código. </w:t>
      </w:r>
      <w:r>
        <w:rPr>
          <w:rFonts w:eastAsia="Times New Roman"/>
          <w:sz w:val="30"/>
          <w:szCs w:val="30"/>
          <w:lang w:val="es-ES"/>
        </w:rPr>
        <w:t>Las disposiciones correspondientes al Sistema Monetario y Financiero contenidos en los Títulos I, II y III del presente instrumento constituyen el Libro 1, la Ley de M</w:t>
      </w:r>
      <w:r>
        <w:rPr>
          <w:rFonts w:eastAsia="Times New Roman"/>
          <w:sz w:val="30"/>
          <w:szCs w:val="30"/>
          <w:lang w:val="es-ES"/>
        </w:rPr>
        <w:t>ercado de Valores con sus reformas incorpórese como Libro 2 y la Ley General de Seguros con sus reformas incorpórese como Libro III del Código Orgánico Monetario y Financiero.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todos los casos en los que se disponga que un término ha de transcurrir para</w:t>
      </w:r>
      <w:r>
        <w:rPr>
          <w:rFonts w:eastAsia="Times New Roman"/>
          <w:sz w:val="30"/>
          <w:szCs w:val="30"/>
          <w:lang w:val="es-ES"/>
        </w:rPr>
        <w:t xml:space="preserve"> realizar determinada actuación o para que se produzca determinado efecto jurídico, solo se contabilizarán los días hábiles o útiles.</w:t>
      </w:r>
    </w:p>
    <w:p w:rsidR="00000000" w:rsidRDefault="0018461E">
      <w:pPr>
        <w:jc w:val="center"/>
        <w:rPr>
          <w:rFonts w:eastAsia="Times New Roman"/>
          <w:sz w:val="36"/>
          <w:szCs w:val="36"/>
          <w:lang w:val="es-ES"/>
        </w:rPr>
      </w:pPr>
      <w:r>
        <w:rPr>
          <w:rFonts w:eastAsia="Times New Roman"/>
          <w:b/>
          <w:bCs/>
          <w:sz w:val="36"/>
          <w:szCs w:val="36"/>
          <w:lang w:val="es-ES"/>
        </w:rPr>
        <w:br/>
        <w:t>DISPOSICIONES REFORMATORIAS Y DEROGATORIAS</w:t>
      </w:r>
    </w:p>
    <w:p w:rsidR="00000000" w:rsidRDefault="0018461E">
      <w:pPr>
        <w:jc w:val="center"/>
        <w:rPr>
          <w:rFonts w:eastAsia="Times New Roman"/>
          <w:sz w:val="36"/>
          <w:szCs w:val="36"/>
          <w:lang w:val="es-ES"/>
        </w:rPr>
      </w:pPr>
      <w:r>
        <w:rPr>
          <w:rFonts w:eastAsia="Times New Roman"/>
          <w:b/>
          <w:bCs/>
          <w:sz w:val="36"/>
          <w:szCs w:val="36"/>
          <w:lang w:val="es-ES"/>
        </w:rPr>
        <w:br/>
        <w:t>Capítulo 1</w:t>
      </w:r>
      <w:r>
        <w:rPr>
          <w:rFonts w:eastAsia="Times New Roman"/>
          <w:b/>
          <w:bCs/>
          <w:sz w:val="36"/>
          <w:szCs w:val="36"/>
          <w:lang w:val="es-ES"/>
        </w:rPr>
        <w:br/>
        <w:t>REFORMAS</w:t>
      </w:r>
    </w:p>
    <w:p w:rsidR="00000000" w:rsidRDefault="0018461E">
      <w:pPr>
        <w:divId w:val="66035173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la legislación vigente efectúense las siguie</w:t>
      </w:r>
      <w:r>
        <w:rPr>
          <w:rFonts w:eastAsia="Times New Roman"/>
          <w:sz w:val="30"/>
          <w:szCs w:val="30"/>
          <w:lang w:val="es-ES"/>
        </w:rPr>
        <w:t>ntes reformas:</w:t>
      </w:r>
      <w:r>
        <w:rPr>
          <w:rFonts w:eastAsia="Times New Roman"/>
          <w:sz w:val="30"/>
          <w:szCs w:val="30"/>
          <w:lang w:val="es-ES"/>
        </w:rPr>
        <w:br/>
      </w:r>
      <w:r>
        <w:rPr>
          <w:rFonts w:eastAsia="Times New Roman"/>
          <w:sz w:val="30"/>
          <w:szCs w:val="30"/>
          <w:lang w:val="es-ES"/>
        </w:rPr>
        <w:br/>
        <w:t>1. Sustituir “Superintendencia de Bancos y Seguros” y “Superintendente de Bancos y Seguros” por “Superintendencia de Bancos” y “Superintendente de Bancos”, respectivamente;</w:t>
      </w:r>
      <w:r>
        <w:rPr>
          <w:rFonts w:eastAsia="Times New Roman"/>
          <w:sz w:val="30"/>
          <w:szCs w:val="30"/>
          <w:lang w:val="es-ES"/>
        </w:rPr>
        <w:br/>
      </w:r>
      <w:r>
        <w:rPr>
          <w:rFonts w:eastAsia="Times New Roman"/>
          <w:sz w:val="30"/>
          <w:szCs w:val="30"/>
          <w:lang w:val="es-ES"/>
        </w:rPr>
        <w:br/>
        <w:t>2. Sustituir “Superintendencia de Compañías y Valores” y “Superint</w:t>
      </w:r>
      <w:r>
        <w:rPr>
          <w:rFonts w:eastAsia="Times New Roman"/>
          <w:sz w:val="30"/>
          <w:szCs w:val="30"/>
          <w:lang w:val="es-ES"/>
        </w:rPr>
        <w:t>endente de Compañías y Valores” por “Superintendencia de Compañías, Valores y Seguros” y “Superintendente de Compañías, Valores y Seguros”, respectivamente; y,</w:t>
      </w:r>
      <w:r>
        <w:rPr>
          <w:rFonts w:eastAsia="Times New Roman"/>
          <w:sz w:val="30"/>
          <w:szCs w:val="30"/>
          <w:lang w:val="es-ES"/>
        </w:rPr>
        <w:br/>
      </w:r>
      <w:r>
        <w:rPr>
          <w:rFonts w:eastAsia="Times New Roman"/>
          <w:sz w:val="30"/>
          <w:szCs w:val="30"/>
          <w:lang w:val="es-ES"/>
        </w:rPr>
        <w:br/>
        <w:t>3. Sustituir “Ley Orgánica de Economía Popular y Solidaria y del Sector Financiero Popular y So</w:t>
      </w:r>
      <w:r>
        <w:rPr>
          <w:rFonts w:eastAsia="Times New Roman"/>
          <w:sz w:val="30"/>
          <w:szCs w:val="30"/>
          <w:lang w:val="es-ES"/>
        </w:rPr>
        <w:t>lidario” por “Ley Orgánica de Economía Popular y Solidaria”.</w:t>
      </w:r>
    </w:p>
    <w:p w:rsidR="00000000" w:rsidRDefault="0018461E">
      <w:pPr>
        <w:divId w:val="590550533"/>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el Código Civil, sustitúyase en el artículo 1611 el texto: “El Directorio del Banco Central del Ecuador” por “El organismo regulador de los sistemas monetario y financiero”.</w:t>
      </w:r>
    </w:p>
    <w:p w:rsidR="00000000" w:rsidRDefault="0018461E">
      <w:pPr>
        <w:divId w:val="1152991523"/>
        <w:rPr>
          <w:rFonts w:eastAsia="Times New Roman"/>
          <w:sz w:val="30"/>
          <w:szCs w:val="30"/>
          <w:lang w:val="es-ES"/>
        </w:rPr>
      </w:pPr>
      <w:r>
        <w:rPr>
          <w:rFonts w:eastAsia="Times New Roman"/>
          <w:b/>
          <w:bCs/>
          <w:sz w:val="30"/>
          <w:szCs w:val="30"/>
          <w:lang w:val="es-ES"/>
        </w:rPr>
        <w:t>Tercera.</w:t>
      </w:r>
      <w:r>
        <w:rPr>
          <w:rFonts w:eastAsia="Times New Roman"/>
          <w:b/>
          <w:bCs/>
          <w:sz w:val="30"/>
          <w:szCs w:val="30"/>
          <w:lang w:val="es-ES"/>
        </w:rPr>
        <w:t xml:space="preserve">- </w:t>
      </w:r>
      <w:r>
        <w:rPr>
          <w:rFonts w:eastAsia="Times New Roman"/>
          <w:sz w:val="30"/>
          <w:szCs w:val="30"/>
          <w:lang w:val="es-ES"/>
        </w:rPr>
        <w:t>En el Código Orgánico de Planificación y Finanzas Públicas, efectúense las siguientes reformas:</w:t>
      </w:r>
      <w:r>
        <w:rPr>
          <w:rFonts w:eastAsia="Times New Roman"/>
          <w:sz w:val="30"/>
          <w:szCs w:val="30"/>
          <w:lang w:val="es-ES"/>
        </w:rPr>
        <w:br/>
      </w:r>
      <w:r>
        <w:rPr>
          <w:rFonts w:eastAsia="Times New Roman"/>
          <w:sz w:val="30"/>
          <w:szCs w:val="30"/>
          <w:lang w:val="es-ES"/>
        </w:rPr>
        <w:br/>
        <w:t>1. En el artículo 74 sustitúyase el numeral 22 por el siguiente: “22. Utilizar instrumentos y operaciones de los mercados financieros nacionales y/o internac</w:t>
      </w:r>
      <w:r>
        <w:rPr>
          <w:rFonts w:eastAsia="Times New Roman"/>
          <w:sz w:val="30"/>
          <w:szCs w:val="30"/>
          <w:lang w:val="es-ES"/>
        </w:rPr>
        <w:t>ionales, a fin de optimizar la gestión financiera del Estado;”;</w:t>
      </w:r>
      <w:r>
        <w:rPr>
          <w:rFonts w:eastAsia="Times New Roman"/>
          <w:sz w:val="30"/>
          <w:szCs w:val="30"/>
          <w:lang w:val="es-ES"/>
        </w:rPr>
        <w:br/>
      </w:r>
      <w:r>
        <w:rPr>
          <w:rFonts w:eastAsia="Times New Roman"/>
          <w:sz w:val="30"/>
          <w:szCs w:val="30"/>
          <w:lang w:val="es-ES"/>
        </w:rPr>
        <w:br/>
        <w:t>2. En el artículo 75, agréguese el siguiente inciso final: “Para el cumplimiento de sus deberes y atribuciones, el ente rector del SINFIP tendrá jurisdicción coactiva, que se ejercerá de acue</w:t>
      </w:r>
      <w:r>
        <w:rPr>
          <w:rFonts w:eastAsia="Times New Roman"/>
          <w:sz w:val="30"/>
          <w:szCs w:val="30"/>
          <w:lang w:val="es-ES"/>
        </w:rPr>
        <w:t>rdo con la ley”;</w:t>
      </w:r>
      <w:r>
        <w:rPr>
          <w:rFonts w:eastAsia="Times New Roman"/>
          <w:sz w:val="30"/>
          <w:szCs w:val="30"/>
          <w:lang w:val="es-ES"/>
        </w:rPr>
        <w:br/>
      </w:r>
      <w:r>
        <w:rPr>
          <w:rFonts w:eastAsia="Times New Roman"/>
          <w:sz w:val="30"/>
          <w:szCs w:val="30"/>
          <w:lang w:val="es-ES"/>
        </w:rPr>
        <w:lastRenderedPageBreak/>
        <w:br/>
        <w:t>3. En el artículo 129, inciso primero, suprímase el siguiente texto:</w:t>
      </w:r>
      <w:r>
        <w:rPr>
          <w:rFonts w:eastAsia="Times New Roman"/>
          <w:sz w:val="30"/>
          <w:szCs w:val="30"/>
          <w:lang w:val="es-ES"/>
        </w:rPr>
        <w:br/>
      </w:r>
      <w:r>
        <w:rPr>
          <w:rFonts w:eastAsia="Times New Roman"/>
          <w:sz w:val="30"/>
          <w:szCs w:val="30"/>
          <w:lang w:val="es-ES"/>
        </w:rPr>
        <w:br/>
        <w:t>“La banca pública podrá hacerlo únicamente a favor de empresas públicas en las que el Estado tenga la participación mayoritaria.”;</w:t>
      </w:r>
      <w:r>
        <w:rPr>
          <w:rFonts w:eastAsia="Times New Roman"/>
          <w:sz w:val="30"/>
          <w:szCs w:val="30"/>
          <w:lang w:val="es-ES"/>
        </w:rPr>
        <w:br/>
      </w:r>
      <w:r>
        <w:rPr>
          <w:rFonts w:eastAsia="Times New Roman"/>
          <w:sz w:val="30"/>
          <w:szCs w:val="30"/>
          <w:lang w:val="es-ES"/>
        </w:rPr>
        <w:br/>
        <w:t xml:space="preserve">4. A continuación del artículo 130, </w:t>
      </w:r>
      <w:r>
        <w:rPr>
          <w:rFonts w:eastAsia="Times New Roman"/>
          <w:sz w:val="30"/>
          <w:szCs w:val="30"/>
          <w:lang w:val="es-ES"/>
        </w:rPr>
        <w:t>incorpórese el siguiente artículo innumerado: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 </w:t>
      </w:r>
      <w:r>
        <w:rPr>
          <w:rFonts w:eastAsia="Times New Roman"/>
          <w:sz w:val="30"/>
          <w:szCs w:val="30"/>
          <w:lang w:val="es-ES"/>
        </w:rPr>
        <w:t>Pignoración de rentas. Los pagos de todo contrato de deuda con entidades del Sector Financiero Público, que celebren las entidades públicas, incluidas las empresas del sector público, estarán res</w:t>
      </w:r>
      <w:r>
        <w:rPr>
          <w:rFonts w:eastAsia="Times New Roman"/>
          <w:sz w:val="30"/>
          <w:szCs w:val="30"/>
          <w:lang w:val="es-ES"/>
        </w:rPr>
        <w:t>paldados por la pignoración de rentas de la totalidad de ingresos de la entidad deudora en el Banco Central del Ecuador, de conformidad con el respectivo reglamento”;</w:t>
      </w:r>
      <w:r>
        <w:rPr>
          <w:rFonts w:eastAsia="Times New Roman"/>
          <w:sz w:val="30"/>
          <w:szCs w:val="30"/>
          <w:lang w:val="es-ES"/>
        </w:rPr>
        <w:br/>
      </w:r>
      <w:r>
        <w:rPr>
          <w:rFonts w:eastAsia="Times New Roman"/>
          <w:sz w:val="30"/>
          <w:szCs w:val="30"/>
          <w:lang w:val="es-ES"/>
        </w:rPr>
        <w:br/>
        <w:t>5. En el artículo 137 modifíquese el título del artículo por el siguiente: “Contratos qu</w:t>
      </w:r>
      <w:r>
        <w:rPr>
          <w:rFonts w:eastAsia="Times New Roman"/>
          <w:sz w:val="30"/>
          <w:szCs w:val="30"/>
          <w:lang w:val="es-ES"/>
        </w:rPr>
        <w:t>e contribuyan a concretar operaciones de endeudamiento público interno, externo y/o coberturas”, y después de la frase “recompra de títulos emitidos por el Estado,” agréguese la palabra “cobertura”;</w:t>
      </w:r>
      <w:r>
        <w:rPr>
          <w:rFonts w:eastAsia="Times New Roman"/>
          <w:sz w:val="30"/>
          <w:szCs w:val="30"/>
          <w:lang w:val="es-ES"/>
        </w:rPr>
        <w:br/>
      </w:r>
      <w:r>
        <w:rPr>
          <w:rFonts w:eastAsia="Times New Roman"/>
          <w:sz w:val="30"/>
          <w:szCs w:val="30"/>
          <w:lang w:val="es-ES"/>
        </w:rPr>
        <w:br/>
        <w:t>6. En el artículo 144 segundo inciso, a continuación del</w:t>
      </w:r>
      <w:r>
        <w:rPr>
          <w:rFonts w:eastAsia="Times New Roman"/>
          <w:sz w:val="30"/>
          <w:szCs w:val="30"/>
          <w:lang w:val="es-ES"/>
        </w:rPr>
        <w:t xml:space="preserve"> texto: “bolsas de valores” agréguese “y/o plataformas de negociación”;</w:t>
      </w:r>
      <w:r>
        <w:rPr>
          <w:rFonts w:eastAsia="Times New Roman"/>
          <w:sz w:val="30"/>
          <w:szCs w:val="30"/>
          <w:lang w:val="es-ES"/>
        </w:rPr>
        <w:br/>
      </w:r>
      <w:r>
        <w:rPr>
          <w:rFonts w:eastAsia="Times New Roman"/>
          <w:sz w:val="30"/>
          <w:szCs w:val="30"/>
          <w:lang w:val="es-ES"/>
        </w:rPr>
        <w:br/>
        <w:t>7. En el artículo 157 primer inciso, sustitúyase el texto: “ente financiero del Sector Público no Financiero” por “organismo del Sector Público”;</w:t>
      </w:r>
      <w:r>
        <w:rPr>
          <w:rFonts w:eastAsia="Times New Roman"/>
          <w:sz w:val="30"/>
          <w:szCs w:val="30"/>
          <w:lang w:val="es-ES"/>
        </w:rPr>
        <w:br/>
      </w:r>
      <w:r>
        <w:rPr>
          <w:rFonts w:eastAsia="Times New Roman"/>
          <w:sz w:val="30"/>
          <w:szCs w:val="30"/>
          <w:lang w:val="es-ES"/>
        </w:rPr>
        <w:br/>
        <w:t>8. En el artículo 158 suprímase el t</w:t>
      </w:r>
      <w:r>
        <w:rPr>
          <w:rFonts w:eastAsia="Times New Roman"/>
          <w:sz w:val="30"/>
          <w:szCs w:val="30"/>
          <w:lang w:val="es-ES"/>
        </w:rPr>
        <w:t>exto “no financiero”;</w:t>
      </w:r>
      <w:r>
        <w:rPr>
          <w:rFonts w:eastAsia="Times New Roman"/>
          <w:sz w:val="30"/>
          <w:szCs w:val="30"/>
          <w:lang w:val="es-ES"/>
        </w:rPr>
        <w:br/>
      </w:r>
      <w:r>
        <w:rPr>
          <w:rFonts w:eastAsia="Times New Roman"/>
          <w:sz w:val="30"/>
          <w:szCs w:val="30"/>
          <w:lang w:val="es-ES"/>
        </w:rPr>
        <w:br/>
        <w:t xml:space="preserve">9. En el artículo 168 incorpórese como segundo inciso el siguiente: “La inversión y operación de los activos internacionales de inversión del Banco Central del Ecuador, incluyendo la Reserva Internacional de Libre Disponibilidad, se </w:t>
      </w:r>
      <w:r>
        <w:rPr>
          <w:rFonts w:eastAsia="Times New Roman"/>
          <w:sz w:val="30"/>
          <w:szCs w:val="30"/>
          <w:lang w:val="es-ES"/>
        </w:rPr>
        <w:t>realizarán sin autorización previa.”;</w:t>
      </w:r>
      <w:r>
        <w:rPr>
          <w:rFonts w:eastAsia="Times New Roman"/>
          <w:sz w:val="30"/>
          <w:szCs w:val="30"/>
          <w:lang w:val="es-ES"/>
        </w:rPr>
        <w:br/>
      </w:r>
      <w:r>
        <w:rPr>
          <w:rFonts w:eastAsia="Times New Roman"/>
          <w:sz w:val="30"/>
          <w:szCs w:val="30"/>
          <w:lang w:val="es-ES"/>
        </w:rPr>
        <w:br/>
        <w:t>10. “Incorpórese las siguientes disposiciones generales: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PRIMERA: </w:t>
      </w:r>
      <w:r>
        <w:rPr>
          <w:rFonts w:eastAsia="Times New Roman"/>
          <w:sz w:val="30"/>
          <w:szCs w:val="30"/>
          <w:lang w:val="es-ES"/>
        </w:rPr>
        <w:t xml:space="preserve">Toda contribución que mantuviere pendiente de liquidación el Estado por concepto del pago del aporte </w:t>
      </w:r>
      <w:r>
        <w:rPr>
          <w:rFonts w:eastAsia="Times New Roman"/>
          <w:sz w:val="30"/>
          <w:szCs w:val="30"/>
          <w:lang w:val="es-ES"/>
        </w:rPr>
        <w:lastRenderedPageBreak/>
        <w:t>del 40% de las pensiones jubilares desde</w:t>
      </w:r>
      <w:r>
        <w:rPr>
          <w:rFonts w:eastAsia="Times New Roman"/>
          <w:sz w:val="30"/>
          <w:szCs w:val="30"/>
          <w:lang w:val="es-ES"/>
        </w:rPr>
        <w:t xml:space="preserve"> la promulgación de la Constitución de la República, con el Instituto Ecuatoriano de Seguridad Social, que no haya sido transferida en el periodo previsto se liquidará aplicando al capital adeudado la tasa de interés equivalente al rendimiento promedio pon</w:t>
      </w:r>
      <w:r>
        <w:rPr>
          <w:rFonts w:eastAsia="Times New Roman"/>
          <w:sz w:val="30"/>
          <w:szCs w:val="30"/>
          <w:lang w:val="es-ES"/>
        </w:rPr>
        <w:t>derado de cada año de la cartera de crédito del Banco del Instituto Ecuatoriano de Seguridad Social.</w:t>
      </w:r>
      <w:r>
        <w:rPr>
          <w:rFonts w:eastAsia="Times New Roman"/>
          <w:sz w:val="30"/>
          <w:szCs w:val="30"/>
          <w:lang w:val="es-ES"/>
        </w:rPr>
        <w:br/>
      </w:r>
      <w:r>
        <w:rPr>
          <w:rFonts w:eastAsia="Times New Roman"/>
          <w:sz w:val="30"/>
          <w:szCs w:val="30"/>
          <w:lang w:val="es-ES"/>
        </w:rPr>
        <w:br/>
        <w:t xml:space="preserve">Los valores que difieran de la metodología de cálculo anterior serán revisados y entrarán en el proceso de consolidación y liquidación. Para dicho efecto </w:t>
      </w:r>
      <w:r>
        <w:rPr>
          <w:rFonts w:eastAsia="Times New Roman"/>
          <w:sz w:val="30"/>
          <w:szCs w:val="30"/>
          <w:lang w:val="es-ES"/>
        </w:rPr>
        <w:t>se realizarán actas de consolidación definitiva.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SEGUNDA: </w:t>
      </w:r>
      <w:r>
        <w:rPr>
          <w:rFonts w:eastAsia="Times New Roman"/>
          <w:sz w:val="30"/>
          <w:szCs w:val="30"/>
          <w:lang w:val="es-ES"/>
        </w:rPr>
        <w:t>El Servicio Nacional de Aduana del Ecuador (SENAE), recaudará y depositará en la Cuenta Única del Tesoro Nacional el producto del remate de las mercancías de prohibida importación, que fue</w:t>
      </w:r>
      <w:r>
        <w:rPr>
          <w:rFonts w:eastAsia="Times New Roman"/>
          <w:sz w:val="30"/>
          <w:szCs w:val="30"/>
          <w:lang w:val="es-ES"/>
        </w:rPr>
        <w:t>ren decomisadas definitivamente.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TERCERA.- </w:t>
      </w:r>
      <w:r>
        <w:rPr>
          <w:rFonts w:eastAsia="Times New Roman"/>
          <w:sz w:val="30"/>
          <w:szCs w:val="30"/>
          <w:lang w:val="es-ES"/>
        </w:rPr>
        <w:t>Los recursos que se cobren por concepto de las multas impuestas por los tribunales y juzgados de la República, serán cobradas de acuerdo a la norma técnica que el ente rector de las finanzas públicas dic</w:t>
      </w:r>
      <w:r>
        <w:rPr>
          <w:rFonts w:eastAsia="Times New Roman"/>
          <w:sz w:val="30"/>
          <w:szCs w:val="30"/>
          <w:lang w:val="es-ES"/>
        </w:rPr>
        <w:t>te para el efecto y serán transferidas a la Cuenta Única del Tesoro Nacional, como parte de recursos fiscales que forman parte del Presupuesto General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CUARTA.- </w:t>
      </w:r>
      <w:r>
        <w:rPr>
          <w:rFonts w:eastAsia="Times New Roman"/>
          <w:sz w:val="30"/>
          <w:szCs w:val="30"/>
          <w:lang w:val="es-ES"/>
        </w:rPr>
        <w:t>En razón de la reforma al artículo 30 de la Ley Orgánica de la Contraloría</w:t>
      </w:r>
      <w:r>
        <w:rPr>
          <w:rFonts w:eastAsia="Times New Roman"/>
          <w:sz w:val="30"/>
          <w:szCs w:val="30"/>
          <w:lang w:val="es-ES"/>
        </w:rPr>
        <w:t xml:space="preserve"> General del Estado, que elimina las asignaciones a favor de la Contraloría General del Estado, y con el objeto de financiar a dicha institución, se transferirán obligatoriamente al Presupuesto General del Estado, el cinco por mil de los ingresos presupues</w:t>
      </w:r>
      <w:r>
        <w:rPr>
          <w:rFonts w:eastAsia="Times New Roman"/>
          <w:sz w:val="30"/>
          <w:szCs w:val="30"/>
          <w:lang w:val="es-ES"/>
        </w:rPr>
        <w:t>tados de los Gobiernos Autónomos Descentralizados, Empresas Públicas, Seguridad Social, Entidades Financieras Públicas, y en la parte proporcional de las personas jurídicas de derecho privado cuyo capital social, patrimonio, fondo o participación tributari</w:t>
      </w:r>
      <w:r>
        <w:rPr>
          <w:rFonts w:eastAsia="Times New Roman"/>
          <w:sz w:val="30"/>
          <w:szCs w:val="30"/>
          <w:lang w:val="es-ES"/>
        </w:rPr>
        <w:t>a este integrado, con recursos públicos. Exceptúense el cobro de este aporte exclusivamente los ingresos provenientes de empréstitos internos y externos, donaciones, saldos iniciales de caja.</w:t>
      </w:r>
      <w:r>
        <w:rPr>
          <w:rFonts w:eastAsia="Times New Roman"/>
          <w:sz w:val="30"/>
          <w:szCs w:val="30"/>
          <w:lang w:val="es-ES"/>
        </w:rPr>
        <w:br/>
      </w:r>
      <w:r>
        <w:rPr>
          <w:rFonts w:eastAsia="Times New Roman"/>
          <w:sz w:val="30"/>
          <w:szCs w:val="30"/>
          <w:lang w:val="es-ES"/>
        </w:rPr>
        <w:br/>
        <w:t>El Banco Central del Ecuador debitará automáticamente de manera</w:t>
      </w:r>
      <w:r>
        <w:rPr>
          <w:rFonts w:eastAsia="Times New Roman"/>
          <w:sz w:val="30"/>
          <w:szCs w:val="30"/>
          <w:lang w:val="es-ES"/>
        </w:rPr>
        <w:t xml:space="preserve"> mensual estos recursos de las cuentas de la entidades nombradas en el inciso precedente, de acuerdo a la liquidación que emitirá el ente </w:t>
      </w:r>
      <w:r>
        <w:rPr>
          <w:rFonts w:eastAsia="Times New Roman"/>
          <w:sz w:val="30"/>
          <w:szCs w:val="30"/>
          <w:lang w:val="es-ES"/>
        </w:rPr>
        <w:lastRenderedPageBreak/>
        <w:t>rector de las finanzas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VIGÉSIMA QUINTA: </w:t>
      </w:r>
      <w:r>
        <w:rPr>
          <w:rFonts w:eastAsia="Times New Roman"/>
          <w:sz w:val="30"/>
          <w:szCs w:val="30"/>
          <w:lang w:val="es-ES"/>
        </w:rPr>
        <w:t>La Unidad de Gestión y Ejecución de Derecho Público del Fideicomiso</w:t>
      </w:r>
      <w:r>
        <w:rPr>
          <w:rFonts w:eastAsia="Times New Roman"/>
          <w:sz w:val="30"/>
          <w:szCs w:val="30"/>
          <w:lang w:val="es-ES"/>
        </w:rPr>
        <w:t xml:space="preserve"> AGD-CFN No Más Impunidad poseerá jurisdicción coactiva para la recuperación y cobro de las obligaciones a su favor. El representante legal de la entidad o su delegado será el juez de coactiva, y ejercerá la jurisdicción coactiva con sujeción a las disposi</w:t>
      </w:r>
      <w:r>
        <w:rPr>
          <w:rFonts w:eastAsia="Times New Roman"/>
          <w:sz w:val="30"/>
          <w:szCs w:val="30"/>
          <w:lang w:val="es-ES"/>
        </w:rPr>
        <w:t>ciones del Código de Procedimiento Civil.</w:t>
      </w:r>
      <w:r>
        <w:rPr>
          <w:rFonts w:eastAsia="Times New Roman"/>
          <w:sz w:val="30"/>
          <w:szCs w:val="30"/>
          <w:lang w:val="es-ES"/>
        </w:rPr>
        <w:br/>
      </w:r>
      <w:r>
        <w:rPr>
          <w:rFonts w:eastAsia="Times New Roman"/>
          <w:sz w:val="30"/>
          <w:szCs w:val="30"/>
          <w:lang w:val="es-ES"/>
        </w:rPr>
        <w:br/>
        <w:t>Los administradores, los accionistas y los representantes legales de las instituciones financieras, que hubieren declarado patrimonios técnicos irreales, alterado las cifras de sus balances o cobrado tasas de inte</w:t>
      </w:r>
      <w:r>
        <w:rPr>
          <w:rFonts w:eastAsia="Times New Roman"/>
          <w:sz w:val="30"/>
          <w:szCs w:val="30"/>
          <w:lang w:val="es-ES"/>
        </w:rPr>
        <w:t>rés sobre interés, garantizarán con su patrimonio personal los depósitos de la institución financiera, y la Unidad de Gestión y Ejecución de Derecho Público del Fideicomiso AGD-CFN No Más Impunidad podrá incautar aquellos bienes que son de público conocimi</w:t>
      </w:r>
      <w:r>
        <w:rPr>
          <w:rFonts w:eastAsia="Times New Roman"/>
          <w:sz w:val="30"/>
          <w:szCs w:val="30"/>
          <w:lang w:val="es-ES"/>
        </w:rPr>
        <w:t>ento de propiedad de estos administradores, accionistas y representantes legales.</w:t>
      </w:r>
      <w:r>
        <w:rPr>
          <w:rFonts w:eastAsia="Times New Roman"/>
          <w:sz w:val="30"/>
          <w:szCs w:val="30"/>
          <w:lang w:val="es-ES"/>
        </w:rPr>
        <w:br/>
      </w:r>
      <w:r>
        <w:rPr>
          <w:rFonts w:eastAsia="Times New Roman"/>
          <w:sz w:val="30"/>
          <w:szCs w:val="30"/>
          <w:lang w:val="es-ES"/>
        </w:rPr>
        <w:br/>
        <w:t>La incautación podrá ser impugnada en base a la reglamentación que para el efecto se haya emitido o emita la Unidad de Gestión y Ejecución de Derecho Público del Fideicomiso</w:t>
      </w:r>
      <w:r>
        <w:rPr>
          <w:rFonts w:eastAsia="Times New Roman"/>
          <w:sz w:val="30"/>
          <w:szCs w:val="30"/>
          <w:lang w:val="es-ES"/>
        </w:rPr>
        <w:t xml:space="preserve"> AGD-CFN No Más Impunidad, después de lo cual, si la resolución de incautación no hubiese sido revocada o extinguida por la entidad, la propiedad de los bienes incautados será transferida de pleno derecho al Estado ecuatoriano, a través de la referida enti</w:t>
      </w:r>
      <w:r>
        <w:rPr>
          <w:rFonts w:eastAsia="Times New Roman"/>
          <w:sz w:val="30"/>
          <w:szCs w:val="30"/>
          <w:lang w:val="es-ES"/>
        </w:rPr>
        <w:t>dad. En este caso, los Registradores de la Propiedad, los Registradores Mercantiles, y cualquier otro órgano o funcionario que mantenga a su cargo el registro de transferencia de bienes, deberán registrar la transferencia de dominio de los bienes que solic</w:t>
      </w:r>
      <w:r>
        <w:rPr>
          <w:rFonts w:eastAsia="Times New Roman"/>
          <w:sz w:val="30"/>
          <w:szCs w:val="30"/>
          <w:lang w:val="es-ES"/>
        </w:rPr>
        <w:t>ite la Unidad de Gestión y Ejecución de Derecho Público del Fideicomiso AGD-CFN No Más Impunidad, estando exenta del pago de impuestos, tasas, contribuciones, multas y expensas.</w:t>
      </w:r>
      <w:r>
        <w:rPr>
          <w:rFonts w:eastAsia="Times New Roman"/>
          <w:sz w:val="30"/>
          <w:szCs w:val="30"/>
          <w:lang w:val="es-ES"/>
        </w:rPr>
        <w:br/>
      </w:r>
      <w:r>
        <w:rPr>
          <w:rFonts w:eastAsia="Times New Roman"/>
          <w:sz w:val="30"/>
          <w:szCs w:val="30"/>
          <w:lang w:val="es-ES"/>
        </w:rPr>
        <w:br/>
        <w:t>El valor para los registros de los bienes incautados, será el catastral en el</w:t>
      </w:r>
      <w:r>
        <w:rPr>
          <w:rFonts w:eastAsia="Times New Roman"/>
          <w:sz w:val="30"/>
          <w:szCs w:val="30"/>
          <w:lang w:val="es-ES"/>
        </w:rPr>
        <w:t xml:space="preserve"> caso de inmuebles, el valor establecido en la matrícula en los casos de los vehículos registrados, o aquel que determine un perito contratado para el efecto en los demás casos, exceptuando a las compañías. El valor de estos bienes será determinado acorde </w:t>
      </w:r>
      <w:r>
        <w:rPr>
          <w:rFonts w:eastAsia="Times New Roman"/>
          <w:sz w:val="30"/>
          <w:szCs w:val="30"/>
          <w:lang w:val="es-ES"/>
        </w:rPr>
        <w:t>a la fecha de incautación.</w:t>
      </w:r>
      <w:r>
        <w:rPr>
          <w:rFonts w:eastAsia="Times New Roman"/>
          <w:sz w:val="30"/>
          <w:szCs w:val="30"/>
          <w:lang w:val="es-ES"/>
        </w:rPr>
        <w:br/>
      </w:r>
      <w:r>
        <w:rPr>
          <w:rFonts w:eastAsia="Times New Roman"/>
          <w:sz w:val="30"/>
          <w:szCs w:val="30"/>
          <w:lang w:val="es-ES"/>
        </w:rPr>
        <w:lastRenderedPageBreak/>
        <w:br/>
        <w:t xml:space="preserve">El valor de las compañías incautadas será aquel del patrimonio declarado al Servicio de Rentas Internas respecto del ejercicio económico inmediato anterior a la fecha de incautación. De no haberse efectuado esta declaración, el </w:t>
      </w:r>
      <w:r>
        <w:rPr>
          <w:rFonts w:eastAsia="Times New Roman"/>
          <w:sz w:val="30"/>
          <w:szCs w:val="30"/>
          <w:lang w:val="es-ES"/>
        </w:rPr>
        <w:t>valor de la compañía será el valor nominal de sus acciones o participaciones.</w:t>
      </w:r>
      <w:r>
        <w:rPr>
          <w:rFonts w:eastAsia="Times New Roman"/>
          <w:sz w:val="30"/>
          <w:szCs w:val="30"/>
          <w:lang w:val="es-ES"/>
        </w:rPr>
        <w:br/>
      </w:r>
      <w:r>
        <w:rPr>
          <w:rFonts w:eastAsia="Times New Roman"/>
          <w:sz w:val="30"/>
          <w:szCs w:val="30"/>
          <w:lang w:val="es-ES"/>
        </w:rPr>
        <w:br/>
        <w:t>En los casos de acciones o participaciones incautadas, que no correspondan a la totalidad del capital de la compañía, su valor será aquel correspondiente al porcentaje incautado</w:t>
      </w:r>
      <w:r>
        <w:rPr>
          <w:rFonts w:eastAsia="Times New Roman"/>
          <w:sz w:val="30"/>
          <w:szCs w:val="30"/>
          <w:lang w:val="es-ES"/>
        </w:rPr>
        <w:t xml:space="preserve"> en base al referido patrimonio declarado.”</w:t>
      </w:r>
    </w:p>
    <w:p w:rsidR="00000000" w:rsidRDefault="0018461E">
      <w:pPr>
        <w:divId w:val="2080441210"/>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el Código Tributario efectúense las siguientes reformas:</w:t>
      </w:r>
      <w:r>
        <w:rPr>
          <w:rFonts w:eastAsia="Times New Roman"/>
          <w:sz w:val="30"/>
          <w:szCs w:val="30"/>
          <w:lang w:val="es-ES"/>
        </w:rPr>
        <w:br/>
      </w:r>
      <w:r>
        <w:rPr>
          <w:rFonts w:eastAsia="Times New Roman"/>
          <w:sz w:val="30"/>
          <w:szCs w:val="30"/>
          <w:lang w:val="es-ES"/>
        </w:rPr>
        <w:br/>
        <w:t>1. En el artículo 35 insértese como numeral 5 el siguiente: “5. Las medidas dispuestas en el proceso de exclusión y transferencia de activos y</w:t>
      </w:r>
      <w:r>
        <w:rPr>
          <w:rFonts w:eastAsia="Times New Roman"/>
          <w:sz w:val="30"/>
          <w:szCs w:val="30"/>
          <w:lang w:val="es-ES"/>
        </w:rPr>
        <w:t xml:space="preserve"> pasivos, de una entidad del Sistema Financiero Nacional, de acuerdo con el Código Orgánico Monetario y Financiero, bajo cualquier modalidad;” y, como numeral 6 el siguiente: “6. El proceso de fusión extraordinario de las entidades del Sistema Financiero N</w:t>
      </w:r>
      <w:r>
        <w:rPr>
          <w:rFonts w:eastAsia="Times New Roman"/>
          <w:sz w:val="30"/>
          <w:szCs w:val="30"/>
          <w:lang w:val="es-ES"/>
        </w:rPr>
        <w:t>acional, de acuerdo con el Código Orgánico Monetario y Financiero”, y reenumérese los siguientes numerales. Igual exención tendrán las cooperativas de ahorro y crédito cuando se fusionen con otras;</w:t>
      </w:r>
      <w:r>
        <w:rPr>
          <w:rFonts w:eastAsia="Times New Roman"/>
          <w:sz w:val="30"/>
          <w:szCs w:val="30"/>
          <w:lang w:val="es-ES"/>
        </w:rPr>
        <w:br/>
      </w:r>
      <w:r>
        <w:rPr>
          <w:rFonts w:eastAsia="Times New Roman"/>
          <w:sz w:val="30"/>
          <w:szCs w:val="30"/>
          <w:lang w:val="es-ES"/>
        </w:rPr>
        <w:br/>
        <w:t>2. En el artículo 43, luego de la frase: “abono tributari</w:t>
      </w:r>
      <w:r>
        <w:rPr>
          <w:rFonts w:eastAsia="Times New Roman"/>
          <w:sz w:val="30"/>
          <w:szCs w:val="30"/>
          <w:lang w:val="es-ES"/>
        </w:rPr>
        <w:t>o”, añadir lo siguiente “, títulos del Banco Central del Ecuador” y luego de la frase: “sujeto activo” añadir “y el Banco Central del Ecuador”; y,</w:t>
      </w:r>
      <w:r>
        <w:rPr>
          <w:rFonts w:eastAsia="Times New Roman"/>
          <w:sz w:val="30"/>
          <w:szCs w:val="30"/>
          <w:lang w:val="es-ES"/>
        </w:rPr>
        <w:br/>
      </w:r>
      <w:r>
        <w:rPr>
          <w:rFonts w:eastAsia="Times New Roman"/>
          <w:sz w:val="30"/>
          <w:szCs w:val="30"/>
          <w:lang w:val="es-ES"/>
        </w:rPr>
        <w:br/>
        <w:t>3. En el artículo 220 incorpórese como inciso final el siguiente: "El Tribunal Distrital de lo Contencioso T</w:t>
      </w:r>
      <w:r>
        <w:rPr>
          <w:rFonts w:eastAsia="Times New Roman"/>
          <w:sz w:val="30"/>
          <w:szCs w:val="30"/>
          <w:lang w:val="es-ES"/>
        </w:rPr>
        <w:t>ributario no será competente para conocer las impugnaciones en contra de títulos de crédito cuyo contenido, esto es la obligación tributaria, ya fue conocido y resuelto en sede judicial.”</w:t>
      </w:r>
    </w:p>
    <w:p w:rsidR="00000000" w:rsidRDefault="0018461E">
      <w:pPr>
        <w:divId w:val="1728533534"/>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el Código de la Producción, Comercio e Inversiones, efec</w:t>
      </w:r>
      <w:r>
        <w:rPr>
          <w:rFonts w:eastAsia="Times New Roman"/>
          <w:sz w:val="30"/>
          <w:szCs w:val="30"/>
          <w:lang w:val="es-ES"/>
        </w:rPr>
        <w:t>tuar las siguientes reformas:</w:t>
      </w:r>
      <w:r>
        <w:rPr>
          <w:rFonts w:eastAsia="Times New Roman"/>
          <w:sz w:val="30"/>
          <w:szCs w:val="30"/>
          <w:lang w:val="es-ES"/>
        </w:rPr>
        <w:br/>
      </w:r>
      <w:r>
        <w:rPr>
          <w:rFonts w:eastAsia="Times New Roman"/>
          <w:sz w:val="30"/>
          <w:szCs w:val="30"/>
          <w:lang w:val="es-ES"/>
        </w:rPr>
        <w:br/>
        <w:t xml:space="preserve">“1. Sustitúyase el artículo 12 por el siguiente: </w:t>
      </w:r>
      <w:r>
        <w:rPr>
          <w:rFonts w:eastAsia="Times New Roman"/>
          <w:b/>
          <w:bCs/>
          <w:sz w:val="30"/>
          <w:szCs w:val="30"/>
          <w:lang w:val="es-ES"/>
        </w:rPr>
        <w:t xml:space="preserve">"Art. 12.-Capital de Riesgo.- </w:t>
      </w:r>
      <w:r>
        <w:rPr>
          <w:rFonts w:eastAsia="Times New Roman"/>
          <w:sz w:val="30"/>
          <w:szCs w:val="30"/>
          <w:lang w:val="es-ES"/>
        </w:rPr>
        <w:t>El Estado constituirá fondos de capital de riesgo con el aporte de recursos públicos para financiar las diferentes etapas del proceso de innovació</w:t>
      </w:r>
      <w:r>
        <w:rPr>
          <w:rFonts w:eastAsia="Times New Roman"/>
          <w:sz w:val="30"/>
          <w:szCs w:val="30"/>
          <w:lang w:val="es-ES"/>
        </w:rPr>
        <w:t xml:space="preserve">n, desde los ámbitos de la investigación y </w:t>
      </w:r>
      <w:r>
        <w:rPr>
          <w:rFonts w:eastAsia="Times New Roman"/>
          <w:sz w:val="30"/>
          <w:szCs w:val="30"/>
          <w:lang w:val="es-ES"/>
        </w:rPr>
        <w:lastRenderedPageBreak/>
        <w:t>conocimiento, y productivo. Estos fondos podrán, a su vez, constituir fondos colectivos de inversión y fideicomisos que podrán invertir dentro y fuera del mercado de valores o aportar a fondos existentes, de confo</w:t>
      </w:r>
      <w:r>
        <w:rPr>
          <w:rFonts w:eastAsia="Times New Roman"/>
          <w:sz w:val="30"/>
          <w:szCs w:val="30"/>
          <w:lang w:val="es-ES"/>
        </w:rPr>
        <w:t>rmidad a lo establecido en la Ley de Mercado de Valores y a las regulaciones que dicte la Junta de Política y Regulación Monetaria y Financiera.</w:t>
      </w:r>
      <w:r>
        <w:rPr>
          <w:rFonts w:eastAsia="Times New Roman"/>
          <w:sz w:val="30"/>
          <w:szCs w:val="30"/>
          <w:lang w:val="es-ES"/>
        </w:rPr>
        <w:br/>
      </w:r>
      <w:r>
        <w:rPr>
          <w:rFonts w:eastAsia="Times New Roman"/>
          <w:sz w:val="30"/>
          <w:szCs w:val="30"/>
          <w:lang w:val="es-ES"/>
        </w:rPr>
        <w:br/>
        <w:t>Las inversiones y asignaciones de dichos fondos de capital de riesgo serán efectuadas en proyectos de investig</w:t>
      </w:r>
      <w:r>
        <w:rPr>
          <w:rFonts w:eastAsia="Times New Roman"/>
          <w:sz w:val="30"/>
          <w:szCs w:val="30"/>
          <w:lang w:val="es-ES"/>
        </w:rPr>
        <w:t>ación, incubación y productivos específicos, preferentemente de carácter innovador, que deberán ser temporales y previamente pactadas.</w:t>
      </w:r>
      <w:r>
        <w:rPr>
          <w:rFonts w:eastAsia="Times New Roman"/>
          <w:sz w:val="30"/>
          <w:szCs w:val="30"/>
          <w:lang w:val="es-ES"/>
        </w:rPr>
        <w:br/>
      </w:r>
      <w:r>
        <w:rPr>
          <w:rFonts w:eastAsia="Times New Roman"/>
          <w:sz w:val="30"/>
          <w:szCs w:val="30"/>
          <w:lang w:val="es-ES"/>
        </w:rPr>
        <w:br/>
        <w:t>La asignación de recursos a través de los mecanismos previstos en este artículo y en el reglamento, requerirá de la emis</w:t>
      </w:r>
      <w:r>
        <w:rPr>
          <w:rFonts w:eastAsia="Times New Roman"/>
          <w:sz w:val="30"/>
          <w:szCs w:val="30"/>
          <w:lang w:val="es-ES"/>
        </w:rPr>
        <w:t>ión de un análisis de viabilidad del proyecto, realizado por personas naturales o jurídicas, especializadas.</w:t>
      </w:r>
      <w:r>
        <w:rPr>
          <w:rFonts w:eastAsia="Times New Roman"/>
          <w:sz w:val="30"/>
          <w:szCs w:val="30"/>
          <w:lang w:val="es-ES"/>
        </w:rPr>
        <w:br/>
      </w:r>
      <w:r>
        <w:rPr>
          <w:rFonts w:eastAsia="Times New Roman"/>
          <w:sz w:val="30"/>
          <w:szCs w:val="30"/>
          <w:lang w:val="es-ES"/>
        </w:rPr>
        <w:br/>
        <w:t>La entrega de recursos podrá realizarse de conformidad a lo establecido en el artículo 104 del Código Orgánico de Planificación y Finanzas Pública</w:t>
      </w:r>
      <w:r>
        <w:rPr>
          <w:rFonts w:eastAsia="Times New Roman"/>
          <w:sz w:val="30"/>
          <w:szCs w:val="30"/>
          <w:lang w:val="es-ES"/>
        </w:rPr>
        <w:t>s. Las cuotas de los fondos colectivos podrán ser adquiridas tanto por el sector público como por el sector privado.</w:t>
      </w:r>
      <w:r>
        <w:rPr>
          <w:rFonts w:eastAsia="Times New Roman"/>
          <w:sz w:val="30"/>
          <w:szCs w:val="30"/>
          <w:lang w:val="es-ES"/>
        </w:rPr>
        <w:br/>
      </w:r>
      <w:r>
        <w:rPr>
          <w:rFonts w:eastAsia="Times New Roman"/>
          <w:sz w:val="30"/>
          <w:szCs w:val="30"/>
          <w:lang w:val="es-ES"/>
        </w:rPr>
        <w:br/>
        <w:t>El control de la gestión del fondo de capital de riesgo estará a cargo de los organismos de control del Estado, en el ámbito de sus respec</w:t>
      </w:r>
      <w:r>
        <w:rPr>
          <w:rFonts w:eastAsia="Times New Roman"/>
          <w:sz w:val="30"/>
          <w:szCs w:val="30"/>
          <w:lang w:val="es-ES"/>
        </w:rPr>
        <w:t>tivas competencias, los que en sus acciones de supervisión y control deberán considerar la naturaleza del capital de riesgo.</w:t>
      </w:r>
      <w:r>
        <w:rPr>
          <w:rFonts w:eastAsia="Times New Roman"/>
          <w:sz w:val="30"/>
          <w:szCs w:val="30"/>
          <w:lang w:val="es-ES"/>
        </w:rPr>
        <w:br/>
      </w:r>
      <w:r>
        <w:rPr>
          <w:rFonts w:eastAsia="Times New Roman"/>
          <w:sz w:val="30"/>
          <w:szCs w:val="30"/>
          <w:lang w:val="es-ES"/>
        </w:rPr>
        <w:br/>
        <w:t xml:space="preserve">Mediante decreto ejecutivo se determinará la institucionalidad y mecanismos de operación necesarios para la gestión de los fondos </w:t>
      </w:r>
      <w:r>
        <w:rPr>
          <w:rFonts w:eastAsia="Times New Roman"/>
          <w:sz w:val="30"/>
          <w:szCs w:val="30"/>
          <w:lang w:val="es-ES"/>
        </w:rPr>
        <w:t>de capital de riesgo.”;</w:t>
      </w:r>
      <w:r>
        <w:rPr>
          <w:rFonts w:eastAsia="Times New Roman"/>
          <w:sz w:val="30"/>
          <w:szCs w:val="30"/>
          <w:lang w:val="es-ES"/>
        </w:rPr>
        <w:br/>
      </w:r>
      <w:r>
        <w:rPr>
          <w:rFonts w:eastAsia="Times New Roman"/>
          <w:sz w:val="30"/>
          <w:szCs w:val="30"/>
          <w:lang w:val="es-ES"/>
        </w:rPr>
        <w:br/>
        <w:t>2. Suprímanse los artículos 62 y 65;</w:t>
      </w:r>
      <w:r>
        <w:rPr>
          <w:rFonts w:eastAsia="Times New Roman"/>
          <w:sz w:val="30"/>
          <w:szCs w:val="30"/>
          <w:lang w:val="es-ES"/>
        </w:rPr>
        <w:br/>
      </w:r>
      <w:r>
        <w:rPr>
          <w:rFonts w:eastAsia="Times New Roman"/>
          <w:sz w:val="30"/>
          <w:szCs w:val="30"/>
          <w:lang w:val="es-ES"/>
        </w:rPr>
        <w:br/>
        <w:t>3. En el artículo 67 sustitúyase el siguiente texto: “El organismo con la competencia de fomento y regulación de las micro finanzas populares” por el siguiente “ La Junta de Política y Regulaci</w:t>
      </w:r>
      <w:r>
        <w:rPr>
          <w:rFonts w:eastAsia="Times New Roman"/>
          <w:sz w:val="30"/>
          <w:szCs w:val="30"/>
          <w:lang w:val="es-ES"/>
        </w:rPr>
        <w:t>ón Monetaria y Financiera” ; y suprímase el inciso segundo; y,</w:t>
      </w:r>
      <w:r>
        <w:rPr>
          <w:rFonts w:eastAsia="Times New Roman"/>
          <w:sz w:val="30"/>
          <w:szCs w:val="30"/>
          <w:lang w:val="es-ES"/>
        </w:rPr>
        <w:br/>
      </w:r>
      <w:r>
        <w:rPr>
          <w:rFonts w:eastAsia="Times New Roman"/>
          <w:sz w:val="30"/>
          <w:szCs w:val="30"/>
          <w:lang w:val="es-ES"/>
        </w:rPr>
        <w:br/>
        <w:t xml:space="preserve">4. En el artículo 94 sustituir el texto: “El organismo financiero del </w:t>
      </w:r>
      <w:r>
        <w:rPr>
          <w:rFonts w:eastAsia="Times New Roman"/>
          <w:sz w:val="30"/>
          <w:szCs w:val="30"/>
          <w:lang w:val="es-ES"/>
        </w:rPr>
        <w:lastRenderedPageBreak/>
        <w:t>sector público” por “La entidad pública o de propiedad pública que determine la Junta de Política y Regulación Monetaria y</w:t>
      </w:r>
      <w:r>
        <w:rPr>
          <w:rFonts w:eastAsia="Times New Roman"/>
          <w:sz w:val="30"/>
          <w:szCs w:val="30"/>
          <w:lang w:val="es-ES"/>
        </w:rPr>
        <w:t xml:space="preserve"> Financiera”.</w:t>
      </w:r>
    </w:p>
    <w:p w:rsidR="00000000" w:rsidRDefault="0018461E">
      <w:pPr>
        <w:divId w:val="691490002"/>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En el Código del Trabajo, en el artículo 36, incorpórese como último inciso, lo siguiente: “Exceptúase de la solidaridad señalada en el inciso anterior a las entidades que conforman el sector público y a las empresas públicas. En cons</w:t>
      </w:r>
      <w:r>
        <w:rPr>
          <w:rFonts w:eastAsia="Times New Roman"/>
          <w:sz w:val="30"/>
          <w:szCs w:val="30"/>
          <w:lang w:val="es-ES"/>
        </w:rPr>
        <w:t>ecuencia, no podrá ordenarse medida cautelar o ejecutarse sentencia alguna en contra de los representantes legales o administradores de las referidas entidades o empresas.”</w:t>
      </w:r>
    </w:p>
    <w:p w:rsidR="00000000" w:rsidRDefault="0018461E">
      <w:pPr>
        <w:divId w:val="1068963325"/>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En el Código de Comercio como inciso final del artículo 201, inclúyase el</w:t>
      </w:r>
      <w:r>
        <w:rPr>
          <w:rFonts w:eastAsia="Times New Roman"/>
          <w:sz w:val="30"/>
          <w:szCs w:val="30"/>
          <w:lang w:val="es-ES"/>
        </w:rPr>
        <w:t xml:space="preserve"> siguiente texto: “Las compañías de comercio podrán dedicarse de manera exclusiva a la realización profesional y habitual de operaciones de factoring y sus operaciones conexas, de conformidad con las regulaciones que para el efecto emita la Junta de Políti</w:t>
      </w:r>
      <w:r>
        <w:rPr>
          <w:rFonts w:eastAsia="Times New Roman"/>
          <w:sz w:val="30"/>
          <w:szCs w:val="30"/>
          <w:lang w:val="es-ES"/>
        </w:rPr>
        <w:t>ca y Regulación Monetaria y Financiera.”</w:t>
      </w:r>
    </w:p>
    <w:p w:rsidR="00000000" w:rsidRDefault="0018461E">
      <w:pPr>
        <w:divId w:val="176969107"/>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En la Ley Orgánica de la Contraloría General del Estado, sustitúyase el artículo 30, por el siguiente: “Art. 30.- Presupuesto.- El presupuesto de la Contraloría General del Estado se financiará con:</w:t>
      </w:r>
      <w:r>
        <w:rPr>
          <w:rFonts w:eastAsia="Times New Roman"/>
          <w:sz w:val="30"/>
          <w:szCs w:val="30"/>
          <w:lang w:val="es-ES"/>
        </w:rPr>
        <w:br/>
      </w:r>
      <w:r>
        <w:rPr>
          <w:rFonts w:eastAsia="Times New Roman"/>
          <w:sz w:val="30"/>
          <w:szCs w:val="30"/>
          <w:lang w:val="es-ES"/>
        </w:rPr>
        <w:br/>
        <w:t>a) Con</w:t>
      </w:r>
      <w:r>
        <w:rPr>
          <w:rFonts w:eastAsia="Times New Roman"/>
          <w:sz w:val="30"/>
          <w:szCs w:val="30"/>
          <w:lang w:val="es-ES"/>
        </w:rPr>
        <w:t xml:space="preserve"> la asignación que se le entregue a través del Presupuesto General del Estado; y</w:t>
      </w:r>
      <w:r>
        <w:rPr>
          <w:rFonts w:eastAsia="Times New Roman"/>
          <w:sz w:val="30"/>
          <w:szCs w:val="30"/>
          <w:lang w:val="es-ES"/>
        </w:rPr>
        <w:br/>
      </w:r>
      <w:r>
        <w:rPr>
          <w:rFonts w:eastAsia="Times New Roman"/>
          <w:sz w:val="30"/>
          <w:szCs w:val="30"/>
          <w:lang w:val="es-ES"/>
        </w:rPr>
        <w:br/>
        <w:t>b) Los recursos de autogestión.”</w:t>
      </w:r>
    </w:p>
    <w:p w:rsidR="00000000" w:rsidRDefault="0018461E">
      <w:pPr>
        <w:divId w:val="98722779"/>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En la Ley Orgánica de la Economía Popular y Solidaria y del Sector Financiero Popular y Solidario, efectúense las siguientes reforma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 Sustitúyase el primer inciso del artículo 45 por el siguiente: “El gerente es el representante legal, judicial y extrajudicial de la cooperativa, siendo de libre designación y remoción por parte del Consejo de Administración y será responsable de la</w:t>
      </w:r>
      <w:r>
        <w:rPr>
          <w:rFonts w:eastAsia="Times New Roman"/>
          <w:sz w:val="30"/>
          <w:szCs w:val="30"/>
          <w:lang w:val="es-ES"/>
        </w:rPr>
        <w:t xml:space="preserve"> gestión y de su administración integral, de conformidad con la Ley, su Reglamento y el estatuto social de la cooperativa.”;</w:t>
      </w:r>
      <w:r>
        <w:rPr>
          <w:rFonts w:eastAsia="Times New Roman"/>
          <w:sz w:val="30"/>
          <w:szCs w:val="30"/>
          <w:lang w:val="es-ES"/>
        </w:rPr>
        <w:br/>
      </w:r>
      <w:r>
        <w:rPr>
          <w:rFonts w:eastAsia="Times New Roman"/>
          <w:sz w:val="30"/>
          <w:szCs w:val="30"/>
          <w:lang w:val="es-ES"/>
        </w:rPr>
        <w:br/>
        <w:t>2. En el artículo 61 sustitúyase el ultimo inciso por los siguientes: “El liquidador podrá o no ser servidor de la Superintendenci</w:t>
      </w:r>
      <w:r>
        <w:rPr>
          <w:rFonts w:eastAsia="Times New Roman"/>
          <w:sz w:val="30"/>
          <w:szCs w:val="30"/>
          <w:lang w:val="es-ES"/>
        </w:rPr>
        <w:t>a; de no serlo, no tendrá relación de dependencia laboral alguna con la cooperativa ni con la Superintendencia, y será de libre remoción, sin derecho a indemnización alguna.</w:t>
      </w:r>
      <w:r>
        <w:rPr>
          <w:rFonts w:eastAsia="Times New Roman"/>
          <w:sz w:val="30"/>
          <w:szCs w:val="30"/>
          <w:lang w:val="es-ES"/>
        </w:rPr>
        <w:br/>
      </w:r>
      <w:r>
        <w:rPr>
          <w:rFonts w:eastAsia="Times New Roman"/>
          <w:sz w:val="30"/>
          <w:szCs w:val="30"/>
          <w:lang w:val="es-ES"/>
        </w:rPr>
        <w:br/>
        <w:t xml:space="preserve">El liquidador en ningún caso será responsable solidario de las </w:t>
      </w:r>
      <w:r>
        <w:rPr>
          <w:rFonts w:eastAsia="Times New Roman"/>
          <w:sz w:val="30"/>
          <w:szCs w:val="30"/>
          <w:lang w:val="es-ES"/>
        </w:rPr>
        <w:lastRenderedPageBreak/>
        <w:t>obligaciones de la</w:t>
      </w:r>
      <w:r>
        <w:rPr>
          <w:rFonts w:eastAsia="Times New Roman"/>
          <w:sz w:val="30"/>
          <w:szCs w:val="30"/>
          <w:lang w:val="es-ES"/>
        </w:rPr>
        <w:t xml:space="preserve"> entidad en proceso de liquidación.”;</w:t>
      </w:r>
      <w:r>
        <w:rPr>
          <w:rFonts w:eastAsia="Times New Roman"/>
          <w:sz w:val="30"/>
          <w:szCs w:val="30"/>
          <w:lang w:val="es-ES"/>
        </w:rPr>
        <w:br/>
      </w:r>
      <w:r>
        <w:rPr>
          <w:rFonts w:eastAsia="Times New Roman"/>
          <w:sz w:val="30"/>
          <w:szCs w:val="30"/>
          <w:lang w:val="es-ES"/>
        </w:rPr>
        <w:br/>
        <w:t>3. En el artículo 79, sustitúyase “el Banco Central del Ecuador” por “la Junta de Política y Regulación Monetaria y Financiera”;</w:t>
      </w:r>
      <w:r>
        <w:rPr>
          <w:rFonts w:eastAsia="Times New Roman"/>
          <w:sz w:val="30"/>
          <w:szCs w:val="30"/>
          <w:lang w:val="es-ES"/>
        </w:rPr>
        <w:br/>
      </w:r>
      <w:r>
        <w:rPr>
          <w:rFonts w:eastAsia="Times New Roman"/>
          <w:sz w:val="30"/>
          <w:szCs w:val="30"/>
          <w:lang w:val="es-ES"/>
        </w:rPr>
        <w:br/>
        <w:t>4. Sustitúyase el artículo 95 por el siguiente: “Artículo 95.- Sigilo y Reserva. El sig</w:t>
      </w:r>
      <w:r>
        <w:rPr>
          <w:rFonts w:eastAsia="Times New Roman"/>
          <w:sz w:val="30"/>
          <w:szCs w:val="30"/>
          <w:lang w:val="es-ES"/>
        </w:rPr>
        <w:t>ilo y la reserva de los depósitos y las captaciones de las organizaciones del Sector Financiero Popular y Solidario, se regirá por las disposiciones del Código Orgánico Monetario y Financiero.”;</w:t>
      </w:r>
      <w:r>
        <w:rPr>
          <w:rFonts w:eastAsia="Times New Roman"/>
          <w:sz w:val="30"/>
          <w:szCs w:val="30"/>
          <w:lang w:val="es-ES"/>
        </w:rPr>
        <w:br/>
      </w:r>
      <w:r>
        <w:rPr>
          <w:rFonts w:eastAsia="Times New Roman"/>
          <w:sz w:val="30"/>
          <w:szCs w:val="30"/>
          <w:lang w:val="es-ES"/>
        </w:rPr>
        <w:br/>
        <w:t>5. En el artículo 140 sustituir el texto: “otorga el Banco E</w:t>
      </w:r>
      <w:r>
        <w:rPr>
          <w:rFonts w:eastAsia="Times New Roman"/>
          <w:sz w:val="30"/>
          <w:szCs w:val="30"/>
          <w:lang w:val="es-ES"/>
        </w:rPr>
        <w:t>cuatoriano de la Vivienda y” por “otorguen las”;</w:t>
      </w:r>
      <w:r>
        <w:rPr>
          <w:rFonts w:eastAsia="Times New Roman"/>
          <w:sz w:val="30"/>
          <w:szCs w:val="30"/>
          <w:lang w:val="es-ES"/>
        </w:rPr>
        <w:br/>
      </w:r>
      <w:r>
        <w:rPr>
          <w:rFonts w:eastAsia="Times New Roman"/>
          <w:sz w:val="30"/>
          <w:szCs w:val="30"/>
          <w:lang w:val="es-ES"/>
        </w:rPr>
        <w:br/>
        <w:t>6. En el artículo 142 inciso primero elimínese las dos referencias que dicen: “y del Sector Financiero Popular y Solidario”;</w:t>
      </w:r>
      <w:r>
        <w:rPr>
          <w:rFonts w:eastAsia="Times New Roman"/>
          <w:sz w:val="30"/>
          <w:szCs w:val="30"/>
          <w:lang w:val="es-ES"/>
        </w:rPr>
        <w:br/>
      </w:r>
      <w:r>
        <w:rPr>
          <w:rFonts w:eastAsia="Times New Roman"/>
          <w:sz w:val="30"/>
          <w:szCs w:val="30"/>
          <w:lang w:val="es-ES"/>
        </w:rPr>
        <w:br/>
        <w:t>7. A continuación del segundo inciso del artículo 144 añádase: “Para éstos efect</w:t>
      </w:r>
      <w:r>
        <w:rPr>
          <w:rFonts w:eastAsia="Times New Roman"/>
          <w:sz w:val="30"/>
          <w:szCs w:val="30"/>
          <w:lang w:val="es-ES"/>
        </w:rPr>
        <w:t>os el referido Ministerio, contará con una Secretaría Técnica, la que además ejercerá las atribuciones otorgadas en la Ley de Economía Popular y Solidaria y su Reglamento General.”; además sustituir los incisos tercero y cuarto del artículo 144, por el sig</w:t>
      </w:r>
      <w:r>
        <w:rPr>
          <w:rFonts w:eastAsia="Times New Roman"/>
          <w:sz w:val="30"/>
          <w:szCs w:val="30"/>
          <w:lang w:val="es-ES"/>
        </w:rPr>
        <w:t>uiente: “La regulación del Sector Financiero Popular y Solidario estará a cargo de la Junta de Política y Regulación Monetaria y Financiera, creada en el Código Orgánico Monetario y Financiero”;</w:t>
      </w:r>
      <w:r>
        <w:rPr>
          <w:rFonts w:eastAsia="Times New Roman"/>
          <w:sz w:val="30"/>
          <w:szCs w:val="30"/>
          <w:lang w:val="es-ES"/>
        </w:rPr>
        <w:br/>
      </w:r>
      <w:r>
        <w:rPr>
          <w:rFonts w:eastAsia="Times New Roman"/>
          <w:sz w:val="30"/>
          <w:szCs w:val="30"/>
          <w:lang w:val="es-ES"/>
        </w:rPr>
        <w:br/>
        <w:t xml:space="preserve">8. En el artículo 158, primer inciso, sustituyese el texto: </w:t>
      </w:r>
      <w:r>
        <w:rPr>
          <w:rFonts w:eastAsia="Times New Roman"/>
          <w:sz w:val="30"/>
          <w:szCs w:val="30"/>
          <w:lang w:val="es-ES"/>
        </w:rPr>
        <w:t>“como un organismo de derecho público, dotado” por el siguiente: “como una entidad financiera de derecho público, dotada”; a continuación del primer inciso, agréguese otro del siguiente tenor: “La Corporación tendrá la facultad de actuar como Fiduciaria.”;</w:t>
      </w:r>
      <w:r>
        <w:rPr>
          <w:rFonts w:eastAsia="Times New Roman"/>
          <w:sz w:val="30"/>
          <w:szCs w:val="30"/>
          <w:lang w:val="es-ES"/>
        </w:rPr>
        <w:br/>
      </w:r>
      <w:r>
        <w:rPr>
          <w:rFonts w:eastAsia="Times New Roman"/>
          <w:sz w:val="30"/>
          <w:szCs w:val="30"/>
          <w:lang w:val="es-ES"/>
        </w:rPr>
        <w:br/>
        <w:t>9. En el artículo 159, segundo inciso, sustitúyase el texto que dice: “que dicte la Superintendencia”, por el siguiente: “dispuestas en el Código Orgánico Monetario y Financiero, y en las regulaciones que emita la Junta de Política y Regulación Monetaria</w:t>
      </w:r>
      <w:r>
        <w:rPr>
          <w:rFonts w:eastAsia="Times New Roman"/>
          <w:sz w:val="30"/>
          <w:szCs w:val="30"/>
          <w:lang w:val="es-ES"/>
        </w:rPr>
        <w:t xml:space="preserve"> y Financiera”;</w:t>
      </w:r>
      <w:r>
        <w:rPr>
          <w:rFonts w:eastAsia="Times New Roman"/>
          <w:sz w:val="30"/>
          <w:szCs w:val="30"/>
          <w:lang w:val="es-ES"/>
        </w:rPr>
        <w:br/>
      </w:r>
      <w:r>
        <w:rPr>
          <w:rFonts w:eastAsia="Times New Roman"/>
          <w:sz w:val="30"/>
          <w:szCs w:val="30"/>
          <w:lang w:val="es-ES"/>
        </w:rPr>
        <w:br/>
        <w:t>10. En el artículo 168 sustitúyase el literal d) por el siguiente; “Comprar bienes de propiedad de los administradores, funcionarios o empleados de la entidad o a personas que actuasen a su nombre y en su representación y establecer acuerd</w:t>
      </w:r>
      <w:r>
        <w:rPr>
          <w:rFonts w:eastAsia="Times New Roman"/>
          <w:sz w:val="30"/>
          <w:szCs w:val="30"/>
          <w:lang w:val="es-ES"/>
        </w:rPr>
        <w:t xml:space="preserve">os, convenios o contratos con </w:t>
      </w:r>
      <w:r>
        <w:rPr>
          <w:rFonts w:eastAsia="Times New Roman"/>
          <w:sz w:val="30"/>
          <w:szCs w:val="30"/>
          <w:lang w:val="es-ES"/>
        </w:rPr>
        <w:lastRenderedPageBreak/>
        <w:t>personas naturales o jurídicas, ajenas a la organización, que les permita participar directa o indirectamente de los beneficios derivados de las medidas de fomento, promoción e incentivos que conceden esta Ley;”; y,</w:t>
      </w:r>
      <w:r>
        <w:rPr>
          <w:rFonts w:eastAsia="Times New Roman"/>
          <w:sz w:val="30"/>
          <w:szCs w:val="30"/>
          <w:lang w:val="es-ES"/>
        </w:rPr>
        <w:br/>
      </w:r>
      <w:r>
        <w:rPr>
          <w:rFonts w:eastAsia="Times New Roman"/>
          <w:sz w:val="30"/>
          <w:szCs w:val="30"/>
          <w:lang w:val="es-ES"/>
        </w:rPr>
        <w:br/>
        <w:t>11. Suprí</w:t>
      </w:r>
      <w:r>
        <w:rPr>
          <w:rFonts w:eastAsia="Times New Roman"/>
          <w:sz w:val="30"/>
          <w:szCs w:val="30"/>
          <w:lang w:val="es-ES"/>
        </w:rPr>
        <w:t>manse los artículos 81, 82, 83, 84, 85, 86, 87, 88, 89, 90, 91, 92, 93, 94, 96, 97, 98, 99, 100, 101, 102, 103, 104, 105, 109, 110, 111, 112, 113, 114, 115, 116, 117, 118, 119 y 120.</w:t>
      </w:r>
    </w:p>
    <w:p w:rsidR="00000000" w:rsidRDefault="0018461E">
      <w:pPr>
        <w:divId w:val="1920401772"/>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En la Ley Orgánica de Regulación y Control del Poder de Mercado,</w:t>
      </w:r>
      <w:r>
        <w:rPr>
          <w:rFonts w:eastAsia="Times New Roman"/>
          <w:sz w:val="30"/>
          <w:szCs w:val="30"/>
          <w:lang w:val="es-ES"/>
        </w:rPr>
        <w:t xml:space="preserve"> efectúense las siguientes reformas:</w:t>
      </w:r>
      <w:r>
        <w:rPr>
          <w:rFonts w:eastAsia="Times New Roman"/>
          <w:sz w:val="30"/>
          <w:szCs w:val="30"/>
          <w:lang w:val="es-ES"/>
        </w:rPr>
        <w:br/>
      </w:r>
      <w:r>
        <w:rPr>
          <w:rFonts w:eastAsia="Times New Roman"/>
          <w:sz w:val="30"/>
          <w:szCs w:val="30"/>
          <w:lang w:val="es-ES"/>
        </w:rPr>
        <w:br/>
        <w:t>1. En el artículo 53 incorpórese el siguiente inciso final: “Para el caso de entidades del Sistema Financiero Nacional, desde el inicio del procedimiento de investigación deberá contarse con la Superintendencia de Banc</w:t>
      </w:r>
      <w:r>
        <w:rPr>
          <w:rFonts w:eastAsia="Times New Roman"/>
          <w:sz w:val="30"/>
          <w:szCs w:val="30"/>
          <w:lang w:val="es-ES"/>
        </w:rPr>
        <w:t>os y la Superintendencia de Economía Popular y Solidaria, en sus ámbitos.”; y,</w:t>
      </w:r>
      <w:r>
        <w:rPr>
          <w:rFonts w:eastAsia="Times New Roman"/>
          <w:sz w:val="30"/>
          <w:szCs w:val="30"/>
          <w:lang w:val="es-ES"/>
        </w:rPr>
        <w:br/>
      </w:r>
      <w:r>
        <w:rPr>
          <w:rFonts w:eastAsia="Times New Roman"/>
          <w:sz w:val="30"/>
          <w:szCs w:val="30"/>
          <w:lang w:val="es-ES"/>
        </w:rPr>
        <w:br/>
        <w:t>2. En el artículo 56 incorpórese el siguiente inciso final: “Cuando la investigación se refiera a entidades del Sistema Financiero Nacional, obligatoriamente deberá contarse co</w:t>
      </w:r>
      <w:r>
        <w:rPr>
          <w:rFonts w:eastAsia="Times New Roman"/>
          <w:sz w:val="30"/>
          <w:szCs w:val="30"/>
          <w:lang w:val="es-ES"/>
        </w:rPr>
        <w:t>n la Superintendencia de Bancos y la Superintendencia de Economía Popular y Solidaria, en sus ámbitos.”.</w:t>
      </w:r>
    </w:p>
    <w:p w:rsidR="00000000" w:rsidRDefault="0018461E">
      <w:pPr>
        <w:divId w:val="106777564"/>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 xml:space="preserve">En la Ley Orgánica del Sistema Nacional de Contratación Pública, artículo 2 a continuación del numeral 9, insértese otro numeral del siguiente tenor: “10. Los de contratación que requiera el Banco Central del Ecuador previstas en el artículo 37 del Código </w:t>
      </w:r>
      <w:r>
        <w:rPr>
          <w:rFonts w:eastAsia="Times New Roman"/>
          <w:sz w:val="30"/>
          <w:szCs w:val="30"/>
          <w:lang w:val="es-ES"/>
        </w:rPr>
        <w:t>Orgánico Monetario y Financiero.”</w:t>
      </w:r>
    </w:p>
    <w:p w:rsidR="00000000" w:rsidRDefault="0018461E">
      <w:pPr>
        <w:divId w:val="1661957291"/>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En la Ley Orgánica Derogatoria a la Ley de Burós de Información Crediticia, suprímanse los artículos 4, 5, 6 y 7, y sustitúyase la Disposición Transitoria Primera por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"PRIMERA.- </w:t>
      </w:r>
      <w:r>
        <w:rPr>
          <w:rFonts w:eastAsia="Times New Roman"/>
          <w:sz w:val="30"/>
          <w:szCs w:val="30"/>
          <w:lang w:val="es-ES"/>
        </w:rPr>
        <w:t>La Junta de Política y Regulación Monetaria y Financiera determinará la fecha a partir de la cual entrará en pleno funcionamiento el Registro de Datos Crediticios a cargo de la Dirección Nacional de Registro de Datos Públicos. Los Burós de Información Cred</w:t>
      </w:r>
      <w:r>
        <w:rPr>
          <w:rFonts w:eastAsia="Times New Roman"/>
          <w:sz w:val="30"/>
          <w:szCs w:val="30"/>
          <w:lang w:val="es-ES"/>
        </w:rPr>
        <w:t>iticia seguirán prestando sus servicios de acuerdo con la normativa establecida por la Dirección Nacional de Registro de Datos Públicos y la Superintendencia de Bancos hasta 90 días después de la entrada en vigencia del Registro de Datos Crediticios.”</w:t>
      </w:r>
    </w:p>
    <w:p w:rsidR="00000000" w:rsidRDefault="0018461E">
      <w:pPr>
        <w:divId w:val="1860507581"/>
        <w:rPr>
          <w:rFonts w:eastAsia="Times New Roman"/>
          <w:sz w:val="30"/>
          <w:szCs w:val="30"/>
          <w:lang w:val="es-ES"/>
        </w:rPr>
      </w:pPr>
      <w:r>
        <w:rPr>
          <w:rFonts w:eastAsia="Times New Roman"/>
          <w:b/>
          <w:bCs/>
          <w:sz w:val="30"/>
          <w:szCs w:val="30"/>
          <w:lang w:val="es-ES"/>
        </w:rPr>
        <w:lastRenderedPageBreak/>
        <w:t>Déci</w:t>
      </w:r>
      <w:r>
        <w:rPr>
          <w:rFonts w:eastAsia="Times New Roman"/>
          <w:b/>
          <w:bCs/>
          <w:sz w:val="30"/>
          <w:szCs w:val="30"/>
          <w:lang w:val="es-ES"/>
        </w:rPr>
        <w:t xml:space="preserve">ma tercera.- </w:t>
      </w:r>
      <w:r>
        <w:rPr>
          <w:rFonts w:eastAsia="Times New Roman"/>
          <w:sz w:val="30"/>
          <w:szCs w:val="30"/>
          <w:lang w:val="es-ES"/>
        </w:rPr>
        <w:t>En la Ley Orgánica de Empresas Públicas, efectúense las siguientes reformas:</w:t>
      </w:r>
      <w:r>
        <w:rPr>
          <w:rFonts w:eastAsia="Times New Roman"/>
          <w:sz w:val="30"/>
          <w:szCs w:val="30"/>
          <w:lang w:val="es-ES"/>
        </w:rPr>
        <w:br/>
      </w:r>
      <w:r>
        <w:rPr>
          <w:rFonts w:eastAsia="Times New Roman"/>
          <w:sz w:val="30"/>
          <w:szCs w:val="30"/>
          <w:lang w:val="es-ES"/>
        </w:rPr>
        <w:br/>
        <w:t>1. En el artículo 38, agréguese el siguiente inciso final: “Las operaciones cursadas por las instituciones públicas o empresas públicas, ya sea en el país o en el ex</w:t>
      </w:r>
      <w:r>
        <w:rPr>
          <w:rFonts w:eastAsia="Times New Roman"/>
          <w:sz w:val="30"/>
          <w:szCs w:val="30"/>
          <w:lang w:val="es-ES"/>
        </w:rPr>
        <w:t>terior, a través del Banco Central del Ecuador, como agente financiero del Estado, no son de naturaleza comercial sino pública.”; y,</w:t>
      </w:r>
      <w:r>
        <w:rPr>
          <w:rFonts w:eastAsia="Times New Roman"/>
          <w:sz w:val="30"/>
          <w:szCs w:val="30"/>
          <w:lang w:val="es-ES"/>
        </w:rPr>
        <w:br/>
      </w:r>
      <w:r>
        <w:rPr>
          <w:rFonts w:eastAsia="Times New Roman"/>
          <w:sz w:val="30"/>
          <w:szCs w:val="30"/>
          <w:lang w:val="es-ES"/>
        </w:rPr>
        <w:br/>
        <w:t>2. En el artículo 42 incorpórese como segundo inciso el siguiente: “Las empresas públicas dedicadas a la exploración, expl</w:t>
      </w:r>
      <w:r>
        <w:rPr>
          <w:rFonts w:eastAsia="Times New Roman"/>
          <w:sz w:val="30"/>
          <w:szCs w:val="30"/>
          <w:lang w:val="es-ES"/>
        </w:rPr>
        <w:t xml:space="preserve">otación o comercialización de recursos naturales no renovables, o al transporte y la refinación de hidrocarburos, podrán emitir certificados de contenido crediticio, cuyo monto de emisión estará en función de la proyección de ingresos futuros derivados de </w:t>
      </w:r>
      <w:r>
        <w:rPr>
          <w:rFonts w:eastAsia="Times New Roman"/>
          <w:sz w:val="30"/>
          <w:szCs w:val="30"/>
          <w:lang w:val="es-ES"/>
        </w:rPr>
        <w:t>la actividad de la empresa pública. Su inscripción en el catastro de mercado de valores estará sujeta a lo dispuesto en el artículo 21 de la Ley de Mercado de Valores.”.</w:t>
      </w:r>
    </w:p>
    <w:p w:rsidR="00000000" w:rsidRDefault="0018461E">
      <w:pPr>
        <w:divId w:val="1107383474"/>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 xml:space="preserve">En la Ley Orgánica de Defensa del Consumidor, artículo 47 incorpórese </w:t>
      </w:r>
      <w:r>
        <w:rPr>
          <w:rFonts w:eastAsia="Times New Roman"/>
          <w:sz w:val="30"/>
          <w:szCs w:val="30"/>
          <w:lang w:val="es-ES"/>
        </w:rPr>
        <w:t>como inciso final el siguiente: “Las tarifas que cobren las instituciones financieras o cualquier otra persona natural o jurídica por todas las actividades y servicios inherentes a la cobranza judicial o extrajudicial de un crédito vencido, deberán ser pre</w:t>
      </w:r>
      <w:r>
        <w:rPr>
          <w:rFonts w:eastAsia="Times New Roman"/>
          <w:sz w:val="30"/>
          <w:szCs w:val="30"/>
          <w:lang w:val="es-ES"/>
        </w:rPr>
        <w:t xml:space="preserve">viamente acordadas con el prestatario al momento del otorgamiento del crédito. Las tarifas por la cobranza judicial o extrajudicial no podrán superar anualmente el porcentaje determinado por la Junta de Política y Regulación Monetaria y Financiera, que se </w:t>
      </w:r>
      <w:r>
        <w:rPr>
          <w:rFonts w:eastAsia="Times New Roman"/>
          <w:sz w:val="30"/>
          <w:szCs w:val="30"/>
          <w:lang w:val="es-ES"/>
        </w:rPr>
        <w:t>calculará sobre el valor remanente del capital original del crédito, tomando en cuenta criterios de mercado, montos, tasas, segmentos, plazos, entre otros.”</w:t>
      </w:r>
    </w:p>
    <w:p w:rsidR="00000000" w:rsidRDefault="0018461E">
      <w:pPr>
        <w:divId w:val="1115440974"/>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 xml:space="preserve">Elimínense las siguientes preasignaciones en la Ley Especial de Telecomunicaciones </w:t>
      </w:r>
      <w:r>
        <w:rPr>
          <w:rFonts w:eastAsia="Times New Roman"/>
          <w:sz w:val="30"/>
          <w:szCs w:val="30"/>
          <w:lang w:val="es-ES"/>
        </w:rPr>
        <w:t>y en la Ley de Aviación Civil:</w:t>
      </w:r>
      <w:r>
        <w:rPr>
          <w:rFonts w:eastAsia="Times New Roman"/>
          <w:sz w:val="30"/>
          <w:szCs w:val="30"/>
          <w:lang w:val="es-ES"/>
        </w:rPr>
        <w:br/>
      </w:r>
      <w:r>
        <w:rPr>
          <w:rFonts w:eastAsia="Times New Roman"/>
          <w:sz w:val="30"/>
          <w:szCs w:val="30"/>
          <w:lang w:val="es-ES"/>
        </w:rPr>
        <w:br/>
        <w:t>1. En la Ley Especial de Telecomunicaciones, sustitúyase el artículo 37 por el siguiente: "Artículo 37.- Los recursos provenientes de la aplicación de tasas y tarifas por el uso de frecuencias radioeléctricas, así como los r</w:t>
      </w:r>
      <w:r>
        <w:rPr>
          <w:rFonts w:eastAsia="Times New Roman"/>
          <w:sz w:val="30"/>
          <w:szCs w:val="30"/>
          <w:lang w:val="es-ES"/>
        </w:rPr>
        <w:t>ecursos de los fondos que se hubieren creado en virtud de leyes y reglamentos, serán depositados en la Cuenta Única del Tesoro Nacional.”</w:t>
      </w:r>
      <w:r>
        <w:rPr>
          <w:rFonts w:eastAsia="Times New Roman"/>
          <w:sz w:val="30"/>
          <w:szCs w:val="30"/>
          <w:lang w:val="es-ES"/>
        </w:rPr>
        <w:br/>
      </w:r>
      <w:r>
        <w:rPr>
          <w:rFonts w:eastAsia="Times New Roman"/>
          <w:sz w:val="30"/>
          <w:szCs w:val="30"/>
          <w:lang w:val="es-ES"/>
        </w:rPr>
        <w:br/>
        <w:t>2. En la Ley de Aviación Civil, sustitúyase el artículo 31 por el siguiente: "Art. 31.- El cinco por ciento (5%) sobr</w:t>
      </w:r>
      <w:r>
        <w:rPr>
          <w:rFonts w:eastAsia="Times New Roman"/>
          <w:sz w:val="30"/>
          <w:szCs w:val="30"/>
          <w:lang w:val="es-ES"/>
        </w:rPr>
        <w:t xml:space="preserve">e el valor de cada </w:t>
      </w:r>
      <w:r>
        <w:rPr>
          <w:rFonts w:eastAsia="Times New Roman"/>
          <w:sz w:val="30"/>
          <w:szCs w:val="30"/>
          <w:lang w:val="es-ES"/>
        </w:rPr>
        <w:lastRenderedPageBreak/>
        <w:t>galón de combustible y lubricantes de aviación que se expendan en el país para el uso de toda aeronave en servicio comercial internacional será depositado en la Cuenta Única del Tesoro Nacional”.</w:t>
      </w:r>
    </w:p>
    <w:p w:rsidR="00000000" w:rsidRDefault="0018461E">
      <w:pPr>
        <w:divId w:val="585191334"/>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En la Ley General de Segur</w:t>
      </w:r>
      <w:r>
        <w:rPr>
          <w:rFonts w:eastAsia="Times New Roman"/>
          <w:sz w:val="30"/>
          <w:szCs w:val="30"/>
          <w:lang w:val="es-ES"/>
        </w:rPr>
        <w:t>os, efectúense las siguientes reformas:</w:t>
      </w:r>
      <w:r>
        <w:rPr>
          <w:rFonts w:eastAsia="Times New Roman"/>
          <w:sz w:val="30"/>
          <w:szCs w:val="30"/>
          <w:lang w:val="es-ES"/>
        </w:rPr>
        <w:br/>
      </w:r>
      <w:r>
        <w:rPr>
          <w:rFonts w:eastAsia="Times New Roman"/>
          <w:sz w:val="30"/>
          <w:szCs w:val="30"/>
          <w:lang w:val="es-ES"/>
        </w:rPr>
        <w:br/>
        <w:t>1. En todo el texto de la ley sustituir "Superintendencia de Bancos y Seguros?? por "Superintendencia de Compañías, Valores y Seguros" y "Superintendente de Bancos y Seguros" por "Superintendente de Compañías, Valor</w:t>
      </w:r>
      <w:r>
        <w:rPr>
          <w:rFonts w:eastAsia="Times New Roman"/>
          <w:sz w:val="30"/>
          <w:szCs w:val="30"/>
          <w:lang w:val="es-ES"/>
        </w:rPr>
        <w:t>es y Seguros";</w:t>
      </w:r>
      <w:r>
        <w:rPr>
          <w:rFonts w:eastAsia="Times New Roman"/>
          <w:sz w:val="30"/>
          <w:szCs w:val="30"/>
          <w:lang w:val="es-ES"/>
        </w:rPr>
        <w:br/>
      </w:r>
      <w:r>
        <w:rPr>
          <w:rFonts w:eastAsia="Times New Roman"/>
          <w:sz w:val="30"/>
          <w:szCs w:val="30"/>
          <w:lang w:val="es-ES"/>
        </w:rPr>
        <w:br/>
        <w:t>2. En los artículos 52 sustituir "Junta Bancaria" por "Junta de Política y Regulación Monetaria y Financiera";</w:t>
      </w:r>
      <w:r>
        <w:rPr>
          <w:rFonts w:eastAsia="Times New Roman"/>
          <w:sz w:val="30"/>
          <w:szCs w:val="30"/>
          <w:lang w:val="es-ES"/>
        </w:rPr>
        <w:br/>
      </w:r>
      <w:r>
        <w:rPr>
          <w:rFonts w:eastAsia="Times New Roman"/>
          <w:sz w:val="30"/>
          <w:szCs w:val="30"/>
          <w:lang w:val="es-ES"/>
        </w:rPr>
        <w:br/>
        <w:t>3. Sustituir el artículo 67 por el siguiente: "Los fondos para atender los gastos del órgano de control del área de seguros priv</w:t>
      </w:r>
      <w:r>
        <w:rPr>
          <w:rFonts w:eastAsia="Times New Roman"/>
          <w:sz w:val="30"/>
          <w:szCs w:val="30"/>
          <w:lang w:val="es-ES"/>
        </w:rPr>
        <w:t>ados y los aportes al Fondo de Seguros Privados se obtendrán de la contribución del 3,5% sobre el valor de las primas netas de seguros directos, las que podrán aumentarse hasta el 5%, por resolución de la Junta de Política y Regulación Monetaria y Financie</w:t>
      </w:r>
      <w:r>
        <w:rPr>
          <w:rFonts w:eastAsia="Times New Roman"/>
          <w:sz w:val="30"/>
          <w:szCs w:val="30"/>
          <w:lang w:val="es-ES"/>
        </w:rPr>
        <w:t>ra y a petición del titular de éste órgano de control, conforme a las atribuciones constantes en la ley para la aprobación del presupuesto del organismo de control. Las empresas de seguros actuarán como agentes de retención de esta contribución.</w:t>
      </w:r>
      <w:r>
        <w:rPr>
          <w:rFonts w:eastAsia="Times New Roman"/>
          <w:sz w:val="30"/>
          <w:szCs w:val="30"/>
          <w:lang w:val="es-ES"/>
        </w:rPr>
        <w:br/>
      </w:r>
      <w:r>
        <w:rPr>
          <w:rFonts w:eastAsia="Times New Roman"/>
          <w:sz w:val="30"/>
          <w:szCs w:val="30"/>
          <w:lang w:val="es-ES"/>
        </w:rPr>
        <w:br/>
        <w:t>4. Sustit</w:t>
      </w:r>
      <w:r>
        <w:rPr>
          <w:rFonts w:eastAsia="Times New Roman"/>
          <w:sz w:val="30"/>
          <w:szCs w:val="30"/>
          <w:lang w:val="es-ES"/>
        </w:rPr>
        <w:t>úyase el artículo 14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14.- </w:t>
      </w:r>
      <w:r>
        <w:rPr>
          <w:rFonts w:eastAsia="Times New Roman"/>
          <w:sz w:val="30"/>
          <w:szCs w:val="30"/>
          <w:lang w:val="es-ES"/>
        </w:rPr>
        <w:t>El capital pagado mínimo legal para la constitución de las compañías que conforman el sistema de seguros será el siguiente:</w:t>
      </w:r>
      <w:r>
        <w:rPr>
          <w:rFonts w:eastAsia="Times New Roman"/>
          <w:sz w:val="30"/>
          <w:szCs w:val="30"/>
          <w:lang w:val="es-ES"/>
        </w:rPr>
        <w:br/>
      </w:r>
      <w:r>
        <w:rPr>
          <w:rFonts w:eastAsia="Times New Roman"/>
          <w:sz w:val="30"/>
          <w:szCs w:val="30"/>
          <w:lang w:val="es-ES"/>
        </w:rPr>
        <w:br/>
        <w:t>a) De seguros, será de USD 8?000.000 (ocho millones de dólares de los Estados Un</w:t>
      </w:r>
      <w:r>
        <w:rPr>
          <w:rFonts w:eastAsia="Times New Roman"/>
          <w:sz w:val="30"/>
          <w:szCs w:val="30"/>
          <w:lang w:val="es-ES"/>
        </w:rPr>
        <w:t>idos de América).</w:t>
      </w:r>
      <w:r>
        <w:rPr>
          <w:rFonts w:eastAsia="Times New Roman"/>
          <w:sz w:val="30"/>
          <w:szCs w:val="30"/>
          <w:lang w:val="es-ES"/>
        </w:rPr>
        <w:br/>
      </w:r>
      <w:r>
        <w:rPr>
          <w:rFonts w:eastAsia="Times New Roman"/>
          <w:sz w:val="30"/>
          <w:szCs w:val="30"/>
          <w:lang w:val="es-ES"/>
        </w:rPr>
        <w:br/>
        <w:t>b) De reaseguros será de trece millones de dólares de los Estados Unidos de América (USD $ 13 ?000.000, 00). En el caso de las compañías que operen en seguros y reaseguros, el capital será de trece millones de dólares de los Estados Unid</w:t>
      </w:r>
      <w:r>
        <w:rPr>
          <w:rFonts w:eastAsia="Times New Roman"/>
          <w:sz w:val="30"/>
          <w:szCs w:val="30"/>
          <w:lang w:val="es-ES"/>
        </w:rPr>
        <w:t>os de América (USD $13 ?000.000,00);</w:t>
      </w:r>
      <w:r>
        <w:rPr>
          <w:rFonts w:eastAsia="Times New Roman"/>
          <w:sz w:val="30"/>
          <w:szCs w:val="30"/>
          <w:lang w:val="es-ES"/>
        </w:rPr>
        <w:br/>
      </w:r>
      <w:r>
        <w:rPr>
          <w:rFonts w:eastAsia="Times New Roman"/>
          <w:sz w:val="30"/>
          <w:szCs w:val="30"/>
          <w:lang w:val="es-ES"/>
        </w:rPr>
        <w:br/>
        <w:t>El capital pagado deberá ser aportado en dinero.</w:t>
      </w:r>
      <w:r>
        <w:rPr>
          <w:rFonts w:eastAsia="Times New Roman"/>
          <w:sz w:val="30"/>
          <w:szCs w:val="30"/>
          <w:lang w:val="es-ES"/>
        </w:rPr>
        <w:br/>
      </w:r>
      <w:r>
        <w:rPr>
          <w:rFonts w:eastAsia="Times New Roman"/>
          <w:sz w:val="30"/>
          <w:szCs w:val="30"/>
          <w:lang w:val="es-ES"/>
        </w:rPr>
        <w:lastRenderedPageBreak/>
        <w:br/>
        <w:t>La Junta de Política y Regulación Monetaria y Financiera, en cualquier momento, podrá incrementar los requisitos mínimos de capital.";</w:t>
      </w:r>
      <w:r>
        <w:rPr>
          <w:rFonts w:eastAsia="Times New Roman"/>
          <w:sz w:val="30"/>
          <w:szCs w:val="30"/>
          <w:lang w:val="es-ES"/>
        </w:rPr>
        <w:br/>
      </w:r>
      <w:r>
        <w:rPr>
          <w:rFonts w:eastAsia="Times New Roman"/>
          <w:sz w:val="30"/>
          <w:szCs w:val="30"/>
          <w:lang w:val="es-ES"/>
        </w:rPr>
        <w:br/>
        <w:t>5. Incorpórese a continuación de</w:t>
      </w:r>
      <w:r>
        <w:rPr>
          <w:rFonts w:eastAsia="Times New Roman"/>
          <w:sz w:val="30"/>
          <w:szCs w:val="30"/>
          <w:lang w:val="es-ES"/>
        </w:rPr>
        <w:t>l artículo 14 otro innumerado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 </w:t>
      </w:r>
      <w:r>
        <w:rPr>
          <w:rFonts w:eastAsia="Times New Roman"/>
          <w:sz w:val="30"/>
          <w:szCs w:val="30"/>
          <w:lang w:val="es-ES"/>
        </w:rPr>
        <w:t>El capital pagado no podrá reducirse a una cantidad inferior al mínimo legal y se incrementará por decisión de la junta general de accionistas o por disposición del Superintendente de Compañía</w:t>
      </w:r>
      <w:r>
        <w:rPr>
          <w:rFonts w:eastAsia="Times New Roman"/>
          <w:sz w:val="30"/>
          <w:szCs w:val="30"/>
          <w:lang w:val="es-ES"/>
        </w:rPr>
        <w:t>s, Valores y Seguros.</w:t>
      </w:r>
      <w:r>
        <w:rPr>
          <w:rFonts w:eastAsia="Times New Roman"/>
          <w:sz w:val="30"/>
          <w:szCs w:val="30"/>
          <w:lang w:val="es-ES"/>
        </w:rPr>
        <w:br/>
      </w:r>
      <w:r>
        <w:rPr>
          <w:rFonts w:eastAsia="Times New Roman"/>
          <w:sz w:val="30"/>
          <w:szCs w:val="30"/>
          <w:lang w:val="es-ES"/>
        </w:rPr>
        <w:br/>
        <w:t>Los recursos para el aumento del capital pagado provendrá exclusivamente de:</w:t>
      </w:r>
      <w:r>
        <w:rPr>
          <w:rFonts w:eastAsia="Times New Roman"/>
          <w:sz w:val="30"/>
          <w:szCs w:val="30"/>
          <w:lang w:val="es-ES"/>
        </w:rPr>
        <w:br/>
      </w:r>
      <w:r>
        <w:rPr>
          <w:rFonts w:eastAsia="Times New Roman"/>
          <w:sz w:val="30"/>
          <w:szCs w:val="30"/>
          <w:lang w:val="es-ES"/>
        </w:rPr>
        <w:br/>
        <w:t>a) Aportes en dinero que no podrán provenir de préstamos u otro tipo de financiamiento directo o indirecto que hayan sido concedidos por la propia compañía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b) Del excedente de la reserva legal;</w:t>
      </w:r>
      <w:r>
        <w:rPr>
          <w:rFonts w:eastAsia="Times New Roman"/>
          <w:sz w:val="30"/>
          <w:szCs w:val="30"/>
          <w:lang w:val="es-ES"/>
        </w:rPr>
        <w:br/>
      </w:r>
      <w:r>
        <w:rPr>
          <w:rFonts w:eastAsia="Times New Roman"/>
          <w:sz w:val="30"/>
          <w:szCs w:val="30"/>
          <w:lang w:val="es-ES"/>
        </w:rPr>
        <w:br/>
        <w:t>c) De las utilidades acumuladas; y,</w:t>
      </w:r>
      <w:r>
        <w:rPr>
          <w:rFonts w:eastAsia="Times New Roman"/>
          <w:sz w:val="30"/>
          <w:szCs w:val="30"/>
          <w:lang w:val="es-ES"/>
        </w:rPr>
        <w:br/>
      </w:r>
      <w:r>
        <w:rPr>
          <w:rFonts w:eastAsia="Times New Roman"/>
          <w:sz w:val="30"/>
          <w:szCs w:val="30"/>
          <w:lang w:val="es-ES"/>
        </w:rPr>
        <w:br/>
        <w:t>d) De la capitalización de cuentas de reserva, siempre que estuvieren destinadas a este fin.</w:t>
      </w:r>
      <w:r>
        <w:rPr>
          <w:rFonts w:eastAsia="Times New Roman"/>
          <w:sz w:val="30"/>
          <w:szCs w:val="30"/>
          <w:lang w:val="es-ES"/>
        </w:rPr>
        <w:br/>
      </w:r>
      <w:r>
        <w:rPr>
          <w:rFonts w:eastAsia="Times New Roman"/>
          <w:sz w:val="30"/>
          <w:szCs w:val="30"/>
          <w:lang w:val="es-ES"/>
        </w:rPr>
        <w:br/>
        <w:t>La Superintendencia de Compañías, Valores y Seguros verificará la legalidad del pag</w:t>
      </w:r>
      <w:r>
        <w:rPr>
          <w:rFonts w:eastAsia="Times New Roman"/>
          <w:sz w:val="30"/>
          <w:szCs w:val="30"/>
          <w:lang w:val="es-ES"/>
        </w:rPr>
        <w:t>o de dicho capital, su procedencia y aplicación de los fondos y de establecer lo contrario dejará insubsistente dicho aumento de capital.”</w:t>
      </w:r>
      <w:r>
        <w:rPr>
          <w:rFonts w:eastAsia="Times New Roman"/>
          <w:sz w:val="30"/>
          <w:szCs w:val="30"/>
          <w:lang w:val="es-ES"/>
        </w:rPr>
        <w:br/>
      </w:r>
      <w:r>
        <w:rPr>
          <w:rFonts w:eastAsia="Times New Roman"/>
          <w:sz w:val="30"/>
          <w:szCs w:val="30"/>
          <w:lang w:val="es-ES"/>
        </w:rPr>
        <w:br/>
        <w:t>6. Sustitúyase el artículo 22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22.- </w:t>
      </w:r>
      <w:r>
        <w:rPr>
          <w:rFonts w:eastAsia="Times New Roman"/>
          <w:sz w:val="30"/>
          <w:szCs w:val="30"/>
          <w:lang w:val="es-ES"/>
        </w:rPr>
        <w:t xml:space="preserve">Las compañías de seguros y reaseguros deberán mantener, </w:t>
      </w:r>
      <w:r>
        <w:rPr>
          <w:rFonts w:eastAsia="Times New Roman"/>
          <w:sz w:val="30"/>
          <w:szCs w:val="30"/>
          <w:lang w:val="es-ES"/>
        </w:rPr>
        <w:t>en todo tiempo, los requerimientos de solvencia generales o por ramos que regule la Junta de Política y Regulación Monetaria y Financiera, considerado lo siguiente:</w:t>
      </w:r>
      <w:r>
        <w:rPr>
          <w:rFonts w:eastAsia="Times New Roman"/>
          <w:sz w:val="30"/>
          <w:szCs w:val="30"/>
          <w:lang w:val="es-ES"/>
        </w:rPr>
        <w:br/>
      </w:r>
      <w:r>
        <w:rPr>
          <w:rFonts w:eastAsia="Times New Roman"/>
          <w:sz w:val="30"/>
          <w:szCs w:val="30"/>
          <w:lang w:val="es-ES"/>
        </w:rPr>
        <w:br/>
        <w:t>a) Régimen de reservas técnicas;</w:t>
      </w:r>
      <w:r>
        <w:rPr>
          <w:rFonts w:eastAsia="Times New Roman"/>
          <w:sz w:val="30"/>
          <w:szCs w:val="30"/>
          <w:lang w:val="es-ES"/>
        </w:rPr>
        <w:br/>
      </w:r>
      <w:r>
        <w:rPr>
          <w:rFonts w:eastAsia="Times New Roman"/>
          <w:sz w:val="30"/>
          <w:szCs w:val="30"/>
          <w:lang w:val="es-ES"/>
        </w:rPr>
        <w:lastRenderedPageBreak/>
        <w:br/>
        <w:t>b) Sistema de administración de riesgos;</w:t>
      </w:r>
      <w:r>
        <w:rPr>
          <w:rFonts w:eastAsia="Times New Roman"/>
          <w:sz w:val="30"/>
          <w:szCs w:val="30"/>
          <w:lang w:val="es-ES"/>
        </w:rPr>
        <w:br/>
      </w:r>
      <w:r>
        <w:rPr>
          <w:rFonts w:eastAsia="Times New Roman"/>
          <w:sz w:val="30"/>
          <w:szCs w:val="30"/>
          <w:lang w:val="es-ES"/>
        </w:rPr>
        <w:br/>
        <w:t xml:space="preserve">c) Patrimonio </w:t>
      </w:r>
      <w:r>
        <w:rPr>
          <w:rFonts w:eastAsia="Times New Roman"/>
          <w:sz w:val="30"/>
          <w:szCs w:val="30"/>
          <w:lang w:val="es-ES"/>
        </w:rPr>
        <w:t>técnico; y,</w:t>
      </w:r>
      <w:r>
        <w:rPr>
          <w:rFonts w:eastAsia="Times New Roman"/>
          <w:sz w:val="30"/>
          <w:szCs w:val="30"/>
          <w:lang w:val="es-ES"/>
        </w:rPr>
        <w:br/>
      </w:r>
      <w:r>
        <w:rPr>
          <w:rFonts w:eastAsia="Times New Roman"/>
          <w:sz w:val="30"/>
          <w:szCs w:val="30"/>
          <w:lang w:val="es-ES"/>
        </w:rPr>
        <w:br/>
        <w:t>d) Inversiones obligatorias.</w:t>
      </w:r>
      <w:r>
        <w:rPr>
          <w:rFonts w:eastAsia="Times New Roman"/>
          <w:sz w:val="30"/>
          <w:szCs w:val="30"/>
          <w:lang w:val="es-ES"/>
        </w:rPr>
        <w:br/>
      </w:r>
      <w:r>
        <w:rPr>
          <w:rFonts w:eastAsia="Times New Roman"/>
          <w:sz w:val="30"/>
          <w:szCs w:val="30"/>
          <w:lang w:val="es-ES"/>
        </w:rPr>
        <w:br/>
        <w:t>Los requerimientos de solvencia serán revisados por la Junta de Política y Regulación Monetaria y Financiera.</w:t>
      </w:r>
      <w:r>
        <w:rPr>
          <w:rFonts w:eastAsia="Times New Roman"/>
          <w:sz w:val="30"/>
          <w:szCs w:val="30"/>
          <w:lang w:val="es-ES"/>
        </w:rPr>
        <w:br/>
      </w:r>
      <w:r>
        <w:rPr>
          <w:rFonts w:eastAsia="Times New Roman"/>
          <w:sz w:val="30"/>
          <w:szCs w:val="30"/>
          <w:lang w:val="es-ES"/>
        </w:rPr>
        <w:br/>
        <w:t xml:space="preserve">La Junta de Política y Regulación Monetaria y Financiera expedirá la normativa que sea necesaria para </w:t>
      </w:r>
      <w:r>
        <w:rPr>
          <w:rFonts w:eastAsia="Times New Roman"/>
          <w:sz w:val="30"/>
          <w:szCs w:val="30"/>
          <w:lang w:val="es-ES"/>
        </w:rPr>
        <w:t>aplicar el régimen de solvencia previsto en este artículo; pudiendo determinar los plazos, condiciones, medidas y acciones que sean necesarios para su aplicación; con la finalidad de evitar o atenuar la exposición al riesgo de las compañías de seguros y co</w:t>
      </w:r>
      <w:r>
        <w:rPr>
          <w:rFonts w:eastAsia="Times New Roman"/>
          <w:sz w:val="30"/>
          <w:szCs w:val="30"/>
          <w:lang w:val="es-ES"/>
        </w:rPr>
        <w:t>mpañías de reaseguros en beneficio de los asegurados.</w:t>
      </w:r>
      <w:r>
        <w:rPr>
          <w:rFonts w:eastAsia="Times New Roman"/>
          <w:sz w:val="30"/>
          <w:szCs w:val="30"/>
          <w:lang w:val="es-ES"/>
        </w:rPr>
        <w:br/>
      </w:r>
      <w:r>
        <w:rPr>
          <w:rFonts w:eastAsia="Times New Roman"/>
          <w:sz w:val="30"/>
          <w:szCs w:val="30"/>
          <w:lang w:val="es-ES"/>
        </w:rPr>
        <w:br/>
        <w:t>Las compañías de seguros y compañías de reaseguros, deberán constituir las reservas técnicas por riesgos en curso, reservas matemáticas, reservas catastróficas, reservas por obligaciones pendientes y r</w:t>
      </w:r>
      <w:r>
        <w:rPr>
          <w:rFonts w:eastAsia="Times New Roman"/>
          <w:sz w:val="30"/>
          <w:szCs w:val="30"/>
          <w:lang w:val="es-ES"/>
        </w:rPr>
        <w:t>eservas por desviación de siniestralidad; definidas por la normativa que emita la Junta, quien determinará su metodología.</w:t>
      </w:r>
      <w:r>
        <w:rPr>
          <w:rFonts w:eastAsia="Times New Roman"/>
          <w:sz w:val="30"/>
          <w:szCs w:val="30"/>
          <w:lang w:val="es-ES"/>
        </w:rPr>
        <w:br/>
      </w:r>
      <w:r>
        <w:rPr>
          <w:rFonts w:eastAsia="Times New Roman"/>
          <w:sz w:val="30"/>
          <w:szCs w:val="30"/>
          <w:lang w:val="es-ES"/>
        </w:rPr>
        <w:br/>
        <w:t>Las reservas técnicas deberán cubrir la totalidad de los riesgos asumidos por las compañías de seguros y compañías de reaseguros.</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Junta podrá crear otro tipo de reservas técnicas y/o modificar las existentes y su fórmula de cálculo en función de la dinámica propia del desarrollo del negocio de seguros.</w:t>
      </w:r>
      <w:r>
        <w:rPr>
          <w:rFonts w:eastAsia="Times New Roman"/>
          <w:sz w:val="30"/>
          <w:szCs w:val="30"/>
          <w:lang w:val="es-ES"/>
        </w:rPr>
        <w:br/>
      </w:r>
      <w:r>
        <w:rPr>
          <w:rFonts w:eastAsia="Times New Roman"/>
          <w:sz w:val="30"/>
          <w:szCs w:val="30"/>
          <w:lang w:val="es-ES"/>
        </w:rPr>
        <w:br/>
        <w:t>El régimen de patrimonio técnico comprende la determinación del patrimonio técn</w:t>
      </w:r>
      <w:r>
        <w:rPr>
          <w:rFonts w:eastAsia="Times New Roman"/>
          <w:sz w:val="30"/>
          <w:szCs w:val="30"/>
          <w:lang w:val="es-ES"/>
        </w:rPr>
        <w:t>ico mínimo requerido, el cual se establece en función de un nivel de capital adecuado destinado a proteger a las compañías de seguros y compañías de reaseguros contra los efectos generados por desviación en la frecuencia y severidad del riesgo de suscripci</w:t>
      </w:r>
      <w:r>
        <w:rPr>
          <w:rFonts w:eastAsia="Times New Roman"/>
          <w:sz w:val="30"/>
          <w:szCs w:val="30"/>
          <w:lang w:val="es-ES"/>
        </w:rPr>
        <w:t>ón, así como de cualquier otro riesgo y en especial el riesgo de crédito derivado de las operaciones de reaseguros.</w:t>
      </w:r>
      <w:r>
        <w:rPr>
          <w:rFonts w:eastAsia="Times New Roman"/>
          <w:sz w:val="30"/>
          <w:szCs w:val="30"/>
          <w:lang w:val="es-ES"/>
        </w:rPr>
        <w:br/>
      </w:r>
      <w:r>
        <w:rPr>
          <w:rFonts w:eastAsia="Times New Roman"/>
          <w:sz w:val="30"/>
          <w:szCs w:val="30"/>
          <w:lang w:val="es-ES"/>
        </w:rPr>
        <w:br/>
        <w:t xml:space="preserve">Las exigencias del régimen de patrimonio técnico que se establecen en este capítulo, deberán cumplirse adicionalmente de las disposiciones </w:t>
      </w:r>
      <w:r>
        <w:rPr>
          <w:rFonts w:eastAsia="Times New Roman"/>
          <w:sz w:val="30"/>
          <w:szCs w:val="30"/>
          <w:lang w:val="es-ES"/>
        </w:rPr>
        <w:lastRenderedPageBreak/>
        <w:t>relativas a capitales mínimos establecidos en la ley, y demás normativa expedida por la Junta de Política y Regulación Monetaria y Financiera al respecto.</w:t>
      </w:r>
      <w:r>
        <w:rPr>
          <w:rFonts w:eastAsia="Times New Roman"/>
          <w:sz w:val="30"/>
          <w:szCs w:val="30"/>
          <w:lang w:val="es-ES"/>
        </w:rPr>
        <w:br/>
      </w:r>
      <w:r>
        <w:rPr>
          <w:rFonts w:eastAsia="Times New Roman"/>
          <w:sz w:val="30"/>
          <w:szCs w:val="30"/>
          <w:lang w:val="es-ES"/>
        </w:rPr>
        <w:br/>
        <w:t xml:space="preserve">Toda compañía de seguros y compañía de reaseguros deberá establecer esquemas eficientes y efectivos </w:t>
      </w:r>
      <w:r>
        <w:rPr>
          <w:rFonts w:eastAsia="Times New Roman"/>
          <w:sz w:val="30"/>
          <w:szCs w:val="30"/>
          <w:lang w:val="es-ES"/>
        </w:rPr>
        <w:t>de administración y control de riesgos técnicos, mercado, liquidez, crédito y operativo”;</w:t>
      </w:r>
      <w:r>
        <w:rPr>
          <w:rFonts w:eastAsia="Times New Roman"/>
          <w:sz w:val="30"/>
          <w:szCs w:val="30"/>
          <w:lang w:val="es-ES"/>
        </w:rPr>
        <w:br/>
      </w:r>
      <w:r>
        <w:rPr>
          <w:rFonts w:eastAsia="Times New Roman"/>
          <w:sz w:val="30"/>
          <w:szCs w:val="30"/>
          <w:lang w:val="es-ES"/>
        </w:rPr>
        <w:br/>
        <w:t>7. Sustitúyase el artículo 23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23.- </w:t>
      </w:r>
      <w:r>
        <w:rPr>
          <w:rFonts w:eastAsia="Times New Roman"/>
          <w:sz w:val="30"/>
          <w:szCs w:val="30"/>
          <w:lang w:val="es-ES"/>
        </w:rPr>
        <w:t>Las compañías de seguros y compañías de reaseguros deben invertir sus reservas técnicas, al menos el sese</w:t>
      </w:r>
      <w:r>
        <w:rPr>
          <w:rFonts w:eastAsia="Times New Roman"/>
          <w:sz w:val="30"/>
          <w:szCs w:val="30"/>
          <w:lang w:val="es-ES"/>
        </w:rPr>
        <w:t>nta por ciento (60%) del capital pagado y la reserva legal, en títulos del mercado de valores, fondos de inversión, instrumentos financieros y bienes raíces, en los segmentos y porcentajes definidos por la Junta de Política y Regulación Monetaria y Financi</w:t>
      </w:r>
      <w:r>
        <w:rPr>
          <w:rFonts w:eastAsia="Times New Roman"/>
          <w:sz w:val="30"/>
          <w:szCs w:val="30"/>
          <w:lang w:val="es-ES"/>
        </w:rPr>
        <w:t>era, a través de normas de carácter general, procurando una adecuada combinación de riesgos, liquidez, seguridad y rentabilidad. Se prohíbe a las compañías de seguros y compañías de reaseguros negociar acciones u obligaciones convertibles con instituciones</w:t>
      </w:r>
      <w:r>
        <w:rPr>
          <w:rFonts w:eastAsia="Times New Roman"/>
          <w:sz w:val="30"/>
          <w:szCs w:val="30"/>
          <w:lang w:val="es-ES"/>
        </w:rPr>
        <w:t xml:space="preserve"> del Sistema Financiero.</w:t>
      </w:r>
      <w:r>
        <w:rPr>
          <w:rFonts w:eastAsia="Times New Roman"/>
          <w:sz w:val="30"/>
          <w:szCs w:val="30"/>
          <w:lang w:val="es-ES"/>
        </w:rPr>
        <w:br/>
      </w:r>
      <w:r>
        <w:rPr>
          <w:rFonts w:eastAsia="Times New Roman"/>
          <w:sz w:val="30"/>
          <w:szCs w:val="30"/>
          <w:lang w:val="es-ES"/>
        </w:rPr>
        <w:br/>
        <w:t>En ningún caso las inversiones en instrumentos financieros emitidos por instituciones del sistema financiero podrán superar el 10% del total de instrumentos de inversión; la Junta definirá los porcentajes máximos de las demás inve</w:t>
      </w:r>
      <w:r>
        <w:rPr>
          <w:rFonts w:eastAsia="Times New Roman"/>
          <w:sz w:val="30"/>
          <w:szCs w:val="30"/>
          <w:lang w:val="es-ES"/>
        </w:rPr>
        <w:t>rsiones. ";</w:t>
      </w:r>
      <w:r>
        <w:rPr>
          <w:rFonts w:eastAsia="Times New Roman"/>
          <w:sz w:val="30"/>
          <w:szCs w:val="30"/>
          <w:lang w:val="es-ES"/>
        </w:rPr>
        <w:br/>
      </w:r>
      <w:r>
        <w:rPr>
          <w:rFonts w:eastAsia="Times New Roman"/>
          <w:sz w:val="30"/>
          <w:szCs w:val="30"/>
          <w:lang w:val="es-ES"/>
        </w:rPr>
        <w:br/>
        <w:t>8. Suprímase el artículo 24;</w:t>
      </w:r>
      <w:r>
        <w:rPr>
          <w:rFonts w:eastAsia="Times New Roman"/>
          <w:sz w:val="30"/>
          <w:szCs w:val="30"/>
          <w:lang w:val="es-ES"/>
        </w:rPr>
        <w:br/>
      </w:r>
      <w:r>
        <w:rPr>
          <w:rFonts w:eastAsia="Times New Roman"/>
          <w:sz w:val="30"/>
          <w:szCs w:val="30"/>
          <w:lang w:val="es-ES"/>
        </w:rPr>
        <w:br/>
        <w:t>9. Sustitúyase el artículo 25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25.- </w:t>
      </w:r>
      <w:r>
        <w:rPr>
          <w:rFonts w:eastAsia="Times New Roman"/>
          <w:sz w:val="30"/>
          <w:szCs w:val="30"/>
          <w:lang w:val="es-ES"/>
        </w:rPr>
        <w:t>La Superintendencia de Compañías, Valores y Seguros determinará las cláusulas que obligatoriamente contendrán las pólizas, así como las cláusulas prohibi</w:t>
      </w:r>
      <w:r>
        <w:rPr>
          <w:rFonts w:eastAsia="Times New Roman"/>
          <w:sz w:val="30"/>
          <w:szCs w:val="30"/>
          <w:lang w:val="es-ES"/>
        </w:rPr>
        <w:t>das, las cuales carecerán de efectos y se tendrán por no escritas en caso de existir. Las tarifas de primas y notas técnicas requerirán autorización previa de la Superintendencia. Copias de las pólizas, tarifas y notas serán remitidas a la Superintendencia</w:t>
      </w:r>
      <w:r>
        <w:rPr>
          <w:rFonts w:eastAsia="Times New Roman"/>
          <w:sz w:val="30"/>
          <w:szCs w:val="30"/>
          <w:lang w:val="es-ES"/>
        </w:rPr>
        <w:t>, por lo menos treinta días antes de su utilización, para fines de verificación, control y sanción.</w:t>
      </w:r>
      <w:r>
        <w:rPr>
          <w:rFonts w:eastAsia="Times New Roman"/>
          <w:sz w:val="30"/>
          <w:szCs w:val="30"/>
          <w:lang w:val="es-ES"/>
        </w:rPr>
        <w:br/>
      </w:r>
      <w:r>
        <w:rPr>
          <w:rFonts w:eastAsia="Times New Roman"/>
          <w:sz w:val="30"/>
          <w:szCs w:val="30"/>
          <w:lang w:val="es-ES"/>
        </w:rPr>
        <w:br/>
        <w:t>Las pólizas deberán sujetarse mínimo a las siguientes condiciones:</w:t>
      </w:r>
      <w:r>
        <w:rPr>
          <w:rFonts w:eastAsia="Times New Roman"/>
          <w:sz w:val="30"/>
          <w:szCs w:val="30"/>
          <w:lang w:val="es-ES"/>
        </w:rPr>
        <w:br/>
      </w:r>
      <w:r>
        <w:rPr>
          <w:rFonts w:eastAsia="Times New Roman"/>
          <w:sz w:val="30"/>
          <w:szCs w:val="30"/>
          <w:lang w:val="es-ES"/>
        </w:rPr>
        <w:lastRenderedPageBreak/>
        <w:br/>
        <w:t>a) Responder a normas de igualdad y equidad entre las partes contratantes;</w:t>
      </w:r>
      <w:r>
        <w:rPr>
          <w:rFonts w:eastAsia="Times New Roman"/>
          <w:sz w:val="30"/>
          <w:szCs w:val="30"/>
          <w:lang w:val="es-ES"/>
        </w:rPr>
        <w:br/>
      </w:r>
      <w:r>
        <w:rPr>
          <w:rFonts w:eastAsia="Times New Roman"/>
          <w:sz w:val="30"/>
          <w:szCs w:val="30"/>
          <w:lang w:val="es-ES"/>
        </w:rPr>
        <w:br/>
        <w:t>b) Ceñir su</w:t>
      </w:r>
      <w:r>
        <w:rPr>
          <w:rFonts w:eastAsia="Times New Roman"/>
          <w:sz w:val="30"/>
          <w:szCs w:val="30"/>
          <w:lang w:val="es-ES"/>
        </w:rPr>
        <w:t xml:space="preserve"> contenido a la legislación sobre el contrato de seguro constante en el Código de Comercio, el Decreto Supremo No. 1147, publicado en el Registro Oficial No. 123 de 7 de diciembre de 1963 a la presente Ley y a las demás disposiciones que fueren aplicables;</w:t>
      </w:r>
      <w:r>
        <w:rPr>
          <w:rFonts w:eastAsia="Times New Roman"/>
          <w:sz w:val="30"/>
          <w:szCs w:val="30"/>
          <w:lang w:val="es-ES"/>
        </w:rPr>
        <w:br/>
      </w:r>
      <w:r>
        <w:rPr>
          <w:rFonts w:eastAsia="Times New Roman"/>
          <w:sz w:val="30"/>
          <w:szCs w:val="30"/>
          <w:lang w:val="es-ES"/>
        </w:rPr>
        <w:br/>
        <w:t>c) Encontrarse redactada de manera clara, de modo que sea de fácil comprensión para el asegurado;</w:t>
      </w:r>
      <w:r>
        <w:rPr>
          <w:rFonts w:eastAsia="Times New Roman"/>
          <w:sz w:val="30"/>
          <w:szCs w:val="30"/>
          <w:lang w:val="es-ES"/>
        </w:rPr>
        <w:br/>
      </w:r>
      <w:r>
        <w:rPr>
          <w:rFonts w:eastAsia="Times New Roman"/>
          <w:sz w:val="30"/>
          <w:szCs w:val="30"/>
          <w:lang w:val="es-ES"/>
        </w:rPr>
        <w:br/>
        <w:t>d) Los caracteres tipográficos deben ser fácilmente legibles;</w:t>
      </w:r>
      <w:r>
        <w:rPr>
          <w:rFonts w:eastAsia="Times New Roman"/>
          <w:sz w:val="30"/>
          <w:szCs w:val="30"/>
          <w:lang w:val="es-ES"/>
        </w:rPr>
        <w:br/>
      </w:r>
      <w:r>
        <w:rPr>
          <w:rFonts w:eastAsia="Times New Roman"/>
          <w:sz w:val="30"/>
          <w:szCs w:val="30"/>
          <w:lang w:val="es-ES"/>
        </w:rPr>
        <w:br/>
        <w:t>e) Figurar las coberturas básicas y las exclusiones con caracteres destacados en la póliza;</w:t>
      </w:r>
      <w:r>
        <w:rPr>
          <w:rFonts w:eastAsia="Times New Roman"/>
          <w:sz w:val="30"/>
          <w:szCs w:val="30"/>
          <w:lang w:val="es-ES"/>
        </w:rPr>
        <w:br/>
      </w:r>
      <w:r>
        <w:rPr>
          <w:rFonts w:eastAsia="Times New Roman"/>
          <w:sz w:val="30"/>
          <w:szCs w:val="30"/>
          <w:lang w:val="es-ES"/>
        </w:rPr>
        <w:br/>
        <w:t>f) Incluir el listado de documentos básicos necesarios para la reclamación de un siniestro;</w:t>
      </w:r>
      <w:r>
        <w:rPr>
          <w:rFonts w:eastAsia="Times New Roman"/>
          <w:sz w:val="30"/>
          <w:szCs w:val="30"/>
          <w:lang w:val="es-ES"/>
        </w:rPr>
        <w:br/>
      </w:r>
      <w:r>
        <w:rPr>
          <w:rFonts w:eastAsia="Times New Roman"/>
          <w:sz w:val="30"/>
          <w:szCs w:val="30"/>
          <w:lang w:val="es-ES"/>
        </w:rPr>
        <w:br/>
        <w:t>g) Incluir una cláusula en la que conste la opción de las partes de someter a decisión arbitral o mediación las diferencias que se originen en el contrato o póliz</w:t>
      </w:r>
      <w:r>
        <w:rPr>
          <w:rFonts w:eastAsia="Times New Roman"/>
          <w:sz w:val="30"/>
          <w:szCs w:val="30"/>
          <w:lang w:val="es-ES"/>
        </w:rPr>
        <w:t>a de seguros; y,</w:t>
      </w:r>
      <w:r>
        <w:rPr>
          <w:rFonts w:eastAsia="Times New Roman"/>
          <w:sz w:val="30"/>
          <w:szCs w:val="30"/>
          <w:lang w:val="es-ES"/>
        </w:rPr>
        <w:br/>
      </w:r>
      <w:r>
        <w:rPr>
          <w:rFonts w:eastAsia="Times New Roman"/>
          <w:sz w:val="30"/>
          <w:szCs w:val="30"/>
          <w:lang w:val="es-ES"/>
        </w:rPr>
        <w:br/>
        <w:t>h) Señalar la moneda en la que se pagarán las primas y siniestros. La cotización al valor de venta de la moneda extranjera serán los vigentes a la fecha efectiva de pago de las primas y de las indemnizaciones.</w:t>
      </w:r>
      <w:r>
        <w:rPr>
          <w:rFonts w:eastAsia="Times New Roman"/>
          <w:sz w:val="30"/>
          <w:szCs w:val="30"/>
          <w:lang w:val="es-ES"/>
        </w:rPr>
        <w:br/>
      </w:r>
      <w:r>
        <w:rPr>
          <w:rFonts w:eastAsia="Times New Roman"/>
          <w:sz w:val="30"/>
          <w:szCs w:val="30"/>
          <w:lang w:val="es-ES"/>
        </w:rPr>
        <w:br/>
        <w:t>Cuando las condiciones gene</w:t>
      </w:r>
      <w:r>
        <w:rPr>
          <w:rFonts w:eastAsia="Times New Roman"/>
          <w:sz w:val="30"/>
          <w:szCs w:val="30"/>
          <w:lang w:val="es-ES"/>
        </w:rPr>
        <w:t>rales de las pólizas o de sus cláusulas especiales difieran de las normas establecidas en la legislación sobre el contrato de seguros, prevalecerán estas últimas sobre aquellas.</w:t>
      </w:r>
      <w:r>
        <w:rPr>
          <w:rFonts w:eastAsia="Times New Roman"/>
          <w:sz w:val="30"/>
          <w:szCs w:val="30"/>
          <w:lang w:val="es-ES"/>
        </w:rPr>
        <w:br/>
      </w:r>
      <w:r>
        <w:rPr>
          <w:rFonts w:eastAsia="Times New Roman"/>
          <w:sz w:val="30"/>
          <w:szCs w:val="30"/>
          <w:lang w:val="es-ES"/>
        </w:rPr>
        <w:br/>
        <w:t>Las tarifas de primas se sujetarán a los siguientes principios:</w:t>
      </w:r>
      <w:r>
        <w:rPr>
          <w:rFonts w:eastAsia="Times New Roman"/>
          <w:sz w:val="30"/>
          <w:szCs w:val="30"/>
          <w:lang w:val="es-ES"/>
        </w:rPr>
        <w:br/>
      </w:r>
      <w:r>
        <w:rPr>
          <w:rFonts w:eastAsia="Times New Roman"/>
          <w:sz w:val="30"/>
          <w:szCs w:val="30"/>
          <w:lang w:val="es-ES"/>
        </w:rPr>
        <w:br/>
        <w:t>1. Ser el re</w:t>
      </w:r>
      <w:r>
        <w:rPr>
          <w:rFonts w:eastAsia="Times New Roman"/>
          <w:sz w:val="30"/>
          <w:szCs w:val="30"/>
          <w:lang w:val="es-ES"/>
        </w:rPr>
        <w:t>sultado de la utilización de información estadística que cumpla exigencias de homogeneidad y representatividad; o,</w:t>
      </w:r>
      <w:r>
        <w:rPr>
          <w:rFonts w:eastAsia="Times New Roman"/>
          <w:sz w:val="30"/>
          <w:szCs w:val="30"/>
          <w:lang w:val="es-ES"/>
        </w:rPr>
        <w:br/>
      </w:r>
      <w:r>
        <w:rPr>
          <w:rFonts w:eastAsia="Times New Roman"/>
          <w:sz w:val="30"/>
          <w:szCs w:val="30"/>
          <w:lang w:val="es-ES"/>
        </w:rPr>
        <w:br/>
        <w:t>2. Ser el resultado del respaldo de reaseguradores de reconocida solvencia técnica y financiera.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todo contrato de seguro se entienden in</w:t>
      </w:r>
      <w:r>
        <w:rPr>
          <w:rFonts w:eastAsia="Times New Roman"/>
          <w:sz w:val="30"/>
          <w:szCs w:val="30"/>
          <w:lang w:val="es-ES"/>
        </w:rPr>
        <w:t>corporadas las normas de la Ley Orgánica de Defensa del Consumidor. Se tendrá por no escrita toda cláusula que se oponga a las leyes, en perjuicio del asegurado, o a las prohibiciones que determine la Superintendencia conforme al inciso primero de este art</w:t>
      </w:r>
      <w:r>
        <w:rPr>
          <w:rFonts w:eastAsia="Times New Roman"/>
          <w:sz w:val="30"/>
          <w:szCs w:val="30"/>
          <w:lang w:val="es-ES"/>
        </w:rPr>
        <w:t>ículo. "</w:t>
      </w:r>
      <w:r>
        <w:rPr>
          <w:rFonts w:eastAsia="Times New Roman"/>
          <w:sz w:val="30"/>
          <w:szCs w:val="30"/>
          <w:lang w:val="es-ES"/>
        </w:rPr>
        <w:br/>
      </w:r>
      <w:r>
        <w:rPr>
          <w:rFonts w:eastAsia="Times New Roman"/>
          <w:sz w:val="30"/>
          <w:szCs w:val="30"/>
          <w:lang w:val="es-ES"/>
        </w:rPr>
        <w:br/>
        <w:t>10. Incorpórese a continuación del artículo 27 el siguiente artículo innumerado: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w:t>
      </w:r>
      <w:r>
        <w:rPr>
          <w:rFonts w:eastAsia="Times New Roman"/>
          <w:sz w:val="30"/>
          <w:szCs w:val="30"/>
          <w:lang w:val="es-ES"/>
        </w:rPr>
        <w:t xml:space="preserve">La Junta de Política y Regulación Monetaria y Financiera emitirá las regulaciones correspondientes para la contratación de reaseguro, debiendo definir las </w:t>
      </w:r>
      <w:r>
        <w:rPr>
          <w:rFonts w:eastAsia="Times New Roman"/>
          <w:sz w:val="30"/>
          <w:szCs w:val="30"/>
          <w:lang w:val="es-ES"/>
        </w:rPr>
        <w:t>condiciones y porcentajes máximos de cesión de seguros y reaseguros por ramo, en función a las características de los riesgos cubiertos, el perfil de las carteras, la siniestralidad de la misma y otros factores técnicos necesarios. Además, podrá definir lo</w:t>
      </w:r>
      <w:r>
        <w:rPr>
          <w:rFonts w:eastAsia="Times New Roman"/>
          <w:sz w:val="30"/>
          <w:szCs w:val="30"/>
          <w:lang w:val="es-ES"/>
        </w:rPr>
        <w:t>s casos en que no sea necesaria la contratación de reaseguros.”;</w:t>
      </w:r>
      <w:r>
        <w:rPr>
          <w:rFonts w:eastAsia="Times New Roman"/>
          <w:sz w:val="30"/>
          <w:szCs w:val="30"/>
          <w:lang w:val="es-ES"/>
        </w:rPr>
        <w:br/>
      </w:r>
      <w:r>
        <w:rPr>
          <w:rFonts w:eastAsia="Times New Roman"/>
          <w:sz w:val="30"/>
          <w:szCs w:val="30"/>
          <w:lang w:val="es-ES"/>
        </w:rPr>
        <w:br/>
        <w:t>11. Incorpórese a continuación del artículo 31 otro innumerado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w:t>
      </w:r>
      <w:r>
        <w:rPr>
          <w:rFonts w:eastAsia="Times New Roman"/>
          <w:sz w:val="30"/>
          <w:szCs w:val="30"/>
          <w:lang w:val="es-ES"/>
        </w:rPr>
        <w:t>Las compañías de seguros, reaseguros, asesoras productoras de seguros, inspectoras de riesgos,</w:t>
      </w:r>
      <w:r>
        <w:rPr>
          <w:rFonts w:eastAsia="Times New Roman"/>
          <w:sz w:val="30"/>
          <w:szCs w:val="30"/>
          <w:lang w:val="es-ES"/>
        </w:rPr>
        <w:t xml:space="preserve"> ajustadoras de siniestros e intermediarias de reaseguros tendrán control interno a cargo de un auditor calificado por la Superintendencia de Compañías, Valores y Seguros.</w:t>
      </w:r>
      <w:r>
        <w:rPr>
          <w:rFonts w:eastAsia="Times New Roman"/>
          <w:sz w:val="30"/>
          <w:szCs w:val="30"/>
          <w:lang w:val="es-ES"/>
        </w:rPr>
        <w:br/>
      </w:r>
      <w:r>
        <w:rPr>
          <w:rFonts w:eastAsia="Times New Roman"/>
          <w:sz w:val="30"/>
          <w:szCs w:val="30"/>
          <w:lang w:val="es-ES"/>
        </w:rPr>
        <w:br/>
        <w:t>El auditor interno presentará sus informes de control a la compañía y a la Superint</w:t>
      </w:r>
      <w:r>
        <w:rPr>
          <w:rFonts w:eastAsia="Times New Roman"/>
          <w:sz w:val="30"/>
          <w:szCs w:val="30"/>
          <w:lang w:val="es-ES"/>
        </w:rPr>
        <w:t>endencia de Compañías, Valores y Seguros, de acuerdo con las normas de control que emita dicho organismo.</w:t>
      </w:r>
      <w:r>
        <w:rPr>
          <w:rFonts w:eastAsia="Times New Roman"/>
          <w:sz w:val="30"/>
          <w:szCs w:val="30"/>
          <w:lang w:val="es-ES"/>
        </w:rPr>
        <w:br/>
      </w:r>
      <w:r>
        <w:rPr>
          <w:rFonts w:eastAsia="Times New Roman"/>
          <w:sz w:val="30"/>
          <w:szCs w:val="30"/>
          <w:lang w:val="es-ES"/>
        </w:rPr>
        <w:br/>
        <w:t>Las personas naturales que presten sus servicios como asesores productores de seguros, inspectoras de riesgo, ajustadoras de siniestros e intermediar</w:t>
      </w:r>
      <w:r>
        <w:rPr>
          <w:rFonts w:eastAsia="Times New Roman"/>
          <w:sz w:val="30"/>
          <w:szCs w:val="30"/>
          <w:lang w:val="es-ES"/>
        </w:rPr>
        <w:t>ias de seguros deberá ejercer su actividad bajo criterios de seriedad, veracidad, eficiencia y efectividad";</w:t>
      </w:r>
      <w:r>
        <w:rPr>
          <w:rFonts w:eastAsia="Times New Roman"/>
          <w:sz w:val="30"/>
          <w:szCs w:val="30"/>
          <w:lang w:val="es-ES"/>
        </w:rPr>
        <w:br/>
      </w:r>
      <w:r>
        <w:rPr>
          <w:rFonts w:eastAsia="Times New Roman"/>
          <w:sz w:val="30"/>
          <w:szCs w:val="30"/>
          <w:lang w:val="es-ES"/>
        </w:rPr>
        <w:br/>
        <w:t>12. Sustitúyase el primer inciso del artículo 32 por el siguiente:</w:t>
      </w:r>
      <w:r>
        <w:rPr>
          <w:rFonts w:eastAsia="Times New Roman"/>
          <w:sz w:val="30"/>
          <w:szCs w:val="30"/>
          <w:lang w:val="es-ES"/>
        </w:rPr>
        <w:br/>
      </w:r>
      <w:r>
        <w:rPr>
          <w:rFonts w:eastAsia="Times New Roman"/>
          <w:sz w:val="30"/>
          <w:szCs w:val="30"/>
          <w:lang w:val="es-ES"/>
        </w:rPr>
        <w:br/>
        <w:t>"Las compañías de seguros, reaseguros, están obligadas a contratar auditores e</w:t>
      </w:r>
      <w:r>
        <w:rPr>
          <w:rFonts w:eastAsia="Times New Roman"/>
          <w:sz w:val="30"/>
          <w:szCs w:val="30"/>
          <w:lang w:val="es-ES"/>
        </w:rPr>
        <w:t xml:space="preserve">xternos así como firmas calificadoras de riesgo que deberán </w:t>
      </w:r>
      <w:r>
        <w:rPr>
          <w:rFonts w:eastAsia="Times New Roman"/>
          <w:sz w:val="30"/>
          <w:szCs w:val="30"/>
          <w:lang w:val="es-ES"/>
        </w:rPr>
        <w:lastRenderedPageBreak/>
        <w:t>ser personas jurídicas las cuales se sujetarán a las normas de calificación y emisión de informes que expida la Superintendencia de Compañías, Valores y Seguros.??,·</w:t>
      </w:r>
      <w:r>
        <w:rPr>
          <w:rFonts w:eastAsia="Times New Roman"/>
          <w:sz w:val="30"/>
          <w:szCs w:val="30"/>
          <w:lang w:val="es-ES"/>
        </w:rPr>
        <w:br/>
      </w:r>
      <w:r>
        <w:rPr>
          <w:rFonts w:eastAsia="Times New Roman"/>
          <w:sz w:val="30"/>
          <w:szCs w:val="30"/>
          <w:lang w:val="es-ES"/>
        </w:rPr>
        <w:br/>
        <w:t>13. Incorpórese a continuació</w:t>
      </w:r>
      <w:r>
        <w:rPr>
          <w:rFonts w:eastAsia="Times New Roman"/>
          <w:sz w:val="30"/>
          <w:szCs w:val="30"/>
          <w:lang w:val="es-ES"/>
        </w:rPr>
        <w:t>n del artículo 33 otro innumerado del siguiente tenor: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w:t>
      </w:r>
      <w:r>
        <w:rPr>
          <w:rFonts w:eastAsia="Times New Roman"/>
          <w:sz w:val="30"/>
          <w:szCs w:val="30"/>
          <w:lang w:val="es-ES"/>
        </w:rPr>
        <w:t>Las compañías de seguros y reaseguros deberán contar con servicios actuariales, que podrán ser proporcionados por personas naturales o jurídicas, calificadas por la Superintendencia de Compa</w:t>
      </w:r>
      <w:r>
        <w:rPr>
          <w:rFonts w:eastAsia="Times New Roman"/>
          <w:sz w:val="30"/>
          <w:szCs w:val="30"/>
          <w:lang w:val="es-ES"/>
        </w:rPr>
        <w:t>ñías, Valores y Seguros, con el fin de generar las notas técnicas de los productos ofertados y opinar sobre la adecuación y suficiencia de los montos contenidos en los reportes financieros, o sobre la metodología, o sobre las hipótesis asumidas para estos.</w:t>
      </w:r>
      <w:r>
        <w:rPr>
          <w:rFonts w:eastAsia="Times New Roman"/>
          <w:sz w:val="30"/>
          <w:szCs w:val="30"/>
          <w:lang w:val="es-ES"/>
        </w:rPr>
        <w:br/>
      </w:r>
      <w:r>
        <w:rPr>
          <w:rFonts w:eastAsia="Times New Roman"/>
          <w:sz w:val="30"/>
          <w:szCs w:val="30"/>
          <w:lang w:val="es-ES"/>
        </w:rPr>
        <w:br/>
        <w:t>La Superintendencia de Compañías, Valores y Seguros, respecto de los estudios actuariales que se realicen tendrá plenas facultades verificadoras y exigirá los requisitos mínimos que los informes técnicos deban cumplir.";</w:t>
      </w:r>
      <w:r>
        <w:rPr>
          <w:rFonts w:eastAsia="Times New Roman"/>
          <w:sz w:val="30"/>
          <w:szCs w:val="30"/>
          <w:lang w:val="es-ES"/>
        </w:rPr>
        <w:br/>
      </w:r>
      <w:r>
        <w:rPr>
          <w:rFonts w:eastAsia="Times New Roman"/>
          <w:sz w:val="30"/>
          <w:szCs w:val="30"/>
          <w:lang w:val="es-ES"/>
        </w:rPr>
        <w:br/>
        <w:t>14. Sustitúyase el artículo 40 p</w:t>
      </w:r>
      <w:r>
        <w:rPr>
          <w:rFonts w:eastAsia="Times New Roman"/>
          <w:sz w:val="30"/>
          <w:szCs w:val="30"/>
          <w:lang w:val="es-ES"/>
        </w:rPr>
        <w:t>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 </w:t>
      </w:r>
      <w:r>
        <w:rPr>
          <w:rFonts w:eastAsia="Times New Roman"/>
          <w:sz w:val="30"/>
          <w:szCs w:val="30"/>
          <w:lang w:val="es-ES"/>
        </w:rPr>
        <w:t>Las multas que imponga la Superintendencia de Compañías, Valores y Seguros, en ningún caso, serán menores a treinta (30) salarios básicos unificados, ni superiores al 5% de las ventas que reporte la entidad infractora, con exce</w:t>
      </w:r>
      <w:r>
        <w:rPr>
          <w:rFonts w:eastAsia="Times New Roman"/>
          <w:sz w:val="30"/>
          <w:szCs w:val="30"/>
          <w:lang w:val="es-ES"/>
        </w:rPr>
        <w:t>pción de las que se impongan a los empleados o funcionarios, las que no podrán ser menores a tres salarios básicos unificados del trabajador en general.</w:t>
      </w:r>
      <w:r>
        <w:rPr>
          <w:rFonts w:eastAsia="Times New Roman"/>
          <w:sz w:val="30"/>
          <w:szCs w:val="30"/>
          <w:lang w:val="es-ES"/>
        </w:rPr>
        <w:br/>
      </w:r>
      <w:r>
        <w:rPr>
          <w:rFonts w:eastAsia="Times New Roman"/>
          <w:sz w:val="30"/>
          <w:szCs w:val="30"/>
          <w:lang w:val="es-ES"/>
        </w:rPr>
        <w:br/>
        <w:t>Las sanciones se graduarán en atención a la gravedad de la falta, perjuicios causados a terceros, negl</w:t>
      </w:r>
      <w:r>
        <w:rPr>
          <w:rFonts w:eastAsia="Times New Roman"/>
          <w:sz w:val="30"/>
          <w:szCs w:val="30"/>
          <w:lang w:val="es-ES"/>
        </w:rPr>
        <w:t>igencia, intencionalidad, reincidencia o cualquier otra circunstancia agravante o atenuante.</w:t>
      </w:r>
      <w:r>
        <w:rPr>
          <w:rFonts w:eastAsia="Times New Roman"/>
          <w:sz w:val="30"/>
          <w:szCs w:val="30"/>
          <w:lang w:val="es-ES"/>
        </w:rPr>
        <w:br/>
      </w:r>
      <w:r>
        <w:rPr>
          <w:rFonts w:eastAsia="Times New Roman"/>
          <w:sz w:val="30"/>
          <w:szCs w:val="30"/>
          <w:lang w:val="es-ES"/>
        </w:rPr>
        <w:br/>
        <w:t>La imposición de las sanciones dispuestas en ésta Ley, es independiente de cualquier otra sanción que se pudiera aplicar por actos violatorios de otras disposicio</w:t>
      </w:r>
      <w:r>
        <w:rPr>
          <w:rFonts w:eastAsia="Times New Roman"/>
          <w:sz w:val="30"/>
          <w:szCs w:val="30"/>
          <w:lang w:val="es-ES"/>
        </w:rPr>
        <w:t>nes y no limitan la aplicación de las sanciones civiles o penales que correspondan de conformidad con la ley.</w:t>
      </w:r>
      <w:r>
        <w:rPr>
          <w:rFonts w:eastAsia="Times New Roman"/>
          <w:sz w:val="30"/>
          <w:szCs w:val="30"/>
          <w:lang w:val="es-ES"/>
        </w:rPr>
        <w:br/>
      </w:r>
      <w:r>
        <w:rPr>
          <w:rFonts w:eastAsia="Times New Roman"/>
          <w:sz w:val="30"/>
          <w:szCs w:val="30"/>
          <w:lang w:val="es-ES"/>
        </w:rPr>
        <w:br/>
        <w:t xml:space="preserve">En ningún caso una persona puede ser sancionada </w:t>
      </w:r>
      <w:r>
        <w:rPr>
          <w:rFonts w:eastAsia="Times New Roman"/>
          <w:sz w:val="30"/>
          <w:szCs w:val="30"/>
          <w:lang w:val="es-ES"/>
        </w:rPr>
        <w:lastRenderedPageBreak/>
        <w:t>administrativamente dos (2) veces por el mismo ente, por la misma causa, sin perjuicio de las acc</w:t>
      </w:r>
      <w:r>
        <w:rPr>
          <w:rFonts w:eastAsia="Times New Roman"/>
          <w:sz w:val="30"/>
          <w:szCs w:val="30"/>
          <w:lang w:val="es-ES"/>
        </w:rPr>
        <w:t>iones penales que fueran pertinentes.</w:t>
      </w:r>
      <w:r>
        <w:rPr>
          <w:rFonts w:eastAsia="Times New Roman"/>
          <w:sz w:val="30"/>
          <w:szCs w:val="30"/>
          <w:lang w:val="es-ES"/>
        </w:rPr>
        <w:br/>
      </w:r>
      <w:r>
        <w:rPr>
          <w:rFonts w:eastAsia="Times New Roman"/>
          <w:sz w:val="30"/>
          <w:szCs w:val="30"/>
          <w:lang w:val="es-ES"/>
        </w:rPr>
        <w:br/>
        <w:t>Las multas impuestas a la compañía, su representante legal, administradores, directores, empleados o funcionarios, se harán efectivas mediante títulos que podrán cobrarse a través de la jurisdicción coactiva o por cua</w:t>
      </w:r>
      <w:r>
        <w:rPr>
          <w:rFonts w:eastAsia="Times New Roman"/>
          <w:sz w:val="30"/>
          <w:szCs w:val="30"/>
          <w:lang w:val="es-ES"/>
        </w:rPr>
        <w:t>lquier otro medio.” ; y ,</w:t>
      </w:r>
      <w:r>
        <w:rPr>
          <w:rFonts w:eastAsia="Times New Roman"/>
          <w:sz w:val="30"/>
          <w:szCs w:val="30"/>
          <w:lang w:val="es-ES"/>
        </w:rPr>
        <w:br/>
      </w:r>
      <w:r>
        <w:rPr>
          <w:rFonts w:eastAsia="Times New Roman"/>
          <w:sz w:val="30"/>
          <w:szCs w:val="30"/>
          <w:lang w:val="es-ES"/>
        </w:rPr>
        <w:br/>
        <w:t>15. Sustitúyase el artículo 42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42.- </w:t>
      </w:r>
      <w:r>
        <w:rPr>
          <w:rFonts w:eastAsia="Times New Roman"/>
          <w:sz w:val="30"/>
          <w:szCs w:val="30"/>
          <w:lang w:val="es-ES"/>
        </w:rPr>
        <w:t>Las compañías de seguros y reaseguros tienen la obligación de pagar el seguro contratado o la parte correspondiente a la pérdida debidamente comprobada, según sea el ca</w:t>
      </w:r>
      <w:r>
        <w:rPr>
          <w:rFonts w:eastAsia="Times New Roman"/>
          <w:sz w:val="30"/>
          <w:szCs w:val="30"/>
          <w:lang w:val="es-ES"/>
        </w:rPr>
        <w:t>so, dentro del plazo de treinta (30) días siguientes de presentada la reclamación por parte del asegurado o beneficiario, acompañando los documentos determinados en la póliza.</w:t>
      </w:r>
      <w:r>
        <w:rPr>
          <w:rFonts w:eastAsia="Times New Roman"/>
          <w:sz w:val="30"/>
          <w:szCs w:val="30"/>
          <w:lang w:val="es-ES"/>
        </w:rPr>
        <w:br/>
      </w:r>
      <w:r>
        <w:rPr>
          <w:rFonts w:eastAsia="Times New Roman"/>
          <w:sz w:val="30"/>
          <w:szCs w:val="30"/>
          <w:lang w:val="es-ES"/>
        </w:rPr>
        <w:br/>
        <w:t>Las compañías de seguros y reaseguros podrán objetar por escrito y motivadament</w:t>
      </w:r>
      <w:r>
        <w:rPr>
          <w:rFonts w:eastAsia="Times New Roman"/>
          <w:sz w:val="30"/>
          <w:szCs w:val="30"/>
          <w:lang w:val="es-ES"/>
        </w:rPr>
        <w:t>e, dentro del plazo antes mencionado el pago total o parcial del siniestro, no obstante si el asegurado o el beneficiario se allanan a las objeciones de la compañía de seguros, ésta pagará inmediatamente la indemnización acordada.</w:t>
      </w:r>
      <w:r>
        <w:rPr>
          <w:rFonts w:eastAsia="Times New Roman"/>
          <w:sz w:val="30"/>
          <w:szCs w:val="30"/>
          <w:lang w:val="es-ES"/>
        </w:rPr>
        <w:br/>
      </w:r>
      <w:r>
        <w:rPr>
          <w:rFonts w:eastAsia="Times New Roman"/>
          <w:sz w:val="30"/>
          <w:szCs w:val="30"/>
          <w:lang w:val="es-ES"/>
        </w:rPr>
        <w:br/>
        <w:t>Si el asegurado o benefi</w:t>
      </w:r>
      <w:r>
        <w:rPr>
          <w:rFonts w:eastAsia="Times New Roman"/>
          <w:sz w:val="30"/>
          <w:szCs w:val="30"/>
          <w:lang w:val="es-ES"/>
        </w:rPr>
        <w:t xml:space="preserve">ciario no se allana a las objeciones podrá presentar un reclamo ante la Superintendencia de Compañías, Valores y Seguros, a fin de que ésta requiera a la aseguradora que justifique su negativa al pago. Dentro del plazo de 30 días de presentado el reclamo, </w:t>
      </w:r>
      <w:r>
        <w:rPr>
          <w:rFonts w:eastAsia="Times New Roman"/>
          <w:sz w:val="30"/>
          <w:szCs w:val="30"/>
          <w:lang w:val="es-ES"/>
        </w:rPr>
        <w:t>y completados los documentos que lo respalden, el organismo de control dirimirá administrativamente la controversia, aceptando total o parcialmente el reclamo y ordenando el pago del siniestro en el plazo de 10 días de notificada la resolución, o negándolo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resolución podrá ser impugnada en sede administrativa con arreglo al artículo 70 de la presente Ley.</w:t>
      </w:r>
      <w:r>
        <w:rPr>
          <w:rFonts w:eastAsia="Times New Roman"/>
          <w:sz w:val="30"/>
          <w:szCs w:val="30"/>
          <w:lang w:val="es-ES"/>
        </w:rPr>
        <w:br/>
      </w:r>
      <w:r>
        <w:rPr>
          <w:rFonts w:eastAsia="Times New Roman"/>
          <w:sz w:val="30"/>
          <w:szCs w:val="30"/>
          <w:lang w:val="es-ES"/>
        </w:rPr>
        <w:br/>
        <w:t>El incumplimiento del pago ordenado será causal de liquidación forzosa de la compañía aseguradora. La interposición de acciones o recursos judiciale</w:t>
      </w:r>
      <w:r>
        <w:rPr>
          <w:rFonts w:eastAsia="Times New Roman"/>
          <w:sz w:val="30"/>
          <w:szCs w:val="30"/>
          <w:lang w:val="es-ES"/>
        </w:rPr>
        <w:t>s no suspenderá los efectos de la resolución que ordena el pago.</w:t>
      </w:r>
      <w:r>
        <w:rPr>
          <w:rFonts w:eastAsia="Times New Roman"/>
          <w:sz w:val="30"/>
          <w:szCs w:val="30"/>
          <w:lang w:val="es-ES"/>
        </w:rPr>
        <w:br/>
      </w:r>
      <w:r>
        <w:rPr>
          <w:rFonts w:eastAsia="Times New Roman"/>
          <w:sz w:val="30"/>
          <w:szCs w:val="30"/>
          <w:lang w:val="es-ES"/>
        </w:rPr>
        <w:lastRenderedPageBreak/>
        <w:br/>
        <w:t>En sede judicial, el asegurado cuyo reclamo haya sido negado podrá demandar a la aseguradora ante la justicia ordinaria o recurrir a los procedimientos alternativos de solución de controvers</w:t>
      </w:r>
      <w:r>
        <w:rPr>
          <w:rFonts w:eastAsia="Times New Roman"/>
          <w:sz w:val="30"/>
          <w:szCs w:val="30"/>
          <w:lang w:val="es-ES"/>
        </w:rPr>
        <w:t>ias estipulados en el contrato de seguro. La aseguradora, por su parte, podrá demandar la revocatoria o anulación de la resolución que le obligó al pago de la indemnización, en jurisdicción contencioso administrativa, solamente cuando haya honrado la oblig</w:t>
      </w:r>
      <w:r>
        <w:rPr>
          <w:rFonts w:eastAsia="Times New Roman"/>
          <w:sz w:val="30"/>
          <w:szCs w:val="30"/>
          <w:lang w:val="es-ES"/>
        </w:rPr>
        <w:t xml:space="preserve">ación de pago. En caso de haberse revocado o anulado la resolución, para obtener la restitución de la indemnización pagada, la aseguradora deberá necesariamente también demandar al asegurado o beneficiario que la haya cobrado, quien intervendrá como parte </w:t>
      </w:r>
      <w:r>
        <w:rPr>
          <w:rFonts w:eastAsia="Times New Roman"/>
          <w:sz w:val="30"/>
          <w:szCs w:val="30"/>
          <w:lang w:val="es-ES"/>
        </w:rPr>
        <w:t>en el juicio.</w:t>
      </w:r>
      <w:r>
        <w:rPr>
          <w:rFonts w:eastAsia="Times New Roman"/>
          <w:sz w:val="30"/>
          <w:szCs w:val="30"/>
          <w:lang w:val="es-ES"/>
        </w:rPr>
        <w:br/>
      </w:r>
      <w:r>
        <w:rPr>
          <w:rFonts w:eastAsia="Times New Roman"/>
          <w:sz w:val="30"/>
          <w:szCs w:val="30"/>
          <w:lang w:val="es-ES"/>
        </w:rPr>
        <w:br/>
        <w:t>La presentación del reclamo que regula el presente artículo suspende la prescripción de la acción que tiene el asegurado o el beneficiario contra la aseguradora, hasta la notificación de la resolución a la aseguradora.</w:t>
      </w:r>
      <w:r>
        <w:rPr>
          <w:rFonts w:eastAsia="Times New Roman"/>
          <w:sz w:val="30"/>
          <w:szCs w:val="30"/>
          <w:lang w:val="es-ES"/>
        </w:rPr>
        <w:br/>
      </w:r>
      <w:r>
        <w:rPr>
          <w:rFonts w:eastAsia="Times New Roman"/>
          <w:sz w:val="30"/>
          <w:szCs w:val="30"/>
          <w:lang w:val="es-ES"/>
        </w:rPr>
        <w:br/>
        <w:t>Todos los reclamos de</w:t>
      </w:r>
      <w:r>
        <w:rPr>
          <w:rFonts w:eastAsia="Times New Roman"/>
          <w:sz w:val="30"/>
          <w:szCs w:val="30"/>
          <w:lang w:val="es-ES"/>
        </w:rPr>
        <w:t xml:space="preserve"> asegurados contra aseguradoras se sujetarán a las normas precedentes. No les es aplicable, en consecuencia, el procedimiento regulado por la Ley Orgánica de Defensa al Consumidor.</w:t>
      </w:r>
      <w:r>
        <w:rPr>
          <w:rFonts w:eastAsia="Times New Roman"/>
          <w:sz w:val="30"/>
          <w:szCs w:val="30"/>
          <w:lang w:val="es-ES"/>
        </w:rPr>
        <w:br/>
      </w:r>
      <w:r>
        <w:rPr>
          <w:rFonts w:eastAsia="Times New Roman"/>
          <w:sz w:val="30"/>
          <w:szCs w:val="30"/>
          <w:lang w:val="es-ES"/>
        </w:rPr>
        <w:br/>
        <w:t xml:space="preserve">Adicionalmente, tratándose de pólizas de seguros de fiel cumplimiento del </w:t>
      </w:r>
      <w:r>
        <w:rPr>
          <w:rFonts w:eastAsia="Times New Roman"/>
          <w:sz w:val="30"/>
          <w:szCs w:val="30"/>
          <w:lang w:val="es-ES"/>
        </w:rPr>
        <w:t>contrato y de buen uso del anticipo que se contrate en beneficio de las entidades previstas en el artículo 1 de la Ley Orgánica del Sistema Nacional de Contratación Pública, las compañías de seguros deben emitirlas cumpliendo la exigencia de que sean incon</w:t>
      </w:r>
      <w:r>
        <w:rPr>
          <w:rFonts w:eastAsia="Times New Roman"/>
          <w:sz w:val="30"/>
          <w:szCs w:val="30"/>
          <w:lang w:val="es-ES"/>
        </w:rPr>
        <w:t>dicionales, irrevocables y de cobro inmediato, por lo que tienen la obligación de pagar el valor del seguro contratado, dentro del plazo de diez (10) días siguientes al pedido por escrito en que el asegurado o el beneficiario le requieran la ejecución.</w:t>
      </w:r>
      <w:r>
        <w:rPr>
          <w:rFonts w:eastAsia="Times New Roman"/>
          <w:sz w:val="30"/>
          <w:szCs w:val="30"/>
          <w:lang w:val="es-ES"/>
        </w:rPr>
        <w:br/>
      </w:r>
      <w:r>
        <w:rPr>
          <w:rFonts w:eastAsia="Times New Roman"/>
          <w:sz w:val="30"/>
          <w:szCs w:val="30"/>
          <w:lang w:val="es-ES"/>
        </w:rPr>
        <w:br/>
        <w:t>Qu</w:t>
      </w:r>
      <w:r>
        <w:rPr>
          <w:rFonts w:eastAsia="Times New Roman"/>
          <w:sz w:val="30"/>
          <w:szCs w:val="30"/>
          <w:lang w:val="es-ES"/>
        </w:rPr>
        <w:t>eda prohibido a las compañías aseguradoras en el caso de las mencionadas pólizas giradas en beneficio de las entidades previstas en el artículo 1 de la Ley Orgánica del Sistema Nacional de Contratación Pública, exigir al asegurado para el pago de la garant</w:t>
      </w:r>
      <w:r>
        <w:rPr>
          <w:rFonts w:eastAsia="Times New Roman"/>
          <w:sz w:val="30"/>
          <w:szCs w:val="30"/>
          <w:lang w:val="es-ES"/>
        </w:rPr>
        <w:t>ía, documentación adicional o el cumplimiento de trámite administrativo alguno, que no fuere el previsto en dicha ley y en su reglamento. Cualquier cláusula en contrario, se entenderá como no escrita.</w:t>
      </w:r>
      <w:r>
        <w:rPr>
          <w:rFonts w:eastAsia="Times New Roman"/>
          <w:sz w:val="30"/>
          <w:szCs w:val="30"/>
          <w:lang w:val="es-ES"/>
        </w:rPr>
        <w:br/>
      </w:r>
      <w:r>
        <w:rPr>
          <w:rFonts w:eastAsia="Times New Roman"/>
          <w:sz w:val="30"/>
          <w:szCs w:val="30"/>
          <w:lang w:val="es-ES"/>
        </w:rPr>
        <w:lastRenderedPageBreak/>
        <w:br/>
        <w:t>El incumplimiento de estas disposiciones dará lugar, a</w:t>
      </w:r>
      <w:r>
        <w:rPr>
          <w:rFonts w:eastAsia="Times New Roman"/>
          <w:sz w:val="30"/>
          <w:szCs w:val="30"/>
          <w:lang w:val="es-ES"/>
        </w:rPr>
        <w:t>simismo, a la liquidación forzosa de la compañía de seguros??;</w:t>
      </w:r>
      <w:r>
        <w:rPr>
          <w:rFonts w:eastAsia="Times New Roman"/>
          <w:sz w:val="30"/>
          <w:szCs w:val="30"/>
          <w:lang w:val="es-ES"/>
        </w:rPr>
        <w:br/>
      </w:r>
      <w:r>
        <w:rPr>
          <w:rFonts w:eastAsia="Times New Roman"/>
          <w:sz w:val="30"/>
          <w:szCs w:val="30"/>
          <w:lang w:val="es-ES"/>
        </w:rPr>
        <w:br/>
        <w:t>16. Sustitúyase el título del Capítulo XI por el siguiente."De la regularización y la intervención";</w:t>
      </w:r>
      <w:r>
        <w:rPr>
          <w:rFonts w:eastAsia="Times New Roman"/>
          <w:sz w:val="30"/>
          <w:szCs w:val="30"/>
          <w:lang w:val="es-ES"/>
        </w:rPr>
        <w:br/>
      </w:r>
      <w:r>
        <w:rPr>
          <w:rFonts w:eastAsia="Times New Roman"/>
          <w:sz w:val="30"/>
          <w:szCs w:val="30"/>
          <w:lang w:val="es-ES"/>
        </w:rPr>
        <w:br/>
        <w:t>17. Agréguese el siguiente artículo innumerado a continuación del artículo 53: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 .-</w:t>
      </w:r>
      <w:r>
        <w:rPr>
          <w:rFonts w:eastAsia="Times New Roman"/>
          <w:b/>
          <w:bCs/>
          <w:sz w:val="30"/>
          <w:szCs w:val="30"/>
          <w:lang w:val="es-ES"/>
        </w:rPr>
        <w:t xml:space="preserve"> </w:t>
      </w:r>
      <w:r>
        <w:rPr>
          <w:rFonts w:eastAsia="Times New Roman"/>
          <w:sz w:val="30"/>
          <w:szCs w:val="30"/>
          <w:lang w:val="es-ES"/>
        </w:rPr>
        <w:t>El Superintendente podrá ordenar la intervención de las empresas sujetas a su control y vigilancia según esta Ley, con arreglo a las normas de la sección XI y conexas de la Ley de Compañías."</w:t>
      </w:r>
      <w:r>
        <w:rPr>
          <w:rFonts w:eastAsia="Times New Roman"/>
          <w:sz w:val="30"/>
          <w:szCs w:val="30"/>
          <w:lang w:val="es-ES"/>
        </w:rPr>
        <w:br/>
      </w:r>
      <w:r>
        <w:rPr>
          <w:rFonts w:eastAsia="Times New Roman"/>
          <w:sz w:val="30"/>
          <w:szCs w:val="30"/>
          <w:lang w:val="es-ES"/>
        </w:rPr>
        <w:br/>
        <w:t>18. Como último inciso del artículo 60, inclúyase el siguiente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"A partir de la liquidación, se consideran de plazo vencido y son exigibles las operaciones activas con personas vinculadas a la entidad, sin necesidad de requerimiento. En caso de falta de pago, el liquidador cobrará la obligación mediante coactiva, pu</w:t>
      </w:r>
      <w:r>
        <w:rPr>
          <w:rFonts w:eastAsia="Times New Roman"/>
          <w:sz w:val="30"/>
          <w:szCs w:val="30"/>
          <w:lang w:val="es-ES"/>
        </w:rPr>
        <w:t>diendo sujetarse a los principios y procedimientos de la Ley de Defensa de los Derechos Laborales.</w:t>
      </w:r>
      <w:r>
        <w:rPr>
          <w:rFonts w:eastAsia="Times New Roman"/>
          <w:sz w:val="30"/>
          <w:szCs w:val="30"/>
          <w:lang w:val="es-ES"/>
        </w:rPr>
        <w:br/>
      </w:r>
      <w:r>
        <w:rPr>
          <w:rFonts w:eastAsia="Times New Roman"/>
          <w:sz w:val="30"/>
          <w:szCs w:val="30"/>
          <w:lang w:val="es-ES"/>
        </w:rPr>
        <w:br/>
        <w:t>En relación a las operaciones pasivas vinculadas, no serán exigibles sino luego de pagados todos los demás acreedores determinados en el artículo 62. Será i</w:t>
      </w:r>
      <w:r>
        <w:rPr>
          <w:rFonts w:eastAsia="Times New Roman"/>
          <w:sz w:val="30"/>
          <w:szCs w:val="30"/>
          <w:lang w:val="es-ES"/>
        </w:rPr>
        <w:t>neficaz toda decisión administrativa o judicial que vulnere este principio."</w:t>
      </w:r>
      <w:r>
        <w:rPr>
          <w:rFonts w:eastAsia="Times New Roman"/>
          <w:sz w:val="30"/>
          <w:szCs w:val="30"/>
          <w:lang w:val="es-ES"/>
        </w:rPr>
        <w:br/>
      </w:r>
      <w:r>
        <w:rPr>
          <w:rFonts w:eastAsia="Times New Roman"/>
          <w:sz w:val="30"/>
          <w:szCs w:val="30"/>
          <w:lang w:val="es-ES"/>
        </w:rPr>
        <w:br/>
        <w:t>19. Agréguese como último inciso en el artículo 64 el siguiente:</w:t>
      </w:r>
      <w:r>
        <w:rPr>
          <w:rFonts w:eastAsia="Times New Roman"/>
          <w:sz w:val="30"/>
          <w:szCs w:val="30"/>
          <w:lang w:val="es-ES"/>
        </w:rPr>
        <w:br/>
      </w:r>
      <w:r>
        <w:rPr>
          <w:rFonts w:eastAsia="Times New Roman"/>
          <w:sz w:val="30"/>
          <w:szCs w:val="30"/>
          <w:lang w:val="es-ES"/>
        </w:rPr>
        <w:br/>
        <w:t>"Con la finalidad de concluir los procesos de liquidación, el Superintendente de acuerdo con las normas que dict</w:t>
      </w:r>
      <w:r>
        <w:rPr>
          <w:rFonts w:eastAsia="Times New Roman"/>
          <w:sz w:val="30"/>
          <w:szCs w:val="30"/>
          <w:lang w:val="es-ES"/>
        </w:rPr>
        <w:t>e la Junta podrá autorizar o disponer que los activos y pasivos de entidades que se encuentren en liquidación, sean aportados temporal o irrevocablemente a un fideicomiso de modo que puedan ser administrados conjuntamente los activos y pasivos provenientes</w:t>
      </w:r>
      <w:r>
        <w:rPr>
          <w:rFonts w:eastAsia="Times New Roman"/>
          <w:sz w:val="30"/>
          <w:szCs w:val="30"/>
          <w:lang w:val="es-ES"/>
        </w:rPr>
        <w:t xml:space="preserve"> de dichas entidades, con el encargo de cumplir con el pago de obligaciones en la medida que se realicen los activos. La Superintendencia continuará ejerciendo la jurisdicción coactiva por cuenta del fideicomiso, a fin de que lo que se recaude le sea entre</w:t>
      </w:r>
      <w:r>
        <w:rPr>
          <w:rFonts w:eastAsia="Times New Roman"/>
          <w:sz w:val="30"/>
          <w:szCs w:val="30"/>
          <w:lang w:val="es-ES"/>
        </w:rPr>
        <w:t xml:space="preserve">gado </w:t>
      </w:r>
      <w:r>
        <w:rPr>
          <w:rFonts w:eastAsia="Times New Roman"/>
          <w:sz w:val="30"/>
          <w:szCs w:val="30"/>
          <w:lang w:val="es-ES"/>
        </w:rPr>
        <w:lastRenderedPageBreak/>
        <w:t>a para cumplir con aquellas obligaciones.";</w:t>
      </w:r>
      <w:r>
        <w:rPr>
          <w:rFonts w:eastAsia="Times New Roman"/>
          <w:sz w:val="30"/>
          <w:szCs w:val="30"/>
          <w:lang w:val="es-ES"/>
        </w:rPr>
        <w:br/>
      </w:r>
      <w:r>
        <w:rPr>
          <w:rFonts w:eastAsia="Times New Roman"/>
          <w:sz w:val="30"/>
          <w:szCs w:val="30"/>
          <w:lang w:val="es-ES"/>
        </w:rPr>
        <w:br/>
        <w:t>20. Agréguese como artículo innumerado a continuación del 65,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w:t>
      </w:r>
      <w:r>
        <w:rPr>
          <w:rFonts w:eastAsia="Times New Roman"/>
          <w:sz w:val="30"/>
          <w:szCs w:val="30"/>
          <w:lang w:val="es-ES"/>
        </w:rPr>
        <w:t>Los representantes legales o convencionales, vocales del directorio, administradores, y accionistas con 12% o más de p</w:t>
      </w:r>
      <w:r>
        <w:rPr>
          <w:rFonts w:eastAsia="Times New Roman"/>
          <w:sz w:val="30"/>
          <w:szCs w:val="30"/>
          <w:lang w:val="es-ES"/>
        </w:rPr>
        <w:t>articipación en el capital, o que ejerzan influencia significativa en la administración, serán responsables personal y pecuniariamente por el déficit que se determine para cubrir los pasivos de la entidad en liquidación. Para el cobro de esta obligación, e</w:t>
      </w:r>
      <w:r>
        <w:rPr>
          <w:rFonts w:eastAsia="Times New Roman"/>
          <w:sz w:val="30"/>
          <w:szCs w:val="30"/>
          <w:lang w:val="es-ES"/>
        </w:rPr>
        <w:t>l Superintendente podrá hacerlo mediante coactiva, previa resolución debidamente motivada cuya impugnación no suspenderá la orden de cobro. "</w:t>
      </w:r>
      <w:r>
        <w:rPr>
          <w:rFonts w:eastAsia="Times New Roman"/>
          <w:sz w:val="30"/>
          <w:szCs w:val="30"/>
          <w:lang w:val="es-ES"/>
        </w:rPr>
        <w:br/>
      </w:r>
      <w:r>
        <w:rPr>
          <w:rFonts w:eastAsia="Times New Roman"/>
          <w:sz w:val="30"/>
          <w:szCs w:val="30"/>
          <w:lang w:val="es-ES"/>
        </w:rPr>
        <w:br/>
        <w:t>21. Sustitúyase el artículo 70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70.- </w:t>
      </w:r>
      <w:r>
        <w:rPr>
          <w:rFonts w:eastAsia="Times New Roman"/>
          <w:sz w:val="30"/>
          <w:szCs w:val="30"/>
          <w:lang w:val="es-ES"/>
        </w:rPr>
        <w:t>De las resoluciones expedidas por el órgano competen</w:t>
      </w:r>
      <w:r>
        <w:rPr>
          <w:rFonts w:eastAsia="Times New Roman"/>
          <w:sz w:val="30"/>
          <w:szCs w:val="30"/>
          <w:lang w:val="es-ES"/>
        </w:rPr>
        <w:t>te de la Superintendencia de Compañías, Valores y Seguros, en el ámbito regulado por la presente Ley, podrá interponerse recurso de apelación ante el Superintendente, en el plazo de diez (10) días contados desde la fecha de notificación de la resolución. L</w:t>
      </w:r>
      <w:r>
        <w:rPr>
          <w:rFonts w:eastAsia="Times New Roman"/>
          <w:sz w:val="30"/>
          <w:szCs w:val="30"/>
          <w:lang w:val="es-ES"/>
        </w:rPr>
        <w:t>a decisión que el Superintendente adopte causará estado, sin perjuicio de las acciones contencioso administrativas, y de lo preceptuado en el artículo 42 esta ley. No procede recurso alguno respecto de lo resuelto por el Superintendente de Compañías, Valor</w:t>
      </w:r>
      <w:r>
        <w:rPr>
          <w:rFonts w:eastAsia="Times New Roman"/>
          <w:sz w:val="30"/>
          <w:szCs w:val="30"/>
          <w:lang w:val="es-ES"/>
        </w:rPr>
        <w:t>es y Seguros, ni en caso de que su pronunciamiento haya sido expedido en primera instancia administrativa.</w:t>
      </w:r>
      <w:r>
        <w:rPr>
          <w:rFonts w:eastAsia="Times New Roman"/>
          <w:sz w:val="30"/>
          <w:szCs w:val="30"/>
          <w:lang w:val="es-ES"/>
        </w:rPr>
        <w:br/>
      </w:r>
      <w:r>
        <w:rPr>
          <w:rFonts w:eastAsia="Times New Roman"/>
          <w:sz w:val="30"/>
          <w:szCs w:val="30"/>
          <w:lang w:val="es-ES"/>
        </w:rPr>
        <w:br/>
        <w:t>Extraordinariamente, mediante revisión, el Superintendente de Compañías, Valores y Seguros podrá revocar o reformar cualquier acto administrativo, s</w:t>
      </w:r>
      <w:r>
        <w:rPr>
          <w:rFonts w:eastAsia="Times New Roman"/>
          <w:sz w:val="30"/>
          <w:szCs w:val="30"/>
          <w:lang w:val="es-ES"/>
        </w:rPr>
        <w:t>ea de oficio o con motivo de la presentación del respectivo recurso, dentro del plazo de un año, que se contará a partir de la notificación de dicho acto.</w:t>
      </w:r>
      <w:r>
        <w:rPr>
          <w:rFonts w:eastAsia="Times New Roman"/>
          <w:sz w:val="30"/>
          <w:szCs w:val="30"/>
          <w:lang w:val="es-ES"/>
        </w:rPr>
        <w:br/>
      </w:r>
      <w:r>
        <w:rPr>
          <w:rFonts w:eastAsia="Times New Roman"/>
          <w:sz w:val="30"/>
          <w:szCs w:val="30"/>
          <w:lang w:val="es-ES"/>
        </w:rPr>
        <w:br/>
        <w:t xml:space="preserve">La revisión solo tendrá lugar si el acto administrativo impugnado hubiere sido dictado con evidente </w:t>
      </w:r>
      <w:r>
        <w:rPr>
          <w:rFonts w:eastAsia="Times New Roman"/>
          <w:sz w:val="30"/>
          <w:szCs w:val="30"/>
          <w:lang w:val="es-ES"/>
        </w:rPr>
        <w:t>error de hecho o de derecho que aparezca de los documentos que figuren en el expediente o de disposiciones legales expresas; o, cuando, con posterioridad, aparecieren documentos de valor trascendental ignorados al expedirse el acto o resolución que se trat</w:t>
      </w:r>
      <w:r>
        <w:rPr>
          <w:rFonts w:eastAsia="Times New Roman"/>
          <w:sz w:val="30"/>
          <w:szCs w:val="30"/>
          <w:lang w:val="es-ES"/>
        </w:rPr>
        <w:t>e.".</w:t>
      </w:r>
      <w:r>
        <w:rPr>
          <w:rFonts w:eastAsia="Times New Roman"/>
          <w:sz w:val="30"/>
          <w:szCs w:val="30"/>
          <w:lang w:val="es-ES"/>
        </w:rPr>
        <w:br/>
      </w:r>
      <w:r>
        <w:rPr>
          <w:rFonts w:eastAsia="Times New Roman"/>
          <w:sz w:val="30"/>
          <w:szCs w:val="30"/>
          <w:lang w:val="es-ES"/>
        </w:rPr>
        <w:lastRenderedPageBreak/>
        <w:br/>
        <w:t>22. Sustitúyase el artículo 62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62.- </w:t>
      </w:r>
      <w:r>
        <w:rPr>
          <w:rFonts w:eastAsia="Times New Roman"/>
          <w:sz w:val="30"/>
          <w:szCs w:val="30"/>
          <w:lang w:val="es-ES"/>
        </w:rPr>
        <w:t>En toda liquidación los pagos se sujetarán al siguiente orden de preferencia:</w:t>
      </w:r>
      <w:r>
        <w:rPr>
          <w:rFonts w:eastAsia="Times New Roman"/>
          <w:sz w:val="30"/>
          <w:szCs w:val="30"/>
          <w:lang w:val="es-ES"/>
        </w:rPr>
        <w:br/>
      </w:r>
      <w:r>
        <w:rPr>
          <w:rFonts w:eastAsia="Times New Roman"/>
          <w:sz w:val="30"/>
          <w:szCs w:val="30"/>
          <w:lang w:val="es-ES"/>
        </w:rPr>
        <w:br/>
        <w:t>1. Las deudas provenientes de vencimientos, siniestros y valores de rescate en el ramo de vida, de conformidad</w:t>
      </w:r>
      <w:r>
        <w:rPr>
          <w:rFonts w:eastAsia="Times New Roman"/>
          <w:sz w:val="30"/>
          <w:szCs w:val="30"/>
          <w:lang w:val="es-ES"/>
        </w:rPr>
        <w:t xml:space="preserve"> con las respectivas pólizas y costas judiciales;</w:t>
      </w:r>
      <w:r>
        <w:rPr>
          <w:rFonts w:eastAsia="Times New Roman"/>
          <w:sz w:val="30"/>
          <w:szCs w:val="30"/>
          <w:lang w:val="es-ES"/>
        </w:rPr>
        <w:br/>
      </w:r>
      <w:r>
        <w:rPr>
          <w:rFonts w:eastAsia="Times New Roman"/>
          <w:sz w:val="30"/>
          <w:szCs w:val="30"/>
          <w:lang w:val="es-ES"/>
        </w:rPr>
        <w:br/>
        <w:t>2. Las obligaciones por siniestros en ramos generales, se considerarán privilegiadas sobre todos los créditos y obligaciones comunes. Esta prelación no afecta a los derechos de los acreedores prendarios so</w:t>
      </w:r>
      <w:r>
        <w:rPr>
          <w:rFonts w:eastAsia="Times New Roman"/>
          <w:sz w:val="30"/>
          <w:szCs w:val="30"/>
          <w:lang w:val="es-ES"/>
        </w:rPr>
        <w:t>bre los bienes empeñados. El Superintendente de Compañías, Seguros y Valores aplicará las disposiciones que al respecto contiene el Código de Procedimiento Civil;</w:t>
      </w:r>
      <w:r>
        <w:rPr>
          <w:rFonts w:eastAsia="Times New Roman"/>
          <w:sz w:val="30"/>
          <w:szCs w:val="30"/>
          <w:lang w:val="es-ES"/>
        </w:rPr>
        <w:br/>
      </w:r>
      <w:r>
        <w:rPr>
          <w:rFonts w:eastAsia="Times New Roman"/>
          <w:sz w:val="30"/>
          <w:szCs w:val="30"/>
          <w:lang w:val="es-ES"/>
        </w:rPr>
        <w:br/>
        <w:t>3. Los valores que se adeuden a los trabajadores por salarios, sueldos, indemnizaciones, fon</w:t>
      </w:r>
      <w:r>
        <w:rPr>
          <w:rFonts w:eastAsia="Times New Roman"/>
          <w:sz w:val="30"/>
          <w:szCs w:val="30"/>
          <w:lang w:val="es-ES"/>
        </w:rPr>
        <w:t>dos de reserva y pensiones jubilares con cargo al empleador, hasta por el monto de las liquidaciones que se practiquen en los términos del Código del Trabajo, y las obligaciones para con el Instituto Ecuatoriano de Seguridad Social derivadas de las relacio</w:t>
      </w:r>
      <w:r>
        <w:rPr>
          <w:rFonts w:eastAsia="Times New Roman"/>
          <w:sz w:val="30"/>
          <w:szCs w:val="30"/>
          <w:lang w:val="es-ES"/>
        </w:rPr>
        <w:t>nes laborales;</w:t>
      </w:r>
      <w:r>
        <w:rPr>
          <w:rFonts w:eastAsia="Times New Roman"/>
          <w:sz w:val="30"/>
          <w:szCs w:val="30"/>
          <w:lang w:val="es-ES"/>
        </w:rPr>
        <w:br/>
      </w:r>
      <w:r>
        <w:rPr>
          <w:rFonts w:eastAsia="Times New Roman"/>
          <w:sz w:val="30"/>
          <w:szCs w:val="30"/>
          <w:lang w:val="es-ES"/>
        </w:rPr>
        <w:br/>
        <w:t>4. Los valores pagados por la Corporación del Seguro de Depósitos, Fondo de Liquidez y Fondo del Seguro Privado; y,</w:t>
      </w:r>
      <w:r>
        <w:rPr>
          <w:rFonts w:eastAsia="Times New Roman"/>
          <w:sz w:val="30"/>
          <w:szCs w:val="30"/>
          <w:lang w:val="es-ES"/>
        </w:rPr>
        <w:br/>
      </w:r>
      <w:r>
        <w:rPr>
          <w:rFonts w:eastAsia="Times New Roman"/>
          <w:sz w:val="30"/>
          <w:szCs w:val="30"/>
          <w:lang w:val="es-ES"/>
        </w:rPr>
        <w:br/>
        <w:t>5. Los impuestos y contribuciones.</w:t>
      </w:r>
      <w:r>
        <w:rPr>
          <w:rFonts w:eastAsia="Times New Roman"/>
          <w:sz w:val="30"/>
          <w:szCs w:val="30"/>
          <w:lang w:val="es-ES"/>
        </w:rPr>
        <w:br/>
      </w:r>
      <w:r>
        <w:rPr>
          <w:rFonts w:eastAsia="Times New Roman"/>
          <w:sz w:val="30"/>
          <w:szCs w:val="30"/>
          <w:lang w:val="es-ES"/>
        </w:rPr>
        <w:br/>
        <w:t>Luego se atenderán los otros créditos de acuerdo con el orden y forma determinados en e</w:t>
      </w:r>
      <w:r>
        <w:rPr>
          <w:rFonts w:eastAsia="Times New Roman"/>
          <w:sz w:val="30"/>
          <w:szCs w:val="30"/>
          <w:lang w:val="es-ES"/>
        </w:rPr>
        <w:t>l Código Civil, en cuanto fueren pertinentes.</w:t>
      </w:r>
      <w:r>
        <w:rPr>
          <w:rFonts w:eastAsia="Times New Roman"/>
          <w:sz w:val="30"/>
          <w:szCs w:val="30"/>
          <w:lang w:val="es-ES"/>
        </w:rPr>
        <w:br/>
      </w:r>
      <w:r>
        <w:rPr>
          <w:rFonts w:eastAsia="Times New Roman"/>
          <w:sz w:val="30"/>
          <w:szCs w:val="30"/>
          <w:lang w:val="es-ES"/>
        </w:rPr>
        <w:br/>
        <w:t>El Superintendente de Compañías, Valores y Seguros podrá ordenar pagos parciales, de acuerdo con los fondos de que disponga la liquidación. "</w:t>
      </w:r>
    </w:p>
    <w:p w:rsidR="00000000" w:rsidRDefault="0018461E">
      <w:pPr>
        <w:divId w:val="1139030308"/>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En la Ley de Mercado de Valores efectúese las sigu</w:t>
      </w:r>
      <w:r>
        <w:rPr>
          <w:rFonts w:eastAsia="Times New Roman"/>
          <w:sz w:val="30"/>
          <w:szCs w:val="30"/>
          <w:lang w:val="es-ES"/>
        </w:rPr>
        <w:t>ientes reformas:</w:t>
      </w:r>
      <w:r>
        <w:rPr>
          <w:rFonts w:eastAsia="Times New Roman"/>
          <w:sz w:val="30"/>
          <w:szCs w:val="30"/>
          <w:lang w:val="es-ES"/>
        </w:rPr>
        <w:br/>
      </w:r>
      <w:r>
        <w:rPr>
          <w:rFonts w:eastAsia="Times New Roman"/>
          <w:sz w:val="30"/>
          <w:szCs w:val="30"/>
          <w:lang w:val="es-ES"/>
        </w:rPr>
        <w:br/>
        <w:t>1. Sustituir en todo el texto de la Ley “Registro del Mercado de Valores” por “Catastro Público del Mercado de Valores”;</w:t>
      </w:r>
      <w:r>
        <w:rPr>
          <w:rFonts w:eastAsia="Times New Roman"/>
          <w:sz w:val="30"/>
          <w:szCs w:val="30"/>
          <w:lang w:val="es-ES"/>
        </w:rPr>
        <w:br/>
      </w:r>
      <w:r>
        <w:rPr>
          <w:rFonts w:eastAsia="Times New Roman"/>
          <w:sz w:val="30"/>
          <w:szCs w:val="30"/>
          <w:lang w:val="es-ES"/>
        </w:rPr>
        <w:lastRenderedPageBreak/>
        <w:br/>
        <w:t>2. Sustituir en todo el texto de la Ley “Junta de Regulación del Mercado de Valores” por “Junta de Política y Regula</w:t>
      </w:r>
      <w:r>
        <w:rPr>
          <w:rFonts w:eastAsia="Times New Roman"/>
          <w:sz w:val="30"/>
          <w:szCs w:val="30"/>
          <w:lang w:val="es-ES"/>
        </w:rPr>
        <w:t>ción Monetaria y Financiera”;</w:t>
      </w:r>
      <w:r>
        <w:rPr>
          <w:rFonts w:eastAsia="Times New Roman"/>
          <w:sz w:val="30"/>
          <w:szCs w:val="30"/>
          <w:lang w:val="es-ES"/>
        </w:rPr>
        <w:br/>
      </w:r>
      <w:r>
        <w:rPr>
          <w:rFonts w:eastAsia="Times New Roman"/>
          <w:sz w:val="30"/>
          <w:szCs w:val="30"/>
          <w:lang w:val="es-ES"/>
        </w:rPr>
        <w:br/>
        <w:t>3. Sustituir en todo el texto de la Ley “Superintendencia de Compañías y Valores” por “Superintendencia de Compañías, Valores y Seguros”;</w:t>
      </w:r>
      <w:r>
        <w:rPr>
          <w:rFonts w:eastAsia="Times New Roman"/>
          <w:sz w:val="30"/>
          <w:szCs w:val="30"/>
          <w:lang w:val="es-ES"/>
        </w:rPr>
        <w:br/>
      </w:r>
      <w:r>
        <w:rPr>
          <w:rFonts w:eastAsia="Times New Roman"/>
          <w:sz w:val="30"/>
          <w:szCs w:val="30"/>
          <w:lang w:val="es-ES"/>
        </w:rPr>
        <w:br/>
        <w:t>4. Sustituir en todo el texto de la Ley “Superintendente de Compañías y Valores” por “</w:t>
      </w:r>
      <w:r>
        <w:rPr>
          <w:rFonts w:eastAsia="Times New Roman"/>
          <w:sz w:val="30"/>
          <w:szCs w:val="30"/>
          <w:lang w:val="es-ES"/>
        </w:rPr>
        <w:t>Superintendente de Compañías, Valores y Seguros”;</w:t>
      </w:r>
      <w:r>
        <w:rPr>
          <w:rFonts w:eastAsia="Times New Roman"/>
          <w:sz w:val="30"/>
          <w:szCs w:val="30"/>
          <w:lang w:val="es-ES"/>
        </w:rPr>
        <w:br/>
      </w:r>
      <w:r>
        <w:rPr>
          <w:rFonts w:eastAsia="Times New Roman"/>
          <w:sz w:val="30"/>
          <w:szCs w:val="30"/>
          <w:lang w:val="es-ES"/>
        </w:rPr>
        <w:br/>
        <w:t>5. En el artículo 2 sustitúyase el ultimo inciso por el siguiente: “Cualquier limitación a la libre negociación y circulación de valores no establecida por Ley, no surtirá efectos jurídicos y se tendrá por</w:t>
      </w:r>
      <w:r>
        <w:rPr>
          <w:rFonts w:eastAsia="Times New Roman"/>
          <w:sz w:val="30"/>
          <w:szCs w:val="30"/>
          <w:lang w:val="es-ES"/>
        </w:rPr>
        <w:t xml:space="preserve"> no escrita. Para la negociación y circulación de los valores emitidos por las entidades e instituciones del sector público se deberá observar en lo que fuere aplicable lo establecido en el Código Orgánico de Planificación y Finanzas Públicas.”;</w:t>
      </w:r>
      <w:r>
        <w:rPr>
          <w:rFonts w:eastAsia="Times New Roman"/>
          <w:sz w:val="30"/>
          <w:szCs w:val="30"/>
          <w:lang w:val="es-ES"/>
        </w:rPr>
        <w:br/>
      </w:r>
      <w:r>
        <w:rPr>
          <w:rFonts w:eastAsia="Times New Roman"/>
          <w:sz w:val="30"/>
          <w:szCs w:val="30"/>
          <w:lang w:val="es-ES"/>
        </w:rPr>
        <w:br/>
        <w:t xml:space="preserve">6. En el </w:t>
      </w:r>
      <w:r>
        <w:rPr>
          <w:rFonts w:eastAsia="Times New Roman"/>
          <w:sz w:val="30"/>
          <w:szCs w:val="30"/>
          <w:lang w:val="es-ES"/>
        </w:rPr>
        <w:t>artículo 4 suprímase el tercer inciso;</w:t>
      </w:r>
      <w:r>
        <w:rPr>
          <w:rFonts w:eastAsia="Times New Roman"/>
          <w:sz w:val="30"/>
          <w:szCs w:val="30"/>
          <w:lang w:val="es-ES"/>
        </w:rPr>
        <w:br/>
      </w:r>
      <w:r>
        <w:rPr>
          <w:rFonts w:eastAsia="Times New Roman"/>
          <w:sz w:val="30"/>
          <w:szCs w:val="30"/>
          <w:lang w:val="es-ES"/>
        </w:rPr>
        <w:br/>
        <w:t>7. Suprímanse los artículos 5, 6, 7 y 8;</w:t>
      </w:r>
      <w:r>
        <w:rPr>
          <w:rFonts w:eastAsia="Times New Roman"/>
          <w:sz w:val="30"/>
          <w:szCs w:val="30"/>
          <w:lang w:val="es-ES"/>
        </w:rPr>
        <w:br/>
      </w:r>
      <w:r>
        <w:rPr>
          <w:rFonts w:eastAsia="Times New Roman"/>
          <w:sz w:val="30"/>
          <w:szCs w:val="30"/>
          <w:lang w:val="es-ES"/>
        </w:rPr>
        <w:br/>
        <w:t>8. En artículo 9 efectúese las siguientes reformas:</w:t>
      </w:r>
      <w:r>
        <w:rPr>
          <w:rFonts w:eastAsia="Times New Roman"/>
          <w:sz w:val="30"/>
          <w:szCs w:val="30"/>
          <w:lang w:val="es-ES"/>
        </w:rPr>
        <w:br/>
      </w:r>
      <w:r>
        <w:rPr>
          <w:rFonts w:eastAsia="Times New Roman"/>
          <w:sz w:val="30"/>
          <w:szCs w:val="30"/>
          <w:lang w:val="es-ES"/>
        </w:rPr>
        <w:br/>
        <w:t>1. En el numeral 12 sustitúyase el texto “el reglamento” por “normas”; y,</w:t>
      </w:r>
      <w:r>
        <w:rPr>
          <w:rFonts w:eastAsia="Times New Roman"/>
          <w:sz w:val="30"/>
          <w:szCs w:val="30"/>
          <w:lang w:val="es-ES"/>
        </w:rPr>
        <w:br/>
      </w:r>
      <w:r>
        <w:rPr>
          <w:rFonts w:eastAsia="Times New Roman"/>
          <w:sz w:val="30"/>
          <w:szCs w:val="30"/>
          <w:lang w:val="es-ES"/>
        </w:rPr>
        <w:br/>
        <w:t>2. Eliminar el numeral 9.</w:t>
      </w:r>
      <w:r>
        <w:rPr>
          <w:rFonts w:eastAsia="Times New Roman"/>
          <w:sz w:val="30"/>
          <w:szCs w:val="30"/>
          <w:lang w:val="es-ES"/>
        </w:rPr>
        <w:br/>
      </w:r>
      <w:r>
        <w:rPr>
          <w:rFonts w:eastAsia="Times New Roman"/>
          <w:sz w:val="30"/>
          <w:szCs w:val="30"/>
          <w:lang w:val="es-ES"/>
        </w:rPr>
        <w:br/>
        <w:t>9. En el artículo 1</w:t>
      </w:r>
      <w:r>
        <w:rPr>
          <w:rFonts w:eastAsia="Times New Roman"/>
          <w:sz w:val="30"/>
          <w:szCs w:val="30"/>
          <w:lang w:val="es-ES"/>
        </w:rPr>
        <w:t>1, sustitúyase el inciso cuarto por el siguiente: “Los valores que se emitan para someterlos a un proceso de oferta pública deben ser desmaterializados. Los valores que emitan las entidades del sector público podrán ser físicos si cuentan con la autorizaci</w:t>
      </w:r>
      <w:r>
        <w:rPr>
          <w:rFonts w:eastAsia="Times New Roman"/>
          <w:sz w:val="30"/>
          <w:szCs w:val="30"/>
          <w:lang w:val="es-ES"/>
        </w:rPr>
        <w:t>ón de la Junta de Regulación Monetaria y Financiera.”;</w:t>
      </w:r>
      <w:r>
        <w:rPr>
          <w:rFonts w:eastAsia="Times New Roman"/>
          <w:sz w:val="30"/>
          <w:szCs w:val="30"/>
          <w:lang w:val="es-ES"/>
        </w:rPr>
        <w:br/>
      </w:r>
      <w:r>
        <w:rPr>
          <w:rFonts w:eastAsia="Times New Roman"/>
          <w:sz w:val="30"/>
          <w:szCs w:val="30"/>
          <w:lang w:val="es-ES"/>
        </w:rPr>
        <w:br/>
        <w:t>10. En el artículo 21, incorpórese el siguiente inciso: “Se exceptúa de la inscripción detallada en el artículo precedente los Títulos del Banco Central del Ecuador TBC.”;</w:t>
      </w:r>
      <w:r>
        <w:rPr>
          <w:rFonts w:eastAsia="Times New Roman"/>
          <w:sz w:val="30"/>
          <w:szCs w:val="30"/>
          <w:lang w:val="es-ES"/>
        </w:rPr>
        <w:br/>
      </w:r>
      <w:r>
        <w:rPr>
          <w:rFonts w:eastAsia="Times New Roman"/>
          <w:sz w:val="30"/>
          <w:szCs w:val="30"/>
          <w:lang w:val="es-ES"/>
        </w:rPr>
        <w:lastRenderedPageBreak/>
        <w:br/>
        <w:t>11. En el artículo 57 elimí</w:t>
      </w:r>
      <w:r>
        <w:rPr>
          <w:rFonts w:eastAsia="Times New Roman"/>
          <w:sz w:val="30"/>
          <w:szCs w:val="30"/>
          <w:lang w:val="es-ES"/>
        </w:rPr>
        <w:t>nese lo siguiente; “y, en el mercado extrabursátil a las normas de carácter general que expida el C.N.V.”</w:t>
      </w:r>
      <w:r>
        <w:rPr>
          <w:rFonts w:eastAsia="Times New Roman"/>
          <w:sz w:val="30"/>
          <w:szCs w:val="30"/>
          <w:lang w:val="es-ES"/>
        </w:rPr>
        <w:br/>
      </w:r>
      <w:r>
        <w:rPr>
          <w:rFonts w:eastAsia="Times New Roman"/>
          <w:sz w:val="30"/>
          <w:szCs w:val="30"/>
          <w:lang w:val="es-ES"/>
        </w:rPr>
        <w:br/>
        <w:t>12. En el artículo 58, numeral 1 sustitúyase: “en el los mercados bursátil y extrabursátil” por “en el mercado bursátil”;</w:t>
      </w:r>
      <w:r>
        <w:rPr>
          <w:rFonts w:eastAsia="Times New Roman"/>
          <w:sz w:val="30"/>
          <w:szCs w:val="30"/>
          <w:lang w:val="es-ES"/>
        </w:rPr>
        <w:br/>
      </w:r>
      <w:r>
        <w:rPr>
          <w:rFonts w:eastAsia="Times New Roman"/>
          <w:sz w:val="30"/>
          <w:szCs w:val="30"/>
          <w:lang w:val="es-ES"/>
        </w:rPr>
        <w:br/>
        <w:t>13. En el artículo 59, num</w:t>
      </w:r>
      <w:r>
        <w:rPr>
          <w:rFonts w:eastAsia="Times New Roman"/>
          <w:sz w:val="30"/>
          <w:szCs w:val="30"/>
          <w:lang w:val="es-ES"/>
        </w:rPr>
        <w:t>eral 3 elimínese lo siguiente: “excepto en los casos previstos en el numeral 5, del artículo 58 de este cuerpo legal o cuando se las efectúe a través de los mecanismos establecidos en esta Ley”</w:t>
      </w:r>
      <w:r>
        <w:rPr>
          <w:rFonts w:eastAsia="Times New Roman"/>
          <w:sz w:val="30"/>
          <w:szCs w:val="30"/>
          <w:lang w:val="es-ES"/>
        </w:rPr>
        <w:br/>
      </w:r>
      <w:r>
        <w:rPr>
          <w:rFonts w:eastAsia="Times New Roman"/>
          <w:sz w:val="30"/>
          <w:szCs w:val="30"/>
          <w:lang w:val="es-ES"/>
        </w:rPr>
        <w:br/>
        <w:t>14. En el tercer artículo innumerado “Constitución de la gara</w:t>
      </w:r>
      <w:r>
        <w:rPr>
          <w:rFonts w:eastAsia="Times New Roman"/>
          <w:sz w:val="30"/>
          <w:szCs w:val="30"/>
          <w:lang w:val="es-ES"/>
        </w:rPr>
        <w:t>ntía” del Capítulo II “De la compensación y liquidación” agregado a continuación del artículo 73 de la Ley de Mercado de Valores, elimínese el cuarto inciso.</w:t>
      </w:r>
      <w:r>
        <w:rPr>
          <w:rFonts w:eastAsia="Times New Roman"/>
          <w:sz w:val="30"/>
          <w:szCs w:val="30"/>
          <w:lang w:val="es-ES"/>
        </w:rPr>
        <w:br/>
      </w:r>
      <w:r>
        <w:rPr>
          <w:rFonts w:eastAsia="Times New Roman"/>
          <w:sz w:val="30"/>
          <w:szCs w:val="30"/>
          <w:lang w:val="es-ES"/>
        </w:rPr>
        <w:br/>
        <w:t>15. En el artículo 76 efectuar las siguientes reformas:</w:t>
      </w:r>
      <w:r>
        <w:rPr>
          <w:rFonts w:eastAsia="Times New Roman"/>
          <w:sz w:val="30"/>
          <w:szCs w:val="30"/>
          <w:lang w:val="es-ES"/>
        </w:rPr>
        <w:br/>
      </w:r>
      <w:r>
        <w:rPr>
          <w:rFonts w:eastAsia="Times New Roman"/>
          <w:sz w:val="30"/>
          <w:szCs w:val="30"/>
          <w:lang w:val="es-ES"/>
        </w:rPr>
        <w:br/>
        <w:t>1. En el literal b) elimínese lo siguien</w:t>
      </w:r>
      <w:r>
        <w:rPr>
          <w:rFonts w:eastAsia="Times New Roman"/>
          <w:sz w:val="30"/>
          <w:szCs w:val="30"/>
          <w:lang w:val="es-ES"/>
        </w:rPr>
        <w:t>te: “Exclusivamente para este tipo de fondos, la administradora podrá fungir como emisor de procesos de titularización.”</w:t>
      </w:r>
      <w:r>
        <w:rPr>
          <w:rFonts w:eastAsia="Times New Roman"/>
          <w:sz w:val="30"/>
          <w:szCs w:val="30"/>
          <w:lang w:val="es-ES"/>
        </w:rPr>
        <w:br/>
      </w:r>
      <w:r>
        <w:rPr>
          <w:rFonts w:eastAsia="Times New Roman"/>
          <w:sz w:val="30"/>
          <w:szCs w:val="30"/>
          <w:lang w:val="es-ES"/>
        </w:rPr>
        <w:br/>
        <w:t>16. En el artículo 79, literal a) a continuación de “fondo colectivo” inclúyase “, cotizado”; y, en el literal b) a continuación de “f</w:t>
      </w:r>
      <w:r>
        <w:rPr>
          <w:rFonts w:eastAsia="Times New Roman"/>
          <w:sz w:val="30"/>
          <w:szCs w:val="30"/>
          <w:lang w:val="es-ES"/>
        </w:rPr>
        <w:t>ondos colectivos” inclúyase “ o de fondos cotizados”;</w:t>
      </w:r>
      <w:r>
        <w:rPr>
          <w:rFonts w:eastAsia="Times New Roman"/>
          <w:sz w:val="30"/>
          <w:szCs w:val="30"/>
          <w:lang w:val="es-ES"/>
        </w:rPr>
        <w:br/>
      </w:r>
      <w:r>
        <w:rPr>
          <w:rFonts w:eastAsia="Times New Roman"/>
          <w:sz w:val="30"/>
          <w:szCs w:val="30"/>
          <w:lang w:val="es-ES"/>
        </w:rPr>
        <w:br/>
        <w:t>17. En el artículo 115 sustitúyase el último inciso por el siguiente: “Para el cumplimiento de su finalidad, el patrimonio autónomo podrá obtener financiamiento de instituciones del sistema financiero,</w:t>
      </w:r>
      <w:r>
        <w:rPr>
          <w:rFonts w:eastAsia="Times New Roman"/>
          <w:sz w:val="30"/>
          <w:szCs w:val="30"/>
          <w:lang w:val="es-ES"/>
        </w:rPr>
        <w:t xml:space="preserve"> mediante la emisión de valores establecidos en esta ley, y a través de otros mecanismos que regule la Junta.”; y,</w:t>
      </w:r>
      <w:r>
        <w:rPr>
          <w:rFonts w:eastAsia="Times New Roman"/>
          <w:sz w:val="30"/>
          <w:szCs w:val="30"/>
          <w:lang w:val="es-ES"/>
        </w:rPr>
        <w:br/>
      </w:r>
      <w:r>
        <w:rPr>
          <w:rFonts w:eastAsia="Times New Roman"/>
          <w:sz w:val="30"/>
          <w:szCs w:val="30"/>
          <w:lang w:val="es-ES"/>
        </w:rPr>
        <w:br/>
        <w:t>18. En el artículo 197 elimínese el último inciso.</w:t>
      </w:r>
    </w:p>
    <w:p w:rsidR="00000000" w:rsidRDefault="0018461E">
      <w:pPr>
        <w:divId w:val="845750086"/>
        <w:rPr>
          <w:rFonts w:eastAsia="Times New Roman"/>
          <w:sz w:val="30"/>
          <w:szCs w:val="30"/>
          <w:lang w:val="es-ES"/>
        </w:rPr>
      </w:pPr>
      <w:r>
        <w:rPr>
          <w:rFonts w:eastAsia="Times New Roman"/>
          <w:b/>
          <w:bCs/>
          <w:sz w:val="30"/>
          <w:szCs w:val="30"/>
          <w:lang w:val="es-ES"/>
        </w:rPr>
        <w:t xml:space="preserve">Décima octava.- </w:t>
      </w:r>
      <w:r>
        <w:rPr>
          <w:rFonts w:eastAsia="Times New Roman"/>
          <w:sz w:val="30"/>
          <w:szCs w:val="30"/>
          <w:lang w:val="es-ES"/>
        </w:rPr>
        <w:t>En la Ley de Seguridad Social, efectúense las siguientes reformas:</w:t>
      </w:r>
      <w:r>
        <w:rPr>
          <w:rFonts w:eastAsia="Times New Roman"/>
          <w:sz w:val="30"/>
          <w:szCs w:val="30"/>
          <w:lang w:val="es-ES"/>
        </w:rPr>
        <w:br/>
      </w:r>
      <w:r>
        <w:rPr>
          <w:rFonts w:eastAsia="Times New Roman"/>
          <w:sz w:val="30"/>
          <w:szCs w:val="30"/>
          <w:lang w:val="es-ES"/>
        </w:rPr>
        <w:br/>
        <w:t>1. Su</w:t>
      </w:r>
      <w:r>
        <w:rPr>
          <w:rFonts w:eastAsia="Times New Roman"/>
          <w:sz w:val="30"/>
          <w:szCs w:val="30"/>
          <w:lang w:val="es-ES"/>
        </w:rPr>
        <w:t xml:space="preserve">stitúyase el artículo 82 por el siguiente: “Art. 82.-RETENCIÓN DE CRÉDITOS DEL IESS y BIESS.-Los créditos a favor del Instituto Ecuatoriano de Seguridad Social y del Banco del Instituto Ecuatoriano </w:t>
      </w:r>
      <w:r>
        <w:rPr>
          <w:rFonts w:eastAsia="Times New Roman"/>
          <w:sz w:val="30"/>
          <w:szCs w:val="30"/>
          <w:lang w:val="es-ES"/>
        </w:rPr>
        <w:lastRenderedPageBreak/>
        <w:t>de Seguridad Social, inclusive los intereses de mora y mul</w:t>
      </w:r>
      <w:r>
        <w:rPr>
          <w:rFonts w:eastAsia="Times New Roman"/>
          <w:sz w:val="30"/>
          <w:szCs w:val="30"/>
          <w:lang w:val="es-ES"/>
        </w:rPr>
        <w:t>tas, se recaudarán mediante retenciones de los sueldos y salarios de los afiliados. A requerimiento de las respectivas instituciones, los patronos y oficiales pagadores se hallan obligados a efectuar las correspondientes retenciones bajo su responsabilidad</w:t>
      </w:r>
      <w:r>
        <w:rPr>
          <w:rFonts w:eastAsia="Times New Roman"/>
          <w:sz w:val="30"/>
          <w:szCs w:val="30"/>
          <w:lang w:val="es-ES"/>
        </w:rPr>
        <w:t xml:space="preserve"> personal.”;</w:t>
      </w:r>
      <w:r>
        <w:rPr>
          <w:rFonts w:eastAsia="Times New Roman"/>
          <w:sz w:val="30"/>
          <w:szCs w:val="30"/>
          <w:lang w:val="es-ES"/>
        </w:rPr>
        <w:br/>
      </w:r>
      <w:r>
        <w:rPr>
          <w:rFonts w:eastAsia="Times New Roman"/>
          <w:sz w:val="30"/>
          <w:szCs w:val="30"/>
          <w:lang w:val="es-ES"/>
        </w:rPr>
        <w:br/>
        <w:t>2. Sustitúyase el último inciso del artículo 306, por el siguiente: La Superintendencia de Bancos, según el artículo 213 de la Constitución, controlará que las actividades económicas y los servicios que brinden las instituciones públicas y pr</w:t>
      </w:r>
      <w:r>
        <w:rPr>
          <w:rFonts w:eastAsia="Times New Roman"/>
          <w:sz w:val="30"/>
          <w:szCs w:val="30"/>
          <w:lang w:val="es-ES"/>
        </w:rPr>
        <w:t>ivadas de seguridad social, incluyendo los fondos complementarios previsionales públicos o privados, atiendan al interés general y se sujeten a las normas legales vigentes.”</w:t>
      </w:r>
    </w:p>
    <w:p w:rsidR="00000000" w:rsidRDefault="0018461E">
      <w:pPr>
        <w:divId w:val="1085805907"/>
        <w:rPr>
          <w:rFonts w:eastAsia="Times New Roman"/>
          <w:sz w:val="30"/>
          <w:szCs w:val="30"/>
          <w:lang w:val="es-ES"/>
        </w:rPr>
      </w:pPr>
      <w:r>
        <w:rPr>
          <w:rFonts w:eastAsia="Times New Roman"/>
          <w:b/>
          <w:bCs/>
          <w:sz w:val="30"/>
          <w:szCs w:val="30"/>
          <w:lang w:val="es-ES"/>
        </w:rPr>
        <w:t xml:space="preserve">Décima novena.- </w:t>
      </w:r>
      <w:r>
        <w:rPr>
          <w:rFonts w:eastAsia="Times New Roman"/>
          <w:sz w:val="30"/>
          <w:szCs w:val="30"/>
          <w:lang w:val="es-ES"/>
        </w:rPr>
        <w:t>En la Ley del Banco del Instituto Ecuatoriano de Seguridad Social,</w:t>
      </w:r>
      <w:r>
        <w:rPr>
          <w:rFonts w:eastAsia="Times New Roman"/>
          <w:sz w:val="30"/>
          <w:szCs w:val="30"/>
          <w:lang w:val="es-ES"/>
        </w:rPr>
        <w:t xml:space="preserve"> efectúense las siguientes reformas:</w:t>
      </w:r>
      <w:r>
        <w:rPr>
          <w:rFonts w:eastAsia="Times New Roman"/>
          <w:sz w:val="30"/>
          <w:szCs w:val="30"/>
          <w:lang w:val="es-ES"/>
        </w:rPr>
        <w:br/>
      </w:r>
      <w:r>
        <w:rPr>
          <w:rFonts w:eastAsia="Times New Roman"/>
          <w:sz w:val="30"/>
          <w:szCs w:val="30"/>
          <w:lang w:val="es-ES"/>
        </w:rPr>
        <w:br/>
        <w:t>1. Sustituir en la ley “Junta Bancaria” por “Junta de Política y Regulación Monetaria y Financiera”;</w:t>
      </w:r>
      <w:r>
        <w:rPr>
          <w:rFonts w:eastAsia="Times New Roman"/>
          <w:sz w:val="30"/>
          <w:szCs w:val="30"/>
          <w:lang w:val="es-ES"/>
        </w:rPr>
        <w:br/>
      </w:r>
      <w:r>
        <w:rPr>
          <w:rFonts w:eastAsia="Times New Roman"/>
          <w:sz w:val="30"/>
          <w:szCs w:val="30"/>
          <w:lang w:val="es-ES"/>
        </w:rPr>
        <w:br/>
        <w:t>2. En los artículos 5, 19, 20 y disposición general cuarta sustitúyase “Superintendencia de Bancos y Seguros” por “S</w:t>
      </w:r>
      <w:r>
        <w:rPr>
          <w:rFonts w:eastAsia="Times New Roman"/>
          <w:sz w:val="30"/>
          <w:szCs w:val="30"/>
          <w:lang w:val="es-ES"/>
        </w:rPr>
        <w:t>uperintendencia de Bancos”.</w:t>
      </w:r>
      <w:r>
        <w:rPr>
          <w:rFonts w:eastAsia="Times New Roman"/>
          <w:sz w:val="30"/>
          <w:szCs w:val="30"/>
          <w:lang w:val="es-ES"/>
        </w:rPr>
        <w:br/>
      </w:r>
      <w:r>
        <w:rPr>
          <w:rFonts w:eastAsia="Times New Roman"/>
          <w:sz w:val="30"/>
          <w:szCs w:val="30"/>
          <w:lang w:val="es-ES"/>
        </w:rPr>
        <w:br/>
        <w:t>3. Sustitúyase el penúltimo inciso del articulo 4 por el siguiente: “La Junta de Política y Regulación Monetaria y Financiera, la Superintendencia de Bancos y la Superintendencia de Compañías, Valores y Seguros, en el ámbito de</w:t>
      </w:r>
      <w:r>
        <w:rPr>
          <w:rFonts w:eastAsia="Times New Roman"/>
          <w:sz w:val="30"/>
          <w:szCs w:val="30"/>
          <w:lang w:val="es-ES"/>
        </w:rPr>
        <w:t xml:space="preserve"> sus competencias determinadas en el Código Orgánico Monetario y Financiero, podrán autorizar al Banco el ejercicio de actividades adicionales a las dispuestas en este artículo.”</w:t>
      </w:r>
      <w:r>
        <w:rPr>
          <w:rFonts w:eastAsia="Times New Roman"/>
          <w:sz w:val="30"/>
          <w:szCs w:val="30"/>
          <w:lang w:val="es-ES"/>
        </w:rPr>
        <w:br/>
      </w:r>
      <w:r>
        <w:rPr>
          <w:rFonts w:eastAsia="Times New Roman"/>
          <w:sz w:val="30"/>
          <w:szCs w:val="30"/>
          <w:lang w:val="es-ES"/>
        </w:rPr>
        <w:br/>
        <w:t>4. Sustitúyase el artículo 8, por el siguiente: “Artículo 8.-</w:t>
      </w:r>
      <w:r>
        <w:rPr>
          <w:rFonts w:eastAsia="Times New Roman"/>
          <w:b/>
          <w:bCs/>
          <w:sz w:val="30"/>
          <w:szCs w:val="30"/>
          <w:lang w:val="es-ES"/>
        </w:rPr>
        <w:t>Del directorio.</w:t>
      </w:r>
      <w:r>
        <w:rPr>
          <w:rFonts w:eastAsia="Times New Roman"/>
          <w:b/>
          <w:bCs/>
          <w:sz w:val="30"/>
          <w:szCs w:val="30"/>
          <w:lang w:val="es-ES"/>
        </w:rPr>
        <w:t xml:space="preserve">- </w:t>
      </w:r>
      <w:r>
        <w:rPr>
          <w:rFonts w:eastAsia="Times New Roman"/>
          <w:sz w:val="30"/>
          <w:szCs w:val="30"/>
          <w:lang w:val="es-ES"/>
        </w:rPr>
        <w:t>El Directorio del Banco del Instituto Ecuatoriano de Seguridad Social, estará conformado por cuatro (4) miembros: como delegado permanente del Presidente de la República estará el Presidente del Consejo Directivo del Instituto Ecuatoriano de Seguridad So</w:t>
      </w:r>
      <w:r>
        <w:rPr>
          <w:rFonts w:eastAsia="Times New Roman"/>
          <w:sz w:val="30"/>
          <w:szCs w:val="30"/>
          <w:lang w:val="es-ES"/>
        </w:rPr>
        <w:t>cial quien lo presidirá y tendrá voto dirimente, el titular de la secretaría de Estado a cargo de la política económica o su delegado, un (1) delegado de los afiliados activos y un (1) delegado de los jubilados o sus suplentes; estos dos últimos elegidos p</w:t>
      </w:r>
      <w:r>
        <w:rPr>
          <w:rFonts w:eastAsia="Times New Roman"/>
          <w:sz w:val="30"/>
          <w:szCs w:val="30"/>
          <w:lang w:val="es-ES"/>
        </w:rPr>
        <w:t xml:space="preserve">or concurso público de oposición y méritos con la dirección y vigilancia del </w:t>
      </w:r>
      <w:r>
        <w:rPr>
          <w:rFonts w:eastAsia="Times New Roman"/>
          <w:sz w:val="30"/>
          <w:szCs w:val="30"/>
          <w:lang w:val="es-ES"/>
        </w:rPr>
        <w:lastRenderedPageBreak/>
        <w:t>Consejo de Participación Ciudadana y Control Social, quienes durarán 4 años en sus funciones desde la fecha de su posesión.</w:t>
      </w:r>
      <w:r>
        <w:rPr>
          <w:rFonts w:eastAsia="Times New Roman"/>
          <w:sz w:val="30"/>
          <w:szCs w:val="30"/>
          <w:lang w:val="es-ES"/>
        </w:rPr>
        <w:br/>
      </w:r>
      <w:r>
        <w:rPr>
          <w:rFonts w:eastAsia="Times New Roman"/>
          <w:sz w:val="30"/>
          <w:szCs w:val="30"/>
          <w:lang w:val="es-ES"/>
        </w:rPr>
        <w:br/>
        <w:t xml:space="preserve">Los miembros principales, delegados y suplentes serán </w:t>
      </w:r>
      <w:r>
        <w:rPr>
          <w:rFonts w:eastAsia="Times New Roman"/>
          <w:sz w:val="30"/>
          <w:szCs w:val="30"/>
          <w:lang w:val="es-ES"/>
        </w:rPr>
        <w:t>calificados en forma previa a su posesión por la Superintendencia de Bancos.”</w:t>
      </w:r>
      <w:r>
        <w:rPr>
          <w:rFonts w:eastAsia="Times New Roman"/>
          <w:sz w:val="30"/>
          <w:szCs w:val="30"/>
          <w:lang w:val="es-ES"/>
        </w:rPr>
        <w:br/>
      </w:r>
      <w:r>
        <w:rPr>
          <w:rFonts w:eastAsia="Times New Roman"/>
          <w:sz w:val="30"/>
          <w:szCs w:val="30"/>
          <w:lang w:val="es-ES"/>
        </w:rPr>
        <w:br/>
        <w:t>5. En el artículo 10 numeral 2, sustitúyase “Superintendencia de Bancos y Seguros” por “Superintendencia de Bancos”; y, en el numeral 4 reemplácese “Superintendencia de Bancos y</w:t>
      </w:r>
      <w:r>
        <w:rPr>
          <w:rFonts w:eastAsia="Times New Roman"/>
          <w:sz w:val="30"/>
          <w:szCs w:val="30"/>
          <w:lang w:val="es-ES"/>
        </w:rPr>
        <w:t xml:space="preserve"> Seguros” por “Junta de Política y Regulación Monetaria y Financiera”;</w:t>
      </w:r>
      <w:r>
        <w:rPr>
          <w:rFonts w:eastAsia="Times New Roman"/>
          <w:sz w:val="30"/>
          <w:szCs w:val="30"/>
          <w:lang w:val="es-ES"/>
        </w:rPr>
        <w:br/>
      </w:r>
      <w:r>
        <w:rPr>
          <w:rFonts w:eastAsia="Times New Roman"/>
          <w:sz w:val="30"/>
          <w:szCs w:val="30"/>
          <w:lang w:val="es-ES"/>
        </w:rPr>
        <w:br/>
        <w:t>6. En el artículo 12, sustitúyase los numerales 1, 4 y 7 por los siguientes: “1. Las establecidas en el Código Orgánico Monetario y Financiero y en la Ley de Mercado de Valores”, “4. S</w:t>
      </w:r>
      <w:r>
        <w:rPr>
          <w:rFonts w:eastAsia="Times New Roman"/>
          <w:sz w:val="30"/>
          <w:szCs w:val="30"/>
          <w:lang w:val="es-ES"/>
        </w:rPr>
        <w:t>olicitar a la Junta de Política y Regulación Monetaria y Financiera, Superintendencia de Bancos y a la Superintendencia de Compañías, Valores y Seguros, la autorización correspondiente para implementar nuevas operaciones” , “7. Nombrar y remover al Gerente</w:t>
      </w:r>
      <w:r>
        <w:rPr>
          <w:rFonts w:eastAsia="Times New Roman"/>
          <w:sz w:val="30"/>
          <w:szCs w:val="30"/>
          <w:lang w:val="es-ES"/>
        </w:rPr>
        <w:t xml:space="preserve"> General y al auditor interno.”; en los numerales 8 y 19 sustitúyase “Superintendencia de Bancos y Seguros” por “Superintendencia de Bancos”; y, en el numeral 18 elimínese: “o cuando éste lo requiera;”;</w:t>
      </w:r>
      <w:r>
        <w:rPr>
          <w:rFonts w:eastAsia="Times New Roman"/>
          <w:sz w:val="30"/>
          <w:szCs w:val="30"/>
          <w:lang w:val="es-ES"/>
        </w:rPr>
        <w:br/>
      </w:r>
      <w:r>
        <w:rPr>
          <w:rFonts w:eastAsia="Times New Roman"/>
          <w:sz w:val="30"/>
          <w:szCs w:val="30"/>
          <w:lang w:val="es-ES"/>
        </w:rPr>
        <w:br/>
        <w:t>7. En el artículo 14, incorpórese como segundo incis</w:t>
      </w:r>
      <w:r>
        <w:rPr>
          <w:rFonts w:eastAsia="Times New Roman"/>
          <w:sz w:val="30"/>
          <w:szCs w:val="30"/>
          <w:lang w:val="es-ES"/>
        </w:rPr>
        <w:t>o lo siguiente: “Los miembros del directorio actuarán únicamente en las sesiones a las cuales sean convocados y participarán en los comités que por normativa sean requeridos.”</w:t>
      </w:r>
      <w:r>
        <w:rPr>
          <w:rFonts w:eastAsia="Times New Roman"/>
          <w:sz w:val="30"/>
          <w:szCs w:val="30"/>
          <w:lang w:val="es-ES"/>
        </w:rPr>
        <w:br/>
      </w:r>
      <w:r>
        <w:rPr>
          <w:rFonts w:eastAsia="Times New Roman"/>
          <w:sz w:val="30"/>
          <w:szCs w:val="30"/>
          <w:lang w:val="es-ES"/>
        </w:rPr>
        <w:br/>
        <w:t xml:space="preserve">8. Sustitúyase el artículo 15 por el siguiente: “Artículo 15.- </w:t>
      </w:r>
      <w:r>
        <w:rPr>
          <w:rFonts w:eastAsia="Times New Roman"/>
          <w:b/>
          <w:bCs/>
          <w:sz w:val="30"/>
          <w:szCs w:val="30"/>
          <w:lang w:val="es-ES"/>
        </w:rPr>
        <w:t xml:space="preserve">Gerente General </w:t>
      </w:r>
      <w:r>
        <w:rPr>
          <w:rFonts w:eastAsia="Times New Roman"/>
          <w:b/>
          <w:bCs/>
          <w:sz w:val="30"/>
          <w:szCs w:val="30"/>
          <w:lang w:val="es-ES"/>
        </w:rPr>
        <w:t xml:space="preserve">del Banco.- </w:t>
      </w:r>
      <w:r>
        <w:rPr>
          <w:rFonts w:eastAsia="Times New Roman"/>
          <w:sz w:val="30"/>
          <w:szCs w:val="30"/>
          <w:lang w:val="es-ES"/>
        </w:rPr>
        <w:t>El Gerente General del Banco será nombrado por el Directorio, El período, las facultades, deberes y funciones serán establecidos en el Estatuto del Banco. El Gerente General actuará con voz sin voto en el Directorio. Antes de entrar en funcione</w:t>
      </w:r>
      <w:r>
        <w:rPr>
          <w:rFonts w:eastAsia="Times New Roman"/>
          <w:sz w:val="30"/>
          <w:szCs w:val="30"/>
          <w:lang w:val="es-ES"/>
        </w:rPr>
        <w:t>s, deberá ser calificado por la Superintendencia de Bancos.”</w:t>
      </w:r>
      <w:r>
        <w:rPr>
          <w:rFonts w:eastAsia="Times New Roman"/>
          <w:sz w:val="30"/>
          <w:szCs w:val="30"/>
          <w:lang w:val="es-ES"/>
        </w:rPr>
        <w:br/>
      </w:r>
      <w:r>
        <w:rPr>
          <w:rFonts w:eastAsia="Times New Roman"/>
          <w:sz w:val="30"/>
          <w:szCs w:val="30"/>
          <w:lang w:val="es-ES"/>
        </w:rPr>
        <w:br/>
        <w:t xml:space="preserve">9. Sustitúyase el artículo 18 por el siguiente: “Articulo 18.- </w:t>
      </w:r>
      <w:r>
        <w:rPr>
          <w:rFonts w:eastAsia="Times New Roman"/>
          <w:b/>
          <w:bCs/>
          <w:sz w:val="30"/>
          <w:szCs w:val="30"/>
          <w:lang w:val="es-ES"/>
        </w:rPr>
        <w:t xml:space="preserve">Control.- </w:t>
      </w:r>
      <w:r>
        <w:rPr>
          <w:rFonts w:eastAsia="Times New Roman"/>
          <w:sz w:val="30"/>
          <w:szCs w:val="30"/>
          <w:lang w:val="es-ES"/>
        </w:rPr>
        <w:t>El Banco estará sometido al control y supervisión de la Superintendencia de Bancos y de la Superintendencia de Compañías,</w:t>
      </w:r>
      <w:r>
        <w:rPr>
          <w:rFonts w:eastAsia="Times New Roman"/>
          <w:sz w:val="30"/>
          <w:szCs w:val="30"/>
          <w:lang w:val="es-ES"/>
        </w:rPr>
        <w:t xml:space="preserve"> Valores y Seguros, de acuerdo con la naturaleza de las actividades detalladas en el artículo 4 de esta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10. Sustitúyase las disposición general segunda por la siguiente: </w:t>
      </w:r>
      <w:r>
        <w:rPr>
          <w:rFonts w:eastAsia="Times New Roman"/>
          <w:b/>
          <w:bCs/>
          <w:sz w:val="30"/>
          <w:szCs w:val="30"/>
          <w:lang w:val="es-ES"/>
        </w:rPr>
        <w:t xml:space="preserve">“SEGUNDA.- </w:t>
      </w:r>
      <w:r>
        <w:rPr>
          <w:rFonts w:eastAsia="Times New Roman"/>
          <w:sz w:val="30"/>
          <w:szCs w:val="30"/>
          <w:lang w:val="es-ES"/>
        </w:rPr>
        <w:t>Los recursos de los fondos previsionales públicos del Instituto Ecua</w:t>
      </w:r>
      <w:r>
        <w:rPr>
          <w:rFonts w:eastAsia="Times New Roman"/>
          <w:sz w:val="30"/>
          <w:szCs w:val="30"/>
          <w:lang w:val="es-ES"/>
        </w:rPr>
        <w:t>toriano de Seguridad Social se transferirán al Banco, en la forma y con la periodicidad que establezca la Junta de Política y Regulación Monetaria y Financiera, en las normas que expedirá para el efecto.”</w:t>
      </w:r>
    </w:p>
    <w:p w:rsidR="00000000" w:rsidRDefault="0018461E">
      <w:pPr>
        <w:divId w:val="827021216"/>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 xml:space="preserve">En la Codificación de la Ley de Régimen </w:t>
      </w:r>
      <w:r>
        <w:rPr>
          <w:rFonts w:eastAsia="Times New Roman"/>
          <w:sz w:val="30"/>
          <w:szCs w:val="30"/>
          <w:lang w:val="es-ES"/>
        </w:rPr>
        <w:t>Tributario Interno, efectúense las siguientes reformas:</w:t>
      </w:r>
      <w:r>
        <w:rPr>
          <w:rFonts w:eastAsia="Times New Roman"/>
          <w:sz w:val="30"/>
          <w:szCs w:val="30"/>
          <w:lang w:val="es-ES"/>
        </w:rPr>
        <w:br/>
      </w:r>
      <w:r>
        <w:rPr>
          <w:rFonts w:eastAsia="Times New Roman"/>
          <w:sz w:val="30"/>
          <w:szCs w:val="30"/>
          <w:lang w:val="es-ES"/>
        </w:rPr>
        <w:br/>
        <w:t>1. En el numeral 3 del artículo 10 luego de la frase “crédito tributario” agréguese “,ni las sanciones establecidas por ley”;</w:t>
      </w:r>
      <w:r>
        <w:rPr>
          <w:rFonts w:eastAsia="Times New Roman"/>
          <w:sz w:val="30"/>
          <w:szCs w:val="30"/>
          <w:lang w:val="es-ES"/>
        </w:rPr>
        <w:br/>
      </w:r>
      <w:r>
        <w:rPr>
          <w:rFonts w:eastAsia="Times New Roman"/>
          <w:sz w:val="30"/>
          <w:szCs w:val="30"/>
          <w:lang w:val="es-ES"/>
        </w:rPr>
        <w:br/>
        <w:t xml:space="preserve">2. En el numeral 9 del artículo 10 agréguese el siguiente inciso final: </w:t>
      </w:r>
      <w:r>
        <w:rPr>
          <w:rFonts w:eastAsia="Times New Roman"/>
          <w:sz w:val="30"/>
          <w:szCs w:val="30"/>
          <w:lang w:val="es-ES"/>
        </w:rPr>
        <w:t>“Para el caso de los administradores de las entidades del sistema financiero nacional, sólo serán deducibles las remuneraciones y los beneficios sociales establecidos por ley.”</w:t>
      </w:r>
      <w:r>
        <w:rPr>
          <w:rFonts w:eastAsia="Times New Roman"/>
          <w:sz w:val="30"/>
          <w:szCs w:val="30"/>
          <w:lang w:val="es-ES"/>
        </w:rPr>
        <w:br/>
      </w:r>
      <w:r>
        <w:rPr>
          <w:rFonts w:eastAsia="Times New Roman"/>
          <w:sz w:val="30"/>
          <w:szCs w:val="30"/>
          <w:lang w:val="es-ES"/>
        </w:rPr>
        <w:br/>
        <w:t>3. En el numeral 11 del artículo 10, sustitúyase el siguiente texto:</w:t>
      </w:r>
      <w:r>
        <w:rPr>
          <w:rFonts w:eastAsia="Times New Roman"/>
          <w:sz w:val="30"/>
          <w:szCs w:val="30"/>
          <w:lang w:val="es-ES"/>
        </w:rPr>
        <w:br/>
      </w:r>
      <w:r>
        <w:rPr>
          <w:rFonts w:eastAsia="Times New Roman"/>
          <w:sz w:val="30"/>
          <w:szCs w:val="30"/>
          <w:lang w:val="es-ES"/>
        </w:rPr>
        <w:br/>
        <w:t>“Las pro</w:t>
      </w:r>
      <w:r>
        <w:rPr>
          <w:rFonts w:eastAsia="Times New Roman"/>
          <w:sz w:val="30"/>
          <w:szCs w:val="30"/>
          <w:lang w:val="es-ES"/>
        </w:rPr>
        <w:t>visiones serán deducibles hasta por el monto que la Junta Bancaria, para el Sector Financiero o la Junta de Regulación del Sector Financiero Popular y Solidario, para el Sector Financiero Popular y Solidario, lo establezca.</w:t>
      </w:r>
      <w:r>
        <w:rPr>
          <w:rFonts w:eastAsia="Times New Roman"/>
          <w:sz w:val="30"/>
          <w:szCs w:val="30"/>
          <w:lang w:val="es-ES"/>
        </w:rPr>
        <w:br/>
      </w:r>
      <w:r>
        <w:rPr>
          <w:rFonts w:eastAsia="Times New Roman"/>
          <w:sz w:val="30"/>
          <w:szCs w:val="30"/>
          <w:lang w:val="es-ES"/>
        </w:rPr>
        <w:br/>
        <w:t>Si la Junta Bancaria o la Junta</w:t>
      </w:r>
      <w:r>
        <w:rPr>
          <w:rFonts w:eastAsia="Times New Roman"/>
          <w:sz w:val="30"/>
          <w:szCs w:val="30"/>
          <w:lang w:val="es-ES"/>
        </w:rPr>
        <w:t xml:space="preserve"> de Regulación del Sector Financiero Popular y Solidario, en sus respectivos sectores, estableciera que las provisiones han sido excesivas, podrá ordenar la reversión del excedente; este excedente no será deducible”, por el siguiente: “Las provisiones será</w:t>
      </w:r>
      <w:r>
        <w:rPr>
          <w:rFonts w:eastAsia="Times New Roman"/>
          <w:sz w:val="30"/>
          <w:szCs w:val="30"/>
          <w:lang w:val="es-ES"/>
        </w:rPr>
        <w:t>n deducibles hasta por el monto que la Junta de Política y Regulación Monetaria y Financiera establezca.”;</w:t>
      </w:r>
      <w:r>
        <w:rPr>
          <w:rFonts w:eastAsia="Times New Roman"/>
          <w:sz w:val="30"/>
          <w:szCs w:val="30"/>
          <w:lang w:val="es-ES"/>
        </w:rPr>
        <w:br/>
      </w:r>
      <w:r>
        <w:rPr>
          <w:rFonts w:eastAsia="Times New Roman"/>
          <w:sz w:val="30"/>
          <w:szCs w:val="30"/>
          <w:lang w:val="es-ES"/>
        </w:rPr>
        <w:br/>
        <w:t>4. En el artículo 41, numeral 2 efectúense las siguientes reformas:</w:t>
      </w:r>
      <w:r>
        <w:rPr>
          <w:rFonts w:eastAsia="Times New Roman"/>
          <w:sz w:val="30"/>
          <w:szCs w:val="30"/>
          <w:lang w:val="es-ES"/>
        </w:rPr>
        <w:br/>
      </w:r>
      <w:r>
        <w:rPr>
          <w:rFonts w:eastAsia="Times New Roman"/>
          <w:sz w:val="30"/>
          <w:szCs w:val="30"/>
          <w:lang w:val="es-ES"/>
        </w:rPr>
        <w:br/>
        <w:t>a) En el literal b) sustitúyase el quinto inciso por el siguiente: “Las socieda</w:t>
      </w:r>
      <w:r>
        <w:rPr>
          <w:rFonts w:eastAsia="Times New Roman"/>
          <w:sz w:val="30"/>
          <w:szCs w:val="30"/>
          <w:lang w:val="es-ES"/>
        </w:rPr>
        <w:t>des, las sucesiones indivisas obligadas a llevar contabilidad y las personas naturales obligadas a llevar contabilidad que obtengan ingresos de actividades agropecuarias o de desarrollo de proyectos inmobiliarios para la vivienda de interés social, no cons</w:t>
      </w:r>
      <w:r>
        <w:rPr>
          <w:rFonts w:eastAsia="Times New Roman"/>
          <w:sz w:val="30"/>
          <w:szCs w:val="30"/>
          <w:lang w:val="es-ES"/>
        </w:rPr>
        <w:t>iderarán en el cálculo del anticipo, exclusivamente en el rubro de activos, el valor de los terrenos sobre los que desarrollen dichas actividades.”; y,</w:t>
      </w:r>
      <w:r>
        <w:rPr>
          <w:rFonts w:eastAsia="Times New Roman"/>
          <w:sz w:val="30"/>
          <w:szCs w:val="30"/>
          <w:lang w:val="es-ES"/>
        </w:rPr>
        <w:br/>
      </w:r>
      <w:r>
        <w:rPr>
          <w:rFonts w:eastAsia="Times New Roman"/>
          <w:sz w:val="30"/>
          <w:szCs w:val="30"/>
          <w:lang w:val="es-ES"/>
        </w:rPr>
        <w:lastRenderedPageBreak/>
        <w:br/>
        <w:t>b) Sustitúyase el literal j) por el siguiente: "Las sociedades, así como las sucesiones indivisas y las</w:t>
      </w:r>
      <w:r>
        <w:rPr>
          <w:rFonts w:eastAsia="Times New Roman"/>
          <w:sz w:val="30"/>
          <w:szCs w:val="30"/>
          <w:lang w:val="es-ES"/>
        </w:rPr>
        <w:t xml:space="preserve"> personas naturales, obligadas a llevar contabilidad, cuyos ingresos se obtengan bajo la modalidad de comisiones o similares, por la comercialización o distribución de bienes y servicios, únicamente para efectos del cálculo del anticipo en esta actividad, </w:t>
      </w:r>
      <w:r>
        <w:rPr>
          <w:rFonts w:eastAsia="Times New Roman"/>
          <w:sz w:val="30"/>
          <w:szCs w:val="30"/>
          <w:lang w:val="es-ES"/>
        </w:rPr>
        <w:t>considerarán como ingreso gravable exclusivamente el valor de las comisiones o similares percibidas directamente, o a través de descuentos o por márgenes establecidos por terceros; y como costos y gastos deducibles, aquellos distintos al costo de los biene</w:t>
      </w:r>
      <w:r>
        <w:rPr>
          <w:rFonts w:eastAsia="Times New Roman"/>
          <w:sz w:val="30"/>
          <w:szCs w:val="30"/>
          <w:lang w:val="es-ES"/>
        </w:rPr>
        <w:t>s o servicios ofertados. Para el resto de operaciones de estos contribuyentes, sí se considerará la totalidad de los ingresos gravables y costos y gastos deducibles, provenientes de estas otras operaciones. En el ejercicio de sus facultades, la Administrac</w:t>
      </w:r>
      <w:r>
        <w:rPr>
          <w:rFonts w:eastAsia="Times New Roman"/>
          <w:sz w:val="30"/>
          <w:szCs w:val="30"/>
          <w:lang w:val="es-ES"/>
        </w:rPr>
        <w:t>ión Tributaria verificará el efectivo cumplimiento de esta disposición."</w:t>
      </w:r>
      <w:r>
        <w:rPr>
          <w:rFonts w:eastAsia="Times New Roman"/>
          <w:sz w:val="30"/>
          <w:szCs w:val="30"/>
          <w:lang w:val="es-ES"/>
        </w:rPr>
        <w:br/>
      </w:r>
      <w:r>
        <w:rPr>
          <w:rFonts w:eastAsia="Times New Roman"/>
          <w:sz w:val="30"/>
          <w:szCs w:val="30"/>
          <w:lang w:val="es-ES"/>
        </w:rPr>
        <w:br/>
        <w:t>5. En el artículo 55 sustitúyase el numeral 16 por el siguiente: “El oro adquirido por el Banco Central del Ecuador en forma directa o por intermedio de agentes económicos públicos y</w:t>
      </w:r>
      <w:r>
        <w:rPr>
          <w:rFonts w:eastAsia="Times New Roman"/>
          <w:sz w:val="30"/>
          <w:szCs w:val="30"/>
          <w:lang w:val="es-ES"/>
        </w:rPr>
        <w:t xml:space="preserve"> privados, debidamente autorizados por el propio Banco.”</w:t>
      </w:r>
      <w:r>
        <w:rPr>
          <w:rFonts w:eastAsia="Times New Roman"/>
          <w:sz w:val="30"/>
          <w:szCs w:val="30"/>
          <w:lang w:val="es-ES"/>
        </w:rPr>
        <w:br/>
      </w:r>
      <w:r>
        <w:rPr>
          <w:rFonts w:eastAsia="Times New Roman"/>
          <w:sz w:val="30"/>
          <w:szCs w:val="30"/>
          <w:lang w:val="es-ES"/>
        </w:rPr>
        <w:br/>
        <w:t>6. Sustitúyase el último inciso del artículo 44 de la Ley Orgánica de Régimen Tributario Interno por el siguiente:</w:t>
      </w:r>
      <w:r>
        <w:rPr>
          <w:rFonts w:eastAsia="Times New Roman"/>
          <w:sz w:val="30"/>
          <w:szCs w:val="30"/>
          <w:lang w:val="es-ES"/>
        </w:rPr>
        <w:br/>
      </w:r>
      <w:r>
        <w:rPr>
          <w:rFonts w:eastAsia="Times New Roman"/>
          <w:sz w:val="30"/>
          <w:szCs w:val="30"/>
          <w:lang w:val="es-ES"/>
        </w:rPr>
        <w:br/>
        <w:t>“Cuando se trate de intereses de cualquier tipo de rendimientos financieros, gener</w:t>
      </w:r>
      <w:r>
        <w:rPr>
          <w:rFonts w:eastAsia="Times New Roman"/>
          <w:sz w:val="30"/>
          <w:szCs w:val="30"/>
          <w:lang w:val="es-ES"/>
        </w:rPr>
        <w:t>ados por operaciones de mutuo y, en general, toda clase de colocaciones de dinero, realizadas por personas que no sean bancos u otros intermediarios financieros, sujetos al control de la Superintendencia de Bancos, la entidad pagadora efectuará la retenció</w:t>
      </w:r>
      <w:r>
        <w:rPr>
          <w:rFonts w:eastAsia="Times New Roman"/>
          <w:sz w:val="30"/>
          <w:szCs w:val="30"/>
          <w:lang w:val="es-ES"/>
        </w:rPr>
        <w:t>n sobre el valor pagado o acreditado en cuenta. Los intereses y rendimientos financieros pagados a bancos y otras entidades sometidas a la vigilancia de las Superintendencias de Bancos y de la Economía Popular y Solidaria, estarán sujetos a retención en la</w:t>
      </w:r>
      <w:r>
        <w:rPr>
          <w:rFonts w:eastAsia="Times New Roman"/>
          <w:sz w:val="30"/>
          <w:szCs w:val="30"/>
          <w:lang w:val="es-ES"/>
        </w:rPr>
        <w:t xml:space="preserve"> fuente, en los porcentajes y a través de los mecanismos que establezca el Servicio de Rentas Internas mediante resolución.”.</w:t>
      </w:r>
    </w:p>
    <w:p w:rsidR="00000000" w:rsidRDefault="0018461E">
      <w:pPr>
        <w:divId w:val="1211528412"/>
        <w:rPr>
          <w:rFonts w:eastAsia="Times New Roman"/>
          <w:sz w:val="30"/>
          <w:szCs w:val="30"/>
          <w:lang w:val="es-ES"/>
        </w:rPr>
      </w:pPr>
      <w:r>
        <w:rPr>
          <w:rFonts w:eastAsia="Times New Roman"/>
          <w:b/>
          <w:bCs/>
          <w:sz w:val="30"/>
          <w:szCs w:val="30"/>
          <w:lang w:val="es-ES"/>
        </w:rPr>
        <w:t xml:space="preserve">Vigésima primera.- </w:t>
      </w:r>
      <w:r>
        <w:rPr>
          <w:rFonts w:eastAsia="Times New Roman"/>
          <w:sz w:val="30"/>
          <w:szCs w:val="30"/>
          <w:lang w:val="es-ES"/>
        </w:rPr>
        <w:t>En la Ley de Creación del Servicio de Rentas Internas, elimínese el artículo 19.</w:t>
      </w:r>
    </w:p>
    <w:p w:rsidR="00000000" w:rsidRDefault="0018461E">
      <w:pPr>
        <w:divId w:val="1170214786"/>
        <w:rPr>
          <w:rFonts w:eastAsia="Times New Roman"/>
          <w:sz w:val="30"/>
          <w:szCs w:val="30"/>
          <w:lang w:val="es-ES"/>
        </w:rPr>
      </w:pPr>
      <w:r>
        <w:rPr>
          <w:rFonts w:eastAsia="Times New Roman"/>
          <w:b/>
          <w:bCs/>
          <w:sz w:val="30"/>
          <w:szCs w:val="30"/>
          <w:lang w:val="es-ES"/>
        </w:rPr>
        <w:t xml:space="preserve">Vigésima segunda.- </w:t>
      </w:r>
      <w:r>
        <w:rPr>
          <w:rFonts w:eastAsia="Times New Roman"/>
          <w:sz w:val="30"/>
          <w:szCs w:val="30"/>
          <w:lang w:val="es-ES"/>
        </w:rPr>
        <w:t>En la Ley d</w:t>
      </w:r>
      <w:r>
        <w:rPr>
          <w:rFonts w:eastAsia="Times New Roman"/>
          <w:sz w:val="30"/>
          <w:szCs w:val="30"/>
          <w:lang w:val="es-ES"/>
        </w:rPr>
        <w:t>e Compañías, efectúense las siguientes reformas: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En el artículo 371, suprímase el primer inciso; y,</w:t>
      </w:r>
      <w:r>
        <w:rPr>
          <w:rFonts w:eastAsia="Times New Roman"/>
          <w:sz w:val="30"/>
          <w:szCs w:val="30"/>
          <w:lang w:val="es-ES"/>
        </w:rPr>
        <w:br/>
      </w:r>
      <w:r>
        <w:rPr>
          <w:rFonts w:eastAsia="Times New Roman"/>
          <w:sz w:val="30"/>
          <w:szCs w:val="30"/>
          <w:lang w:val="es-ES"/>
        </w:rPr>
        <w:br/>
        <w:t>b) Suprímase el artículo 454.</w:t>
      </w:r>
    </w:p>
    <w:p w:rsidR="00000000" w:rsidRDefault="0018461E">
      <w:pPr>
        <w:divId w:val="2036882141"/>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En la Ley de Hidrocarburos, artículo 54, suprímase la siguiente frase: “destinada a promover la invest</w:t>
      </w:r>
      <w:r>
        <w:rPr>
          <w:rFonts w:eastAsia="Times New Roman"/>
          <w:sz w:val="30"/>
          <w:szCs w:val="30"/>
          <w:lang w:val="es-ES"/>
        </w:rPr>
        <w:t>igación, el desarrollo y los servicios científicos y tecnológicos en el campo de los hidrocarburos y, en general de la Minería, por parte del Ministerio del Ramo.”</w:t>
      </w:r>
    </w:p>
    <w:p w:rsidR="00000000" w:rsidRDefault="0018461E">
      <w:pPr>
        <w:divId w:val="1685545816"/>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En la Ley de Minería efectúense las siguientes reformas:</w:t>
      </w:r>
      <w:r>
        <w:rPr>
          <w:rFonts w:eastAsia="Times New Roman"/>
          <w:sz w:val="30"/>
          <w:szCs w:val="30"/>
          <w:lang w:val="es-ES"/>
        </w:rPr>
        <w:br/>
      </w:r>
      <w:r>
        <w:rPr>
          <w:rFonts w:eastAsia="Times New Roman"/>
          <w:sz w:val="30"/>
          <w:szCs w:val="30"/>
          <w:lang w:val="es-ES"/>
        </w:rPr>
        <w:br/>
        <w:t>a) Sustitúyase e</w:t>
      </w:r>
      <w:r>
        <w:rPr>
          <w:rFonts w:eastAsia="Times New Roman"/>
          <w:sz w:val="30"/>
          <w:szCs w:val="30"/>
          <w:lang w:val="es-ES"/>
        </w:rPr>
        <w:t>l artículo 49 por el siguiente: “Art. 49.-Derecho de libre comercialización.- Los titulares de concesiones mineras pueden comercializar libremente su producción dentro o fuera del país. No obstante, en el caso del oro proveniente de la pequeña minería y de</w:t>
      </w:r>
      <w:r>
        <w:rPr>
          <w:rFonts w:eastAsia="Times New Roman"/>
          <w:sz w:val="30"/>
          <w:szCs w:val="30"/>
          <w:lang w:val="es-ES"/>
        </w:rPr>
        <w:t xml:space="preserve"> la minería artesanal, el Banco Central del Ecuador efectuará su comercialización en forma directa o por intermedio de agentes económicos públicos y privados previamente autorizados por el Banco.</w:t>
      </w:r>
      <w:r>
        <w:rPr>
          <w:rFonts w:eastAsia="Times New Roman"/>
          <w:sz w:val="30"/>
          <w:szCs w:val="30"/>
          <w:lang w:val="es-ES"/>
        </w:rPr>
        <w:br/>
      </w:r>
      <w:r>
        <w:rPr>
          <w:rFonts w:eastAsia="Times New Roman"/>
          <w:sz w:val="30"/>
          <w:szCs w:val="30"/>
          <w:lang w:val="es-ES"/>
        </w:rPr>
        <w:br/>
        <w:t>La Junta de Política y Regulación Monetaria y Financiera me</w:t>
      </w:r>
      <w:r>
        <w:rPr>
          <w:rFonts w:eastAsia="Times New Roman"/>
          <w:sz w:val="30"/>
          <w:szCs w:val="30"/>
          <w:lang w:val="es-ES"/>
        </w:rPr>
        <w:t>diante regulación establecerá el derecho preferente de compra de oro por parte del Banco Central del Ecuador a los agentes económicos públicos y privados autorizados por el Banco.”; y,</w:t>
      </w:r>
      <w:r>
        <w:rPr>
          <w:rFonts w:eastAsia="Times New Roman"/>
          <w:sz w:val="30"/>
          <w:szCs w:val="30"/>
          <w:lang w:val="es-ES"/>
        </w:rPr>
        <w:br/>
      </w:r>
      <w:r>
        <w:rPr>
          <w:rFonts w:eastAsia="Times New Roman"/>
          <w:sz w:val="30"/>
          <w:szCs w:val="30"/>
          <w:lang w:val="es-ES"/>
        </w:rPr>
        <w:br/>
        <w:t>b) Sustitúyase el artículo 149 por el siguiente: “Art. 149.-Compras de</w:t>
      </w:r>
      <w:r>
        <w:rPr>
          <w:rFonts w:eastAsia="Times New Roman"/>
          <w:sz w:val="30"/>
          <w:szCs w:val="30"/>
          <w:lang w:val="es-ES"/>
        </w:rPr>
        <w:t xml:space="preserve"> oro.- Las compras de oro efectuadas por el Banco Central del Ecuador en forma directa o indirecta, así como las compras realizadas por agentes económicos públicos y privados debidamente autorizados por el propio Banco, estarán gravadas con impuesto al val</w:t>
      </w:r>
      <w:r>
        <w:rPr>
          <w:rFonts w:eastAsia="Times New Roman"/>
          <w:sz w:val="30"/>
          <w:szCs w:val="30"/>
          <w:lang w:val="es-ES"/>
        </w:rPr>
        <w:t>or agregado tarifa cero.”</w:t>
      </w:r>
    </w:p>
    <w:p w:rsidR="00000000" w:rsidRDefault="0018461E">
      <w:pPr>
        <w:divId w:val="1584489387"/>
        <w:rPr>
          <w:rFonts w:eastAsia="Times New Roman"/>
          <w:sz w:val="30"/>
          <w:szCs w:val="30"/>
          <w:lang w:val="es-ES"/>
        </w:rPr>
      </w:pPr>
      <w:r>
        <w:rPr>
          <w:rFonts w:eastAsia="Times New Roman"/>
          <w:b/>
          <w:bCs/>
          <w:sz w:val="30"/>
          <w:szCs w:val="30"/>
          <w:lang w:val="es-ES"/>
        </w:rPr>
        <w:t xml:space="preserve">Vigésima quinta.- </w:t>
      </w:r>
      <w:r>
        <w:rPr>
          <w:rFonts w:eastAsia="Times New Roman"/>
          <w:sz w:val="30"/>
          <w:szCs w:val="30"/>
          <w:lang w:val="es-ES"/>
        </w:rPr>
        <w:t>En la Ley del Sistema Nacional de Registro de Datos Públicos, artículo 34, suprímase el literal</w:t>
      </w:r>
      <w:r>
        <w:rPr>
          <w:rFonts w:eastAsia="Times New Roman"/>
          <w:sz w:val="30"/>
          <w:szCs w:val="30"/>
          <w:lang w:val="es-ES"/>
        </w:rPr>
        <w:br/>
      </w:r>
      <w:r>
        <w:rPr>
          <w:rFonts w:eastAsia="Times New Roman"/>
          <w:sz w:val="30"/>
          <w:szCs w:val="30"/>
          <w:lang w:val="es-ES"/>
        </w:rPr>
        <w:br/>
        <w:t xml:space="preserve">c) y agréguese la siguiente Disposición General: </w:t>
      </w:r>
      <w:r>
        <w:rPr>
          <w:rFonts w:eastAsia="Times New Roman"/>
          <w:b/>
          <w:bCs/>
          <w:sz w:val="30"/>
          <w:szCs w:val="30"/>
          <w:lang w:val="es-ES"/>
        </w:rPr>
        <w:t xml:space="preserve">“CUARTA: </w:t>
      </w:r>
      <w:r>
        <w:rPr>
          <w:rFonts w:eastAsia="Times New Roman"/>
          <w:sz w:val="30"/>
          <w:szCs w:val="30"/>
          <w:lang w:val="es-ES"/>
        </w:rPr>
        <w:t>Los aranceles que generen y recauden los Registros Mercan</w:t>
      </w:r>
      <w:r>
        <w:rPr>
          <w:rFonts w:eastAsia="Times New Roman"/>
          <w:sz w:val="30"/>
          <w:szCs w:val="30"/>
          <w:lang w:val="es-ES"/>
        </w:rPr>
        <w:t>tiles a nivel nacional, se depositarán en la Cuenta Única del Tesoro Nacional”.</w:t>
      </w:r>
    </w:p>
    <w:p w:rsidR="00000000" w:rsidRDefault="0018461E">
      <w:pPr>
        <w:divId w:val="970986090"/>
        <w:rPr>
          <w:rFonts w:eastAsia="Times New Roman"/>
          <w:sz w:val="30"/>
          <w:szCs w:val="30"/>
          <w:lang w:val="es-ES"/>
        </w:rPr>
      </w:pPr>
      <w:r>
        <w:rPr>
          <w:rFonts w:eastAsia="Times New Roman"/>
          <w:b/>
          <w:bCs/>
          <w:sz w:val="30"/>
          <w:szCs w:val="30"/>
          <w:lang w:val="es-ES"/>
        </w:rPr>
        <w:t xml:space="preserve">Vigésima sexta.- </w:t>
      </w:r>
      <w:r>
        <w:rPr>
          <w:rFonts w:eastAsia="Times New Roman"/>
          <w:sz w:val="30"/>
          <w:szCs w:val="30"/>
          <w:lang w:val="es-ES"/>
        </w:rPr>
        <w:t>En la Ley de Modernización del Estado, Privatizaciones y Prestación de Servicios Públicos por parte de la Iniciativa Privada, elimínese el artículo 39.</w:t>
      </w:r>
    </w:p>
    <w:p w:rsidR="00000000" w:rsidRDefault="0018461E">
      <w:pPr>
        <w:divId w:val="2110815012"/>
        <w:rPr>
          <w:rFonts w:eastAsia="Times New Roman"/>
          <w:sz w:val="30"/>
          <w:szCs w:val="30"/>
          <w:lang w:val="es-ES"/>
        </w:rPr>
      </w:pPr>
      <w:r>
        <w:rPr>
          <w:rFonts w:eastAsia="Times New Roman"/>
          <w:b/>
          <w:bCs/>
          <w:sz w:val="30"/>
          <w:szCs w:val="30"/>
          <w:lang w:val="es-ES"/>
        </w:rPr>
        <w:lastRenderedPageBreak/>
        <w:t>Vigésim</w:t>
      </w:r>
      <w:r>
        <w:rPr>
          <w:rFonts w:eastAsia="Times New Roman"/>
          <w:b/>
          <w:bCs/>
          <w:sz w:val="30"/>
          <w:szCs w:val="30"/>
          <w:lang w:val="es-ES"/>
        </w:rPr>
        <w:t xml:space="preserve">a séptima.- </w:t>
      </w:r>
      <w:r>
        <w:rPr>
          <w:rFonts w:eastAsia="Times New Roman"/>
          <w:sz w:val="30"/>
          <w:szCs w:val="30"/>
          <w:lang w:val="es-ES"/>
        </w:rPr>
        <w:t>En la Ley para la Transformación Económica del Ecuador (Trole I) deróguense los siguientes capítulos: I, II, III, IV, X, XI, XIII y XIV, artículo 99 literales b), c), d), e), f) y j).</w:t>
      </w:r>
    </w:p>
    <w:p w:rsidR="00000000" w:rsidRDefault="0018461E">
      <w:pPr>
        <w:divId w:val="998582951"/>
        <w:rPr>
          <w:rFonts w:eastAsia="Times New Roman"/>
          <w:sz w:val="30"/>
          <w:szCs w:val="30"/>
          <w:lang w:val="es-ES"/>
        </w:rPr>
      </w:pPr>
      <w:r>
        <w:rPr>
          <w:rFonts w:eastAsia="Times New Roman"/>
          <w:b/>
          <w:bCs/>
          <w:sz w:val="30"/>
          <w:szCs w:val="30"/>
          <w:lang w:val="es-ES"/>
        </w:rPr>
        <w:t xml:space="preserve">Vigésima octava.- </w:t>
      </w:r>
      <w:r>
        <w:rPr>
          <w:rFonts w:eastAsia="Times New Roman"/>
          <w:sz w:val="30"/>
          <w:szCs w:val="30"/>
          <w:lang w:val="es-ES"/>
        </w:rPr>
        <w:t>En la Ley para la Promoción de la Inversió</w:t>
      </w:r>
      <w:r>
        <w:rPr>
          <w:rFonts w:eastAsia="Times New Roman"/>
          <w:sz w:val="30"/>
          <w:szCs w:val="30"/>
          <w:lang w:val="es-ES"/>
        </w:rPr>
        <w:t>n y Participación Ciudadana (Trole II) deróguense los siguientes títulos: 2, 4, 14, 15, 16, 17, 18, 19, 20, 21, 25, 26, 27, 28, 29 y 31.</w:t>
      </w:r>
    </w:p>
    <w:p w:rsidR="00000000" w:rsidRDefault="0018461E">
      <w:pPr>
        <w:divId w:val="1668896256"/>
        <w:rPr>
          <w:rFonts w:eastAsia="Times New Roman"/>
          <w:sz w:val="30"/>
          <w:szCs w:val="30"/>
          <w:lang w:val="es-ES"/>
        </w:rPr>
      </w:pPr>
      <w:r>
        <w:rPr>
          <w:rFonts w:eastAsia="Times New Roman"/>
          <w:b/>
          <w:bCs/>
          <w:sz w:val="30"/>
          <w:szCs w:val="30"/>
          <w:lang w:val="es-ES"/>
        </w:rPr>
        <w:t xml:space="preserve">Vigésima novena.- </w:t>
      </w:r>
      <w:r>
        <w:rPr>
          <w:rFonts w:eastAsia="Times New Roman"/>
          <w:sz w:val="30"/>
          <w:szCs w:val="30"/>
          <w:lang w:val="es-ES"/>
        </w:rPr>
        <w:t>En la Ley de Turismo, sustitúyase el literal e del artículo 40 por el siguiente:</w:t>
      </w:r>
      <w:r>
        <w:rPr>
          <w:rFonts w:eastAsia="Times New Roman"/>
          <w:sz w:val="30"/>
          <w:szCs w:val="30"/>
          <w:lang w:val="es-ES"/>
        </w:rPr>
        <w:br/>
      </w:r>
      <w:r>
        <w:rPr>
          <w:rFonts w:eastAsia="Times New Roman"/>
          <w:sz w:val="30"/>
          <w:szCs w:val="30"/>
          <w:lang w:val="es-ES"/>
        </w:rPr>
        <w:br/>
        <w:t>“e) Una tasa por la</w:t>
      </w:r>
      <w:r>
        <w:rPr>
          <w:rFonts w:eastAsia="Times New Roman"/>
          <w:sz w:val="30"/>
          <w:szCs w:val="30"/>
          <w:lang w:val="es-ES"/>
        </w:rPr>
        <w:t xml:space="preserve"> emisión de cada pasaje aéreo para viajar desde el Ecuador hacia cualquier lugar en el extranjero. El valor de esta tasa su regulación y su segmentación será fijada por la Autoridad Nacional de Turismo.”</w:t>
      </w:r>
    </w:p>
    <w:p w:rsidR="00000000" w:rsidRDefault="0018461E">
      <w:pPr>
        <w:divId w:val="1781140983"/>
        <w:rPr>
          <w:rFonts w:eastAsia="Times New Roman"/>
          <w:sz w:val="30"/>
          <w:szCs w:val="30"/>
          <w:lang w:val="es-ES"/>
        </w:rPr>
      </w:pPr>
      <w:r>
        <w:rPr>
          <w:rFonts w:eastAsia="Times New Roman"/>
          <w:b/>
          <w:bCs/>
          <w:sz w:val="30"/>
          <w:szCs w:val="30"/>
          <w:lang w:val="es-ES"/>
        </w:rPr>
        <w:t xml:space="preserve">Trigésima.- </w:t>
      </w:r>
      <w:r>
        <w:rPr>
          <w:rFonts w:eastAsia="Times New Roman"/>
          <w:sz w:val="30"/>
          <w:szCs w:val="30"/>
          <w:lang w:val="es-ES"/>
        </w:rPr>
        <w:t>En la Ley Forestal de Conservación de Ár</w:t>
      </w:r>
      <w:r>
        <w:rPr>
          <w:rFonts w:eastAsia="Times New Roman"/>
          <w:sz w:val="30"/>
          <w:szCs w:val="30"/>
          <w:lang w:val="es-ES"/>
        </w:rPr>
        <w:t>eas Naturales y Vida Silvestre, efectúense las siguientes reformas:</w:t>
      </w:r>
      <w:r>
        <w:rPr>
          <w:rFonts w:eastAsia="Times New Roman"/>
          <w:sz w:val="30"/>
          <w:szCs w:val="30"/>
          <w:lang w:val="es-ES"/>
        </w:rPr>
        <w:br/>
      </w:r>
      <w:r>
        <w:rPr>
          <w:rFonts w:eastAsia="Times New Roman"/>
          <w:sz w:val="30"/>
          <w:szCs w:val="30"/>
          <w:lang w:val="es-ES"/>
        </w:rPr>
        <w:br/>
        <w:t>1. Suprímase el inciso segundo del artículo 1;</w:t>
      </w:r>
      <w:r>
        <w:rPr>
          <w:rFonts w:eastAsia="Times New Roman"/>
          <w:sz w:val="30"/>
          <w:szCs w:val="30"/>
          <w:lang w:val="es-ES"/>
        </w:rPr>
        <w:br/>
      </w:r>
      <w:r>
        <w:rPr>
          <w:rFonts w:eastAsia="Times New Roman"/>
          <w:sz w:val="30"/>
          <w:szCs w:val="30"/>
          <w:lang w:val="es-ES"/>
        </w:rPr>
        <w:br/>
        <w:t>2. Sustitúyase el artículo 76 por el siguiente:</w:t>
      </w:r>
      <w:r>
        <w:rPr>
          <w:rFonts w:eastAsia="Times New Roman"/>
          <w:sz w:val="30"/>
          <w:szCs w:val="30"/>
          <w:lang w:val="es-ES"/>
        </w:rPr>
        <w:br/>
      </w:r>
      <w:r>
        <w:rPr>
          <w:rFonts w:eastAsia="Times New Roman"/>
          <w:sz w:val="30"/>
          <w:szCs w:val="30"/>
          <w:lang w:val="es-ES"/>
        </w:rPr>
        <w:br/>
        <w:t>“Artículo 76.- Para el financiamiento de los programas forestales a cargo del Ministerio d</w:t>
      </w:r>
      <w:r>
        <w:rPr>
          <w:rFonts w:eastAsia="Times New Roman"/>
          <w:sz w:val="30"/>
          <w:szCs w:val="30"/>
          <w:lang w:val="es-ES"/>
        </w:rPr>
        <w:t>el Ambiente, se contará con los siguientes recursos:</w:t>
      </w:r>
      <w:r>
        <w:rPr>
          <w:rFonts w:eastAsia="Times New Roman"/>
          <w:sz w:val="30"/>
          <w:szCs w:val="30"/>
          <w:lang w:val="es-ES"/>
        </w:rPr>
        <w:br/>
      </w:r>
      <w:r>
        <w:rPr>
          <w:rFonts w:eastAsia="Times New Roman"/>
          <w:sz w:val="30"/>
          <w:szCs w:val="30"/>
          <w:lang w:val="es-ES"/>
        </w:rPr>
        <w:br/>
        <w:t>a) La asignación de recursos que constará en el Presupuesto General del Estado;</w:t>
      </w:r>
      <w:r>
        <w:rPr>
          <w:rFonts w:eastAsia="Times New Roman"/>
          <w:sz w:val="30"/>
          <w:szCs w:val="30"/>
          <w:lang w:val="es-ES"/>
        </w:rPr>
        <w:br/>
      </w:r>
      <w:r>
        <w:rPr>
          <w:rFonts w:eastAsia="Times New Roman"/>
          <w:sz w:val="30"/>
          <w:szCs w:val="30"/>
          <w:lang w:val="es-ES"/>
        </w:rPr>
        <w:br/>
        <w:t>b) Los recursos que se recauden por concepto de adjudicación de tierras, bosques, contratos de aprovechamiento forestal y</w:t>
      </w:r>
      <w:r>
        <w:rPr>
          <w:rFonts w:eastAsia="Times New Roman"/>
          <w:sz w:val="30"/>
          <w:szCs w:val="30"/>
          <w:lang w:val="es-ES"/>
        </w:rPr>
        <w:t xml:space="preserve"> de fauna y flora, industrialización, comercialización y otros, conforme a lo dispuesto en la presente Ley. Lo que exceda del financiamiento de los programas forestales ingresará a la Cuenta Única del Tesoro Nacional;</w:t>
      </w:r>
      <w:r>
        <w:rPr>
          <w:rFonts w:eastAsia="Times New Roman"/>
          <w:sz w:val="30"/>
          <w:szCs w:val="30"/>
          <w:lang w:val="es-ES"/>
        </w:rPr>
        <w:br/>
      </w:r>
      <w:r>
        <w:rPr>
          <w:rFonts w:eastAsia="Times New Roman"/>
          <w:sz w:val="30"/>
          <w:szCs w:val="30"/>
          <w:lang w:val="es-ES"/>
        </w:rPr>
        <w:br/>
        <w:t>c) Los ingresos provenientes de multa</w:t>
      </w:r>
      <w:r>
        <w:rPr>
          <w:rFonts w:eastAsia="Times New Roman"/>
          <w:sz w:val="30"/>
          <w:szCs w:val="30"/>
          <w:lang w:val="es-ES"/>
        </w:rPr>
        <w:t>s, decomisos, o indemnizaciones por infracciones a esta Ley;</w:t>
      </w:r>
      <w:r>
        <w:rPr>
          <w:rFonts w:eastAsia="Times New Roman"/>
          <w:sz w:val="30"/>
          <w:szCs w:val="30"/>
          <w:lang w:val="es-ES"/>
        </w:rPr>
        <w:br/>
      </w:r>
      <w:r>
        <w:rPr>
          <w:rFonts w:eastAsia="Times New Roman"/>
          <w:sz w:val="30"/>
          <w:szCs w:val="30"/>
          <w:lang w:val="es-ES"/>
        </w:rPr>
        <w:br/>
        <w:t>d) El producto de la venta de plantas y material vegetativo proveniente de los viveros, así como de otros productos forestales, aprovechados o industrializados por el Ministerio del Ambiente;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w:t>
      </w:r>
      <w:r>
        <w:rPr>
          <w:rFonts w:eastAsia="Times New Roman"/>
          <w:sz w:val="30"/>
          <w:szCs w:val="30"/>
          <w:lang w:val="es-ES"/>
        </w:rPr>
        <w:t>) Los préstamos nacionales o internacionales destinados al desarrollo forestal;</w:t>
      </w:r>
      <w:r>
        <w:rPr>
          <w:rFonts w:eastAsia="Times New Roman"/>
          <w:sz w:val="30"/>
          <w:szCs w:val="30"/>
          <w:lang w:val="es-ES"/>
        </w:rPr>
        <w:br/>
      </w:r>
      <w:r>
        <w:rPr>
          <w:rFonts w:eastAsia="Times New Roman"/>
          <w:sz w:val="30"/>
          <w:szCs w:val="30"/>
          <w:lang w:val="es-ES"/>
        </w:rPr>
        <w:br/>
        <w:t>f) Las contribuciones voluntarias provenientes de cualquier fuente, los legados y donaciones;</w:t>
      </w:r>
      <w:r>
        <w:rPr>
          <w:rFonts w:eastAsia="Times New Roman"/>
          <w:sz w:val="30"/>
          <w:szCs w:val="30"/>
          <w:lang w:val="es-ES"/>
        </w:rPr>
        <w:br/>
      </w:r>
      <w:r>
        <w:rPr>
          <w:rFonts w:eastAsia="Times New Roman"/>
          <w:sz w:val="30"/>
          <w:szCs w:val="30"/>
          <w:lang w:val="es-ES"/>
        </w:rPr>
        <w:br/>
        <w:t>g) Los recursos que se obtengan por la concesión de patentes de operación turíst</w:t>
      </w:r>
      <w:r>
        <w:rPr>
          <w:rFonts w:eastAsia="Times New Roman"/>
          <w:sz w:val="30"/>
          <w:szCs w:val="30"/>
          <w:lang w:val="es-ES"/>
        </w:rPr>
        <w:t>ica en los parques nacionales y otros permisos similares;</w:t>
      </w:r>
      <w:r>
        <w:rPr>
          <w:rFonts w:eastAsia="Times New Roman"/>
          <w:sz w:val="30"/>
          <w:szCs w:val="30"/>
          <w:lang w:val="es-ES"/>
        </w:rPr>
        <w:br/>
      </w:r>
      <w:r>
        <w:rPr>
          <w:rFonts w:eastAsia="Times New Roman"/>
          <w:sz w:val="30"/>
          <w:szCs w:val="30"/>
          <w:lang w:val="es-ES"/>
        </w:rPr>
        <w:br/>
        <w:t>h) El producto de la venta de licencias para la caza, colección y comercialización de la vida silvestre;</w:t>
      </w:r>
      <w:r>
        <w:rPr>
          <w:rFonts w:eastAsia="Times New Roman"/>
          <w:sz w:val="30"/>
          <w:szCs w:val="30"/>
          <w:lang w:val="es-ES"/>
        </w:rPr>
        <w:br/>
      </w:r>
      <w:r>
        <w:rPr>
          <w:rFonts w:eastAsia="Times New Roman"/>
          <w:sz w:val="30"/>
          <w:szCs w:val="30"/>
          <w:lang w:val="es-ES"/>
        </w:rPr>
        <w:br/>
        <w:t>i) Los derechos de ingreso de visitantes a las áreas naturales protegidas;</w:t>
      </w:r>
      <w:r>
        <w:rPr>
          <w:rFonts w:eastAsia="Times New Roman"/>
          <w:sz w:val="30"/>
          <w:szCs w:val="30"/>
          <w:lang w:val="es-ES"/>
        </w:rPr>
        <w:br/>
      </w:r>
      <w:r>
        <w:rPr>
          <w:rFonts w:eastAsia="Times New Roman"/>
          <w:sz w:val="30"/>
          <w:szCs w:val="30"/>
          <w:lang w:val="es-ES"/>
        </w:rPr>
        <w:br/>
        <w:t>j) Los recursos</w:t>
      </w:r>
      <w:r>
        <w:rPr>
          <w:rFonts w:eastAsia="Times New Roman"/>
          <w:sz w:val="30"/>
          <w:szCs w:val="30"/>
          <w:lang w:val="es-ES"/>
        </w:rPr>
        <w:t xml:space="preserve"> provenientes de préstamos internos y externos;</w:t>
      </w:r>
      <w:r>
        <w:rPr>
          <w:rFonts w:eastAsia="Times New Roman"/>
          <w:sz w:val="30"/>
          <w:szCs w:val="30"/>
          <w:lang w:val="es-ES"/>
        </w:rPr>
        <w:br/>
      </w:r>
      <w:r>
        <w:rPr>
          <w:rFonts w:eastAsia="Times New Roman"/>
          <w:sz w:val="30"/>
          <w:szCs w:val="30"/>
          <w:lang w:val="es-ES"/>
        </w:rPr>
        <w:br/>
        <w:t>k) Los legados, donaciones y contribuciones voluntarias a favor del Instituto, así como los fondos generados por la negociación de la deuda externa en favor de la conservación de los recursos naturales;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t>l) Los demás recursos que genere la aplicación de esta Ley.”;</w:t>
      </w:r>
      <w:r>
        <w:rPr>
          <w:rFonts w:eastAsia="Times New Roman"/>
          <w:sz w:val="30"/>
          <w:szCs w:val="30"/>
          <w:lang w:val="es-ES"/>
        </w:rPr>
        <w:br/>
      </w:r>
      <w:r>
        <w:rPr>
          <w:rFonts w:eastAsia="Times New Roman"/>
          <w:sz w:val="30"/>
          <w:szCs w:val="30"/>
          <w:lang w:val="es-ES"/>
        </w:rPr>
        <w:br/>
        <w:t>3. Suprímase el artículo 77; y,</w:t>
      </w:r>
      <w:r>
        <w:rPr>
          <w:rFonts w:eastAsia="Times New Roman"/>
          <w:sz w:val="30"/>
          <w:szCs w:val="30"/>
          <w:lang w:val="es-ES"/>
        </w:rPr>
        <w:br/>
      </w:r>
      <w:r>
        <w:rPr>
          <w:rFonts w:eastAsia="Times New Roman"/>
          <w:sz w:val="30"/>
          <w:szCs w:val="30"/>
          <w:lang w:val="es-ES"/>
        </w:rPr>
        <w:br/>
        <w:t xml:space="preserve">4. Sustitúyase el artículo 97 por el siguiente: </w:t>
      </w:r>
      <w:r>
        <w:rPr>
          <w:rFonts w:eastAsia="Times New Roman"/>
          <w:b/>
          <w:bCs/>
          <w:sz w:val="30"/>
          <w:szCs w:val="30"/>
          <w:lang w:val="es-ES"/>
        </w:rPr>
        <w:t>“</w:t>
      </w:r>
      <w:r>
        <w:rPr>
          <w:rFonts w:eastAsia="Times New Roman"/>
          <w:sz w:val="30"/>
          <w:szCs w:val="30"/>
          <w:lang w:val="es-ES"/>
        </w:rPr>
        <w:t>Art. 97.-Los productos forestales decomisados serán vendidos por la propia autoridad sancionadora inmediatament</w:t>
      </w:r>
      <w:r>
        <w:rPr>
          <w:rFonts w:eastAsia="Times New Roman"/>
          <w:sz w:val="30"/>
          <w:szCs w:val="30"/>
          <w:lang w:val="es-ES"/>
        </w:rPr>
        <w:t>e después de dictada la resolución de primera instancia, bajo su personal responsabilidad. El valor de la venta del decomiso será depositado en la Cuenta Única del Tesoro Nacional. El medio de transporte utilizado para estos fines, será retenido hasta la f</w:t>
      </w:r>
      <w:r>
        <w:rPr>
          <w:rFonts w:eastAsia="Times New Roman"/>
          <w:sz w:val="30"/>
          <w:szCs w:val="30"/>
          <w:lang w:val="es-ES"/>
        </w:rPr>
        <w:t>inalización del procedimiento administrativo o judicial sobre el producto forestal.”</w:t>
      </w:r>
    </w:p>
    <w:p w:rsidR="00000000" w:rsidRDefault="0018461E">
      <w:pPr>
        <w:divId w:val="1284921531"/>
        <w:rPr>
          <w:rFonts w:eastAsia="Times New Roman"/>
          <w:sz w:val="30"/>
          <w:szCs w:val="30"/>
          <w:lang w:val="es-ES"/>
        </w:rPr>
      </w:pPr>
      <w:r>
        <w:rPr>
          <w:rFonts w:eastAsia="Times New Roman"/>
          <w:b/>
          <w:bCs/>
          <w:sz w:val="30"/>
          <w:szCs w:val="30"/>
          <w:lang w:val="es-ES"/>
        </w:rPr>
        <w:t xml:space="preserve">Trigésima primera.- </w:t>
      </w:r>
      <w:r>
        <w:rPr>
          <w:rFonts w:eastAsia="Times New Roman"/>
          <w:sz w:val="30"/>
          <w:szCs w:val="30"/>
          <w:lang w:val="es-ES"/>
        </w:rPr>
        <w:t>En la Ley de Sustancias Estupefacientes y Psicotrópicas, efectúense las siguientes reformas:</w:t>
      </w:r>
      <w:r>
        <w:rPr>
          <w:rFonts w:eastAsia="Times New Roman"/>
          <w:sz w:val="30"/>
          <w:szCs w:val="30"/>
          <w:lang w:val="es-ES"/>
        </w:rPr>
        <w:br/>
      </w:r>
      <w:r>
        <w:rPr>
          <w:rFonts w:eastAsia="Times New Roman"/>
          <w:sz w:val="30"/>
          <w:szCs w:val="30"/>
          <w:lang w:val="es-ES"/>
        </w:rPr>
        <w:br/>
        <w:t>1. Suprímase el numeral 3 del artículo 9; y,</w:t>
      </w:r>
      <w:r>
        <w:rPr>
          <w:rFonts w:eastAsia="Times New Roman"/>
          <w:sz w:val="30"/>
          <w:szCs w:val="30"/>
          <w:lang w:val="es-ES"/>
        </w:rPr>
        <w:br/>
      </w:r>
      <w:r>
        <w:rPr>
          <w:rFonts w:eastAsia="Times New Roman"/>
          <w:sz w:val="30"/>
          <w:szCs w:val="30"/>
          <w:lang w:val="es-ES"/>
        </w:rPr>
        <w:br/>
        <w:t>2. Sustitúy</w:t>
      </w:r>
      <w:r>
        <w:rPr>
          <w:rFonts w:eastAsia="Times New Roman"/>
          <w:sz w:val="30"/>
          <w:szCs w:val="30"/>
          <w:lang w:val="es-ES"/>
        </w:rPr>
        <w:t xml:space="preserve">ase el artículo 10 por el siguiente: </w:t>
      </w:r>
      <w:r>
        <w:rPr>
          <w:rFonts w:eastAsia="Times New Roman"/>
          <w:b/>
          <w:bCs/>
          <w:sz w:val="30"/>
          <w:szCs w:val="30"/>
          <w:lang w:val="es-ES"/>
        </w:rPr>
        <w:t xml:space="preserve">“Artículo 10.- </w:t>
      </w:r>
      <w:r>
        <w:rPr>
          <w:rFonts w:eastAsia="Times New Roman"/>
          <w:sz w:val="30"/>
          <w:szCs w:val="30"/>
          <w:lang w:val="es-ES"/>
        </w:rPr>
        <w:t xml:space="preserve">Destino </w:t>
      </w:r>
      <w:r>
        <w:rPr>
          <w:rFonts w:eastAsia="Times New Roman"/>
          <w:sz w:val="30"/>
          <w:szCs w:val="30"/>
          <w:lang w:val="es-ES"/>
        </w:rPr>
        <w:lastRenderedPageBreak/>
        <w:t>de las multas.- Los recursos que se recaudaren por las multas impuestas por infracciones a esta Ley, serán depositadas de manera mensual a la Cuenta Única del Tesoro Nacional.”</w:t>
      </w:r>
    </w:p>
    <w:p w:rsidR="00000000" w:rsidRDefault="0018461E">
      <w:pPr>
        <w:divId w:val="855071822"/>
        <w:rPr>
          <w:rFonts w:eastAsia="Times New Roman"/>
          <w:sz w:val="30"/>
          <w:szCs w:val="30"/>
          <w:lang w:val="es-ES"/>
        </w:rPr>
      </w:pPr>
      <w:r>
        <w:rPr>
          <w:rFonts w:eastAsia="Times New Roman"/>
          <w:b/>
          <w:bCs/>
          <w:sz w:val="30"/>
          <w:szCs w:val="30"/>
          <w:lang w:val="es-ES"/>
        </w:rPr>
        <w:t>Trigésima segunda.-</w:t>
      </w:r>
      <w:r>
        <w:rPr>
          <w:rFonts w:eastAsia="Times New Roman"/>
          <w:b/>
          <w:bCs/>
          <w:sz w:val="30"/>
          <w:szCs w:val="30"/>
          <w:lang w:val="es-ES"/>
        </w:rPr>
        <w:t xml:space="preserve"> </w:t>
      </w:r>
      <w:r>
        <w:rPr>
          <w:rFonts w:eastAsia="Times New Roman"/>
          <w:sz w:val="30"/>
          <w:szCs w:val="30"/>
          <w:lang w:val="es-ES"/>
        </w:rPr>
        <w:t>En la Ley de Prevención, Detección y Erradicación del Delito de Lavado de Activos y del Financiamiento de Delitos, efectúense las siguientes reformas:</w:t>
      </w:r>
      <w:r>
        <w:rPr>
          <w:rFonts w:eastAsia="Times New Roman"/>
          <w:sz w:val="30"/>
          <w:szCs w:val="30"/>
          <w:lang w:val="es-ES"/>
        </w:rPr>
        <w:br/>
      </w:r>
      <w:r>
        <w:rPr>
          <w:rFonts w:eastAsia="Times New Roman"/>
          <w:sz w:val="30"/>
          <w:szCs w:val="30"/>
          <w:lang w:val="es-ES"/>
        </w:rPr>
        <w:br/>
        <w:t>1. Suprímase el literal f) del artículo 6; y,</w:t>
      </w:r>
      <w:r>
        <w:rPr>
          <w:rFonts w:eastAsia="Times New Roman"/>
          <w:sz w:val="30"/>
          <w:szCs w:val="30"/>
          <w:lang w:val="es-ES"/>
        </w:rPr>
        <w:br/>
      </w:r>
      <w:r>
        <w:rPr>
          <w:rFonts w:eastAsia="Times New Roman"/>
          <w:sz w:val="30"/>
          <w:szCs w:val="30"/>
          <w:lang w:val="es-ES"/>
        </w:rPr>
        <w:br/>
        <w:t>2. Incorpórese como disposición general octava la siguie</w:t>
      </w:r>
      <w:r>
        <w:rPr>
          <w:rFonts w:eastAsia="Times New Roman"/>
          <w:sz w:val="30"/>
          <w:szCs w:val="30"/>
          <w:lang w:val="es-ES"/>
        </w:rPr>
        <w:t>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“OCTAVA.- </w:t>
      </w:r>
      <w:r>
        <w:rPr>
          <w:rFonts w:eastAsia="Times New Roman"/>
          <w:sz w:val="30"/>
          <w:szCs w:val="30"/>
          <w:lang w:val="es-ES"/>
        </w:rPr>
        <w:t>Los recursos que se recaudaren por las multas impuestas por infracciones a esta Ley, serán depositados en la Cuenta Única del Tesoro Nacional.”.</w:t>
      </w:r>
    </w:p>
    <w:p w:rsidR="00000000" w:rsidRDefault="0018461E">
      <w:pPr>
        <w:divId w:val="938607295"/>
        <w:rPr>
          <w:rFonts w:eastAsia="Times New Roman"/>
          <w:sz w:val="30"/>
          <w:szCs w:val="30"/>
          <w:lang w:val="es-ES"/>
        </w:rPr>
      </w:pPr>
      <w:r>
        <w:rPr>
          <w:rFonts w:eastAsia="Times New Roman"/>
          <w:b/>
          <w:bCs/>
          <w:sz w:val="30"/>
          <w:szCs w:val="30"/>
          <w:lang w:val="es-ES"/>
        </w:rPr>
        <w:t xml:space="preserve">Trigésima tercera.- </w:t>
      </w:r>
      <w:r>
        <w:rPr>
          <w:rFonts w:eastAsia="Times New Roman"/>
          <w:sz w:val="30"/>
          <w:szCs w:val="30"/>
          <w:lang w:val="es-ES"/>
        </w:rPr>
        <w:t>En la Ley de Creación y Funcionamiento del Servicio Ecuatoriano de Capacita</w:t>
      </w:r>
      <w:r>
        <w:rPr>
          <w:rFonts w:eastAsia="Times New Roman"/>
          <w:sz w:val="30"/>
          <w:szCs w:val="30"/>
          <w:lang w:val="es-ES"/>
        </w:rPr>
        <w:t>ción Profesional SECAP, artículo 14, elimínense los literales a) y b).</w:t>
      </w:r>
    </w:p>
    <w:p w:rsidR="00000000" w:rsidRDefault="0018461E">
      <w:pPr>
        <w:divId w:val="1686832193"/>
        <w:rPr>
          <w:rFonts w:eastAsia="Times New Roman"/>
          <w:sz w:val="30"/>
          <w:szCs w:val="30"/>
          <w:lang w:val="es-ES"/>
        </w:rPr>
      </w:pPr>
      <w:r>
        <w:rPr>
          <w:rFonts w:eastAsia="Times New Roman"/>
          <w:b/>
          <w:bCs/>
          <w:sz w:val="30"/>
          <w:szCs w:val="30"/>
          <w:lang w:val="es-ES"/>
        </w:rPr>
        <w:t xml:space="preserve">Trigésima cuarta.- </w:t>
      </w:r>
      <w:r>
        <w:rPr>
          <w:rFonts w:eastAsia="Times New Roman"/>
          <w:sz w:val="30"/>
          <w:szCs w:val="30"/>
          <w:lang w:val="es-ES"/>
        </w:rPr>
        <w:t>En la Ley Especial del Sector Cafetalero, en el artículo 8, suprímase el literal a).</w:t>
      </w:r>
    </w:p>
    <w:p w:rsidR="00000000" w:rsidRDefault="0018461E">
      <w:pPr>
        <w:divId w:val="740250005"/>
        <w:rPr>
          <w:rFonts w:eastAsia="Times New Roman"/>
          <w:sz w:val="30"/>
          <w:szCs w:val="30"/>
          <w:lang w:val="es-ES"/>
        </w:rPr>
      </w:pPr>
      <w:r>
        <w:rPr>
          <w:rFonts w:eastAsia="Times New Roman"/>
          <w:b/>
          <w:bCs/>
          <w:sz w:val="30"/>
          <w:szCs w:val="30"/>
          <w:lang w:val="es-ES"/>
        </w:rPr>
        <w:t xml:space="preserve">Trigésima quinta.- </w:t>
      </w:r>
      <w:r>
        <w:rPr>
          <w:rFonts w:eastAsia="Times New Roman"/>
          <w:sz w:val="30"/>
          <w:szCs w:val="30"/>
          <w:lang w:val="es-ES"/>
        </w:rPr>
        <w:t>Sustitúyase el artículo 4 de la Ley de Maternidad Gratuita y l</w:t>
      </w:r>
      <w:r>
        <w:rPr>
          <w:rFonts w:eastAsia="Times New Roman"/>
          <w:sz w:val="30"/>
          <w:szCs w:val="30"/>
          <w:lang w:val="es-ES"/>
        </w:rPr>
        <w:t>a Atención a la Infancia por el siguiente artículo: “Art.- 4 Los recursos necesarios para la aplicación de esta Ley, deberán ser entregados por el Estado con cargo al Presupuesto General del Estado y no serán menores a los asignados en el año inmediato ant</w:t>
      </w:r>
      <w:r>
        <w:rPr>
          <w:rFonts w:eastAsia="Times New Roman"/>
          <w:sz w:val="30"/>
          <w:szCs w:val="30"/>
          <w:lang w:val="es-ES"/>
        </w:rPr>
        <w:t>erior a la vigencia de esta ley, más un incremento estimado en función del aumento de la cobertura del servicio proyectado.</w:t>
      </w:r>
      <w:r>
        <w:rPr>
          <w:rFonts w:eastAsia="Times New Roman"/>
          <w:sz w:val="30"/>
          <w:szCs w:val="30"/>
          <w:lang w:val="es-ES"/>
        </w:rPr>
        <w:br/>
      </w:r>
      <w:r>
        <w:rPr>
          <w:rFonts w:eastAsia="Times New Roman"/>
          <w:sz w:val="30"/>
          <w:szCs w:val="30"/>
          <w:lang w:val="es-ES"/>
        </w:rPr>
        <w:br/>
        <w:t>El ministerio competente, de acuerdo con la ley presentará la planificación presupuestaria correspondiente”.</w:t>
      </w:r>
    </w:p>
    <w:p w:rsidR="00000000" w:rsidRDefault="0018461E">
      <w:pPr>
        <w:divId w:val="1335961698"/>
        <w:rPr>
          <w:rFonts w:eastAsia="Times New Roman"/>
          <w:sz w:val="30"/>
          <w:szCs w:val="30"/>
          <w:lang w:val="es-ES"/>
        </w:rPr>
      </w:pPr>
      <w:r>
        <w:rPr>
          <w:rFonts w:eastAsia="Times New Roman"/>
          <w:b/>
          <w:bCs/>
          <w:sz w:val="30"/>
          <w:szCs w:val="30"/>
          <w:lang w:val="es-ES"/>
        </w:rPr>
        <w:t xml:space="preserve">Trigésima sexta.- </w:t>
      </w:r>
      <w:r>
        <w:rPr>
          <w:rFonts w:eastAsia="Times New Roman"/>
          <w:sz w:val="30"/>
          <w:szCs w:val="30"/>
          <w:lang w:val="es-ES"/>
        </w:rPr>
        <w:t>En la Ley Orgánica para el cierre de la Crisis Bancaria de 1999 efectúense las siguientes reformas:</w:t>
      </w:r>
      <w:r>
        <w:rPr>
          <w:rFonts w:eastAsia="Times New Roman"/>
          <w:sz w:val="30"/>
          <w:szCs w:val="30"/>
          <w:lang w:val="es-ES"/>
        </w:rPr>
        <w:br/>
      </w:r>
      <w:r>
        <w:rPr>
          <w:rFonts w:eastAsia="Times New Roman"/>
          <w:sz w:val="30"/>
          <w:szCs w:val="30"/>
          <w:lang w:val="es-ES"/>
        </w:rPr>
        <w:br/>
        <w:t>1) Agréguese la siguiente disposición luego del inciso quinto del artículo 14 de la Ley Orgánica para el Cierre de la Crisis Bancaria de 1999:</w:t>
      </w:r>
      <w:r>
        <w:rPr>
          <w:rFonts w:eastAsia="Times New Roman"/>
          <w:sz w:val="30"/>
          <w:szCs w:val="30"/>
          <w:lang w:val="es-ES"/>
        </w:rPr>
        <w:br/>
      </w:r>
      <w:r>
        <w:rPr>
          <w:rFonts w:eastAsia="Times New Roman"/>
          <w:sz w:val="30"/>
          <w:szCs w:val="30"/>
          <w:lang w:val="es-ES"/>
        </w:rPr>
        <w:br/>
        <w:t>"En el caso</w:t>
      </w:r>
      <w:r>
        <w:rPr>
          <w:rFonts w:eastAsia="Times New Roman"/>
          <w:sz w:val="30"/>
          <w:szCs w:val="30"/>
          <w:lang w:val="es-ES"/>
        </w:rPr>
        <w:t xml:space="preserve"> de los deudores del Banco Central del Ecuador, que hayan presentado dentro del plazo establecido en la ley documentación que justifique pagos efectuados que no hubieren sido registrados, podrán presentar facturas de estudios jurídicos, empresas tercerizad</w:t>
      </w:r>
      <w:r>
        <w:rPr>
          <w:rFonts w:eastAsia="Times New Roman"/>
          <w:sz w:val="30"/>
          <w:szCs w:val="30"/>
          <w:lang w:val="es-ES"/>
        </w:rPr>
        <w:t xml:space="preserve">oras </w:t>
      </w:r>
      <w:r>
        <w:rPr>
          <w:rFonts w:eastAsia="Times New Roman"/>
          <w:sz w:val="30"/>
          <w:szCs w:val="30"/>
          <w:lang w:val="es-ES"/>
        </w:rPr>
        <w:lastRenderedPageBreak/>
        <w:t>encargadas de realizar acciones de cobro o abogados que ejercieron actividades de cobranza, estados de cuenta, recibos de pago, depósitos o cheques girados y cobrados a favor de las instituciones financieras extintas. El deudor deberá presentar una de</w:t>
      </w:r>
      <w:r>
        <w:rPr>
          <w:rFonts w:eastAsia="Times New Roman"/>
          <w:sz w:val="30"/>
          <w:szCs w:val="30"/>
          <w:lang w:val="es-ES"/>
        </w:rPr>
        <w:t>claración juramentada en la que detallará los documentos que adjunta e indicará a qué operación corresponden los pagos y se hará responsable de sus declaraciones y de los efectos que éstas tengan en el proceso de recuperación y liquidación, bajo pena de pe</w:t>
      </w:r>
      <w:r>
        <w:rPr>
          <w:rFonts w:eastAsia="Times New Roman"/>
          <w:sz w:val="30"/>
          <w:szCs w:val="30"/>
          <w:lang w:val="es-ES"/>
        </w:rPr>
        <w:t>rjurio. La documentación se podrá presentar hasta 30 días después de la publicación del presente Código. El Banco Central del Ecuador responderá hasta en 60 días a partir de su presentación."</w:t>
      </w:r>
      <w:r>
        <w:rPr>
          <w:rFonts w:eastAsia="Times New Roman"/>
          <w:sz w:val="30"/>
          <w:szCs w:val="30"/>
          <w:lang w:val="es-ES"/>
        </w:rPr>
        <w:br/>
      </w:r>
      <w:r>
        <w:rPr>
          <w:rFonts w:eastAsia="Times New Roman"/>
          <w:sz w:val="30"/>
          <w:szCs w:val="30"/>
          <w:lang w:val="es-ES"/>
        </w:rPr>
        <w:br/>
        <w:t>2) Agréguese la siguiente disposición luego del inciso sexto de</w:t>
      </w:r>
      <w:r>
        <w:rPr>
          <w:rFonts w:eastAsia="Times New Roman"/>
          <w:sz w:val="30"/>
          <w:szCs w:val="30"/>
          <w:lang w:val="es-ES"/>
        </w:rPr>
        <w:t>l artículo 14 de la Ley Orgánica para el Cierre de la Crisis Bancaria de 1999:</w:t>
      </w:r>
      <w:r>
        <w:rPr>
          <w:rFonts w:eastAsia="Times New Roman"/>
          <w:sz w:val="30"/>
          <w:szCs w:val="30"/>
          <w:lang w:val="es-ES"/>
        </w:rPr>
        <w:br/>
      </w:r>
      <w:r>
        <w:rPr>
          <w:rFonts w:eastAsia="Times New Roman"/>
          <w:sz w:val="30"/>
          <w:szCs w:val="30"/>
          <w:lang w:val="es-ES"/>
        </w:rPr>
        <w:br/>
        <w:t>"Para los deudores que se han acogido al recálculo y que tengan dos o más operaciones, a petición del deudor, se podrá aplicar el remanente de una deuda, entendido como el valo</w:t>
      </w:r>
      <w:r>
        <w:rPr>
          <w:rFonts w:eastAsia="Times New Roman"/>
          <w:sz w:val="30"/>
          <w:szCs w:val="30"/>
          <w:lang w:val="es-ES"/>
        </w:rPr>
        <w:t>r de los abonos realizados menos el capital inicial de una misma deuda, como pago del capital de otra deuda que mantenga el deudor con cualquier institución financiera extinta. No se considerarán como abonos realizados los provenientes de créditos que otor</w:t>
      </w:r>
      <w:r>
        <w:rPr>
          <w:rFonts w:eastAsia="Times New Roman"/>
          <w:sz w:val="30"/>
          <w:szCs w:val="30"/>
          <w:lang w:val="es-ES"/>
        </w:rPr>
        <w:t>garon las instituciones financieras extintas para cancelar dividendos de otras deudas y que no fueron redimidos por los deudores. Esta disposición también aplicará a la cartera redescontada con la Corporación Financiera Nacional. El BCE y la CFN realizarán</w:t>
      </w:r>
      <w:r>
        <w:rPr>
          <w:rFonts w:eastAsia="Times New Roman"/>
          <w:sz w:val="30"/>
          <w:szCs w:val="30"/>
          <w:lang w:val="es-ES"/>
        </w:rPr>
        <w:t xml:space="preserve"> las compensaciones que correspondan y comunicarán al órgano de control para los fines que establece la Ley.</w:t>
      </w:r>
      <w:r>
        <w:rPr>
          <w:rFonts w:eastAsia="Times New Roman"/>
          <w:sz w:val="30"/>
          <w:szCs w:val="30"/>
          <w:lang w:val="es-ES"/>
        </w:rPr>
        <w:br/>
      </w:r>
      <w:r>
        <w:rPr>
          <w:rFonts w:eastAsia="Times New Roman"/>
          <w:sz w:val="30"/>
          <w:szCs w:val="30"/>
          <w:lang w:val="es-ES"/>
        </w:rPr>
        <w:br/>
        <w:t>Lo previsto en el inciso antecedente se aplicará solo a aquellos deudores para los cuales la suma total del capital inicial de sus operaciones sea</w:t>
      </w:r>
      <w:r>
        <w:rPr>
          <w:rFonts w:eastAsia="Times New Roman"/>
          <w:sz w:val="30"/>
          <w:szCs w:val="30"/>
          <w:lang w:val="es-ES"/>
        </w:rPr>
        <w:t xml:space="preserve"> de máximo ciento cincuenta mil dólares. "</w:t>
      </w:r>
      <w:r>
        <w:rPr>
          <w:rFonts w:eastAsia="Times New Roman"/>
          <w:sz w:val="30"/>
          <w:szCs w:val="30"/>
          <w:lang w:val="es-ES"/>
        </w:rPr>
        <w:br/>
      </w:r>
      <w:r>
        <w:rPr>
          <w:rFonts w:eastAsia="Times New Roman"/>
          <w:sz w:val="30"/>
          <w:szCs w:val="30"/>
          <w:lang w:val="es-ES"/>
        </w:rPr>
        <w:br/>
        <w:t>3) Agréguese el siguiente inciso al final del artículo 14 de la Ley Orgánica para el Cierre de la Crisis Bancaria de 1999:</w:t>
      </w:r>
      <w:r>
        <w:rPr>
          <w:rFonts w:eastAsia="Times New Roman"/>
          <w:sz w:val="30"/>
          <w:szCs w:val="30"/>
          <w:lang w:val="es-ES"/>
        </w:rPr>
        <w:br/>
      </w:r>
      <w:r>
        <w:rPr>
          <w:rFonts w:eastAsia="Times New Roman"/>
          <w:sz w:val="30"/>
          <w:szCs w:val="30"/>
          <w:lang w:val="es-ES"/>
        </w:rPr>
        <w:br/>
        <w:t>"Las operaciones de arrendamiento mercantil celebradas con las instituciones financieras</w:t>
      </w:r>
      <w:r>
        <w:rPr>
          <w:rFonts w:eastAsia="Times New Roman"/>
          <w:sz w:val="30"/>
          <w:szCs w:val="30"/>
          <w:lang w:val="es-ES"/>
        </w:rPr>
        <w:t xml:space="preserve"> extintas recibirán los beneficios establecidos a continuación: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Si por la falta de pago el bien fue restituido a la institución financiera liquidada o a la Corporación Financiera Nacional, la obligación quedará extinta.</w:t>
      </w:r>
      <w:r>
        <w:rPr>
          <w:rFonts w:eastAsia="Times New Roman"/>
          <w:sz w:val="30"/>
          <w:szCs w:val="30"/>
          <w:lang w:val="es-ES"/>
        </w:rPr>
        <w:br/>
      </w:r>
      <w:r>
        <w:rPr>
          <w:rFonts w:eastAsia="Times New Roman"/>
          <w:sz w:val="30"/>
          <w:szCs w:val="30"/>
          <w:lang w:val="es-ES"/>
        </w:rPr>
        <w:br/>
        <w:t>b) Si el bien se encuentra dent</w:t>
      </w:r>
      <w:r>
        <w:rPr>
          <w:rFonts w:eastAsia="Times New Roman"/>
          <w:sz w:val="30"/>
          <w:szCs w:val="30"/>
          <w:lang w:val="es-ES"/>
        </w:rPr>
        <w:t>ro de los bienes transferidos al Banco Central del Ecuador y el deudor ha pagado la totalidad de la obligación, y optó por la opción de compra se procederá a la transferencia del bien al deudor.</w:t>
      </w:r>
      <w:r>
        <w:rPr>
          <w:rFonts w:eastAsia="Times New Roman"/>
          <w:sz w:val="30"/>
          <w:szCs w:val="30"/>
          <w:lang w:val="es-ES"/>
        </w:rPr>
        <w:br/>
      </w:r>
      <w:r>
        <w:rPr>
          <w:rFonts w:eastAsia="Times New Roman"/>
          <w:sz w:val="30"/>
          <w:szCs w:val="30"/>
          <w:lang w:val="es-ES"/>
        </w:rPr>
        <w:br/>
        <w:t xml:space="preserve">c) Si el bien está en usufructo del deudor, a solicitud del </w:t>
      </w:r>
      <w:r>
        <w:rPr>
          <w:rFonts w:eastAsia="Times New Roman"/>
          <w:sz w:val="30"/>
          <w:szCs w:val="30"/>
          <w:lang w:val="es-ES"/>
        </w:rPr>
        <w:t>mismo se dará por terminado el contrato de arrendamiento mercantil y se constituirá el mismo en una operación de cartera por el monto de la obligación pendiente. Una vez concluido el pago de la obligación se procederá a la transferencia del bien al deudor.</w:t>
      </w:r>
      <w:r>
        <w:rPr>
          <w:rFonts w:eastAsia="Times New Roman"/>
          <w:sz w:val="30"/>
          <w:szCs w:val="30"/>
          <w:lang w:val="es-ES"/>
        </w:rPr>
        <w:t xml:space="preserve"> En caso de no cumplirse con el convenio de recálculo, el mueble será rematado y los inmuebles serán transferidos a la entidad que corresponda, según lo establece esta ley. "</w:t>
      </w:r>
      <w:r>
        <w:rPr>
          <w:rFonts w:eastAsia="Times New Roman"/>
          <w:sz w:val="30"/>
          <w:szCs w:val="30"/>
          <w:lang w:val="es-ES"/>
        </w:rPr>
        <w:br/>
      </w:r>
      <w:r>
        <w:rPr>
          <w:rFonts w:eastAsia="Times New Roman"/>
          <w:sz w:val="30"/>
          <w:szCs w:val="30"/>
          <w:lang w:val="es-ES"/>
        </w:rPr>
        <w:br/>
        <w:t>4) Agréguese la siguiente disposición luego del inciso segundo del artículo 15 d</w:t>
      </w:r>
      <w:r>
        <w:rPr>
          <w:rFonts w:eastAsia="Times New Roman"/>
          <w:sz w:val="30"/>
          <w:szCs w:val="30"/>
          <w:lang w:val="es-ES"/>
        </w:rPr>
        <w:t>e la Ley Orgánica para el Cierre de la Crisis Bancaria de 1999:</w:t>
      </w:r>
      <w:r>
        <w:rPr>
          <w:rFonts w:eastAsia="Times New Roman"/>
          <w:sz w:val="30"/>
          <w:szCs w:val="30"/>
          <w:lang w:val="es-ES"/>
        </w:rPr>
        <w:br/>
      </w:r>
      <w:r>
        <w:rPr>
          <w:rFonts w:eastAsia="Times New Roman"/>
          <w:sz w:val="30"/>
          <w:szCs w:val="30"/>
          <w:lang w:val="es-ES"/>
        </w:rPr>
        <w:br/>
        <w:t xml:space="preserve">"Los contratos de recálculo se podrán suscribir hasta noventa días después de la publicación del presente Código. Se deja sin efecto el plazo de 120 días establecido en el inciso segundo del </w:t>
      </w:r>
      <w:r>
        <w:rPr>
          <w:rFonts w:eastAsia="Times New Roman"/>
          <w:sz w:val="30"/>
          <w:szCs w:val="30"/>
          <w:lang w:val="es-ES"/>
        </w:rPr>
        <w:t>presente artículo. En ningún caso se receptarán solicitudes de reclamos que no hubieren sido presentados dentro de los plazos previstos originalmente en la ley."</w:t>
      </w:r>
      <w:r>
        <w:rPr>
          <w:rFonts w:eastAsia="Times New Roman"/>
          <w:sz w:val="30"/>
          <w:szCs w:val="30"/>
          <w:lang w:val="es-ES"/>
        </w:rPr>
        <w:br/>
      </w:r>
      <w:r>
        <w:rPr>
          <w:rFonts w:eastAsia="Times New Roman"/>
          <w:sz w:val="30"/>
          <w:szCs w:val="30"/>
          <w:lang w:val="es-ES"/>
        </w:rPr>
        <w:br/>
        <w:t>5) Agréguese la siguiente disposición al final del artículo 19 de la Ley Orgánica para el Cie</w:t>
      </w:r>
      <w:r>
        <w:rPr>
          <w:rFonts w:eastAsia="Times New Roman"/>
          <w:sz w:val="30"/>
          <w:szCs w:val="30"/>
          <w:lang w:val="es-ES"/>
        </w:rPr>
        <w:t>rre de la Crisis Bancaria de 1999:</w:t>
      </w:r>
      <w:r>
        <w:rPr>
          <w:rFonts w:eastAsia="Times New Roman"/>
          <w:sz w:val="30"/>
          <w:szCs w:val="30"/>
          <w:lang w:val="es-ES"/>
        </w:rPr>
        <w:br/>
      </w:r>
      <w:r>
        <w:rPr>
          <w:rFonts w:eastAsia="Times New Roman"/>
          <w:sz w:val="30"/>
          <w:szCs w:val="30"/>
          <w:lang w:val="es-ES"/>
        </w:rPr>
        <w:br/>
        <w:t>"Se atenderán las solicitudes de los artículos 18 y 19 que se presenten únicamente hasta 30 días después de la publicación del presente Código.”</w:t>
      </w:r>
    </w:p>
    <w:p w:rsidR="00000000" w:rsidRDefault="0018461E">
      <w:pPr>
        <w:divId w:val="1472477806"/>
        <w:rPr>
          <w:rFonts w:eastAsia="Times New Roman"/>
          <w:sz w:val="30"/>
          <w:szCs w:val="30"/>
          <w:lang w:val="es-ES"/>
        </w:rPr>
      </w:pPr>
      <w:r>
        <w:rPr>
          <w:rFonts w:eastAsia="Times New Roman"/>
          <w:b/>
          <w:bCs/>
          <w:sz w:val="30"/>
          <w:szCs w:val="30"/>
          <w:lang w:val="es-ES"/>
        </w:rPr>
        <w:t xml:space="preserve">Trigésima séptima.- </w:t>
      </w:r>
      <w:r>
        <w:rPr>
          <w:rFonts w:eastAsia="Times New Roman"/>
          <w:sz w:val="30"/>
          <w:szCs w:val="30"/>
          <w:lang w:val="es-ES"/>
        </w:rPr>
        <w:t>En el Código Orgánico Integral Penal efectúense las sig</w:t>
      </w:r>
      <w:r>
        <w:rPr>
          <w:rFonts w:eastAsia="Times New Roman"/>
          <w:sz w:val="30"/>
          <w:szCs w:val="30"/>
          <w:lang w:val="es-ES"/>
        </w:rPr>
        <w:t>uientes reformas:</w:t>
      </w:r>
      <w:r>
        <w:rPr>
          <w:rFonts w:eastAsia="Times New Roman"/>
          <w:sz w:val="30"/>
          <w:szCs w:val="30"/>
          <w:lang w:val="es-ES"/>
        </w:rPr>
        <w:br/>
      </w:r>
      <w:r>
        <w:rPr>
          <w:rFonts w:eastAsia="Times New Roman"/>
          <w:sz w:val="30"/>
          <w:szCs w:val="30"/>
          <w:lang w:val="es-ES"/>
        </w:rPr>
        <w:br/>
        <w:t xml:space="preserve">1. En el artículo 278 del Código Orgánico Integral Penal sustitúyase el cuarto inciso por el siguiente: “Son responsables de peculado las o los </w:t>
      </w:r>
      <w:r>
        <w:rPr>
          <w:rFonts w:eastAsia="Times New Roman"/>
          <w:sz w:val="30"/>
          <w:szCs w:val="30"/>
          <w:lang w:val="es-ES"/>
        </w:rPr>
        <w:lastRenderedPageBreak/>
        <w:t>funcionarios o servidores públicos, las o los funcionarios, administradores, ejecutivos o emp</w:t>
      </w:r>
      <w:r>
        <w:rPr>
          <w:rFonts w:eastAsia="Times New Roman"/>
          <w:sz w:val="30"/>
          <w:szCs w:val="30"/>
          <w:lang w:val="es-ES"/>
        </w:rPr>
        <w:t>leados de las instituciones del Sistema Financiero Nacional que realicen actividades de intermediación financiera, así como los miembros o vocales de los directorios y de los consejos de administración de estas entidades, que con abuso de las funciones pro</w:t>
      </w:r>
      <w:r>
        <w:rPr>
          <w:rFonts w:eastAsia="Times New Roman"/>
          <w:sz w:val="30"/>
          <w:szCs w:val="30"/>
          <w:lang w:val="es-ES"/>
        </w:rPr>
        <w:t>pias de su cargo: a) dispongan fraudulentamente, se apropien o distraigan los fondos, bienes, dineros o efectos privados que los representen; b) hubiesen ejecutado dolosamente operaciones que disminuyan el activo o incrementen el pasivo de la entidad; o, c</w:t>
      </w:r>
      <w:r>
        <w:rPr>
          <w:rFonts w:eastAsia="Times New Roman"/>
          <w:sz w:val="30"/>
          <w:szCs w:val="30"/>
          <w:lang w:val="es-ES"/>
        </w:rPr>
        <w:t>) dispongan de cualquier manera el congelamiento o la retención arbitraria o generalizada de los fondos o depósitos en las instituciones del Sistema Financiero Nacional, causando directamente un perjuicio económico a sus socios, depositarios, cuenta partíc</w:t>
      </w:r>
      <w:r>
        <w:rPr>
          <w:rFonts w:eastAsia="Times New Roman"/>
          <w:sz w:val="30"/>
          <w:szCs w:val="30"/>
          <w:lang w:val="es-ES"/>
        </w:rPr>
        <w:t>ipes o titulares de los bienes, fondos o dinero. En todos estos casos serán sancionados con pena privativa de libertad de diez a trece años.</w:t>
      </w:r>
      <w:r>
        <w:rPr>
          <w:rFonts w:eastAsia="Times New Roman"/>
          <w:sz w:val="30"/>
          <w:szCs w:val="30"/>
          <w:lang w:val="es-ES"/>
        </w:rPr>
        <w:br/>
      </w:r>
      <w:r>
        <w:rPr>
          <w:rFonts w:eastAsia="Times New Roman"/>
          <w:sz w:val="30"/>
          <w:szCs w:val="30"/>
          <w:lang w:val="es-ES"/>
        </w:rPr>
        <w:br/>
        <w:t>Si los sujetos descritos en el inciso precedente causan la quiebra fraudulenta de entidades del Sistema Financiero</w:t>
      </w:r>
      <w:r>
        <w:rPr>
          <w:rFonts w:eastAsia="Times New Roman"/>
          <w:sz w:val="30"/>
          <w:szCs w:val="30"/>
          <w:lang w:val="es-ES"/>
        </w:rPr>
        <w:t xml:space="preserve"> Nacional, serán sancionados con pena privativa de libertad de diez a trece años.”</w:t>
      </w:r>
      <w:r>
        <w:rPr>
          <w:rFonts w:eastAsia="Times New Roman"/>
          <w:sz w:val="30"/>
          <w:szCs w:val="30"/>
          <w:lang w:val="es-ES"/>
        </w:rPr>
        <w:br/>
      </w:r>
      <w:r>
        <w:rPr>
          <w:rFonts w:eastAsia="Times New Roman"/>
          <w:sz w:val="30"/>
          <w:szCs w:val="30"/>
          <w:lang w:val="es-ES"/>
        </w:rPr>
        <w:br/>
        <w:t xml:space="preserve">2. En el artículo 557 del Código Orgánico Integral Penal, numeral 3, después de “para el efecto.” agréguese: “En caso de quiebra financiera fraudulenta de persona jurídica </w:t>
      </w:r>
      <w:r>
        <w:rPr>
          <w:rFonts w:eastAsia="Times New Roman"/>
          <w:sz w:val="30"/>
          <w:szCs w:val="30"/>
          <w:lang w:val="es-ES"/>
        </w:rPr>
        <w:t>financiera con patrimonio negativo, el dinero obtenido del remate servirá para el pago de los derechos de las acreencias de la entidad.”</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2 </w:t>
      </w:r>
      <w:r>
        <w:rPr>
          <w:rFonts w:eastAsia="Times New Roman"/>
          <w:b/>
          <w:bCs/>
          <w:sz w:val="36"/>
          <w:szCs w:val="36"/>
          <w:lang w:val="es-ES"/>
        </w:rPr>
        <w:br/>
        <w:t>DEROGATORIAS</w:t>
      </w:r>
    </w:p>
    <w:p w:rsidR="00000000" w:rsidRDefault="0018461E">
      <w:pPr>
        <w:divId w:val="599527107"/>
        <w:rPr>
          <w:rFonts w:eastAsia="Times New Roman"/>
          <w:sz w:val="30"/>
          <w:szCs w:val="30"/>
          <w:lang w:val="es-ES"/>
        </w:rPr>
      </w:pPr>
      <w:r>
        <w:rPr>
          <w:rFonts w:eastAsia="Times New Roman"/>
          <w:sz w:val="30"/>
          <w:szCs w:val="30"/>
          <w:lang w:val="es-ES"/>
        </w:rPr>
        <w:t>Sin perjuicio de lo ordenado en las Disposiciones Transitorias, a partir de la fecha de vigencia de este Código, quedan derogadas todas las normas en cuanto se opongan a las disposiciones de este Código. Adicionalmente, Se derogan expresamente las siguient</w:t>
      </w:r>
      <w:r>
        <w:rPr>
          <w:rFonts w:eastAsia="Times New Roman"/>
          <w:sz w:val="30"/>
          <w:szCs w:val="30"/>
          <w:lang w:val="es-ES"/>
        </w:rPr>
        <w:t>es leyes con todas sus reformas y reglamentos:</w:t>
      </w:r>
      <w:r>
        <w:rPr>
          <w:rFonts w:eastAsia="Times New Roman"/>
          <w:sz w:val="30"/>
          <w:szCs w:val="30"/>
          <w:lang w:val="es-ES"/>
        </w:rPr>
        <w:br/>
      </w:r>
      <w:r>
        <w:rPr>
          <w:rFonts w:eastAsia="Times New Roman"/>
          <w:sz w:val="30"/>
          <w:szCs w:val="30"/>
          <w:lang w:val="es-ES"/>
        </w:rPr>
        <w:br/>
        <w:t>1. Codificación de la Ley sobre el Banco Ecuatoriano de la Vivienda y las Asociaciones Mutualistas de Ahorro y Crédito para la Vivienda;</w:t>
      </w:r>
      <w:r>
        <w:rPr>
          <w:rFonts w:eastAsia="Times New Roman"/>
          <w:sz w:val="30"/>
          <w:szCs w:val="30"/>
          <w:lang w:val="es-ES"/>
        </w:rPr>
        <w:br/>
      </w:r>
      <w:r>
        <w:rPr>
          <w:rFonts w:eastAsia="Times New Roman"/>
          <w:sz w:val="30"/>
          <w:szCs w:val="30"/>
          <w:lang w:val="es-ES"/>
        </w:rPr>
        <w:br/>
        <w:t>2. Ley de Almacenes Generales de Depósito;</w:t>
      </w:r>
      <w:r>
        <w:rPr>
          <w:rFonts w:eastAsia="Times New Roman"/>
          <w:sz w:val="30"/>
          <w:szCs w:val="30"/>
          <w:lang w:val="es-ES"/>
        </w:rPr>
        <w:br/>
      </w:r>
      <w:r>
        <w:rPr>
          <w:rFonts w:eastAsia="Times New Roman"/>
          <w:sz w:val="30"/>
          <w:szCs w:val="30"/>
          <w:lang w:val="es-ES"/>
        </w:rPr>
        <w:lastRenderedPageBreak/>
        <w:br/>
        <w:t>3. Ley de Cheques;</w:t>
      </w:r>
      <w:r>
        <w:rPr>
          <w:rFonts w:eastAsia="Times New Roman"/>
          <w:sz w:val="30"/>
          <w:szCs w:val="30"/>
          <w:lang w:val="es-ES"/>
        </w:rPr>
        <w:br/>
      </w:r>
      <w:r>
        <w:rPr>
          <w:rFonts w:eastAsia="Times New Roman"/>
          <w:sz w:val="30"/>
          <w:szCs w:val="30"/>
          <w:lang w:val="es-ES"/>
        </w:rPr>
        <w:br/>
        <w:t>4. Los</w:t>
      </w:r>
      <w:r>
        <w:rPr>
          <w:rFonts w:eastAsia="Times New Roman"/>
          <w:sz w:val="30"/>
          <w:szCs w:val="30"/>
          <w:lang w:val="es-ES"/>
        </w:rPr>
        <w:t xml:space="preserve"> artículos 1, 2, 3, 4, 5, 6, 7, 8, 9, 10, 11, 12, 13, 13A, 14, 15, 19 y 20, disposiciones generales y disposiciones transitorias de la Ley de Creación de la Red de Seguridad Financiera;</w:t>
      </w:r>
      <w:r>
        <w:rPr>
          <w:rFonts w:eastAsia="Times New Roman"/>
          <w:sz w:val="30"/>
          <w:szCs w:val="30"/>
          <w:lang w:val="es-ES"/>
        </w:rPr>
        <w:br/>
      </w:r>
      <w:r>
        <w:rPr>
          <w:rFonts w:eastAsia="Times New Roman"/>
          <w:sz w:val="30"/>
          <w:szCs w:val="30"/>
          <w:lang w:val="es-ES"/>
        </w:rPr>
        <w:br/>
        <w:t>5. Ley de Creación del Sistema de Garantía Crediticia;</w:t>
      </w:r>
      <w:r>
        <w:rPr>
          <w:rFonts w:eastAsia="Times New Roman"/>
          <w:sz w:val="30"/>
          <w:szCs w:val="30"/>
          <w:lang w:val="es-ES"/>
        </w:rPr>
        <w:br/>
      </w:r>
      <w:r>
        <w:rPr>
          <w:rFonts w:eastAsia="Times New Roman"/>
          <w:sz w:val="30"/>
          <w:szCs w:val="30"/>
          <w:lang w:val="es-ES"/>
        </w:rPr>
        <w:br/>
        <w:t>6. Ley de Des</w:t>
      </w:r>
      <w:r>
        <w:rPr>
          <w:rFonts w:eastAsia="Times New Roman"/>
          <w:sz w:val="30"/>
          <w:szCs w:val="30"/>
          <w:lang w:val="es-ES"/>
        </w:rPr>
        <w:t>arrollo Hídrico de Manabí;</w:t>
      </w:r>
      <w:r>
        <w:rPr>
          <w:rFonts w:eastAsia="Times New Roman"/>
          <w:sz w:val="30"/>
          <w:szCs w:val="30"/>
          <w:lang w:val="es-ES"/>
        </w:rPr>
        <w:br/>
      </w:r>
      <w:r>
        <w:rPr>
          <w:rFonts w:eastAsia="Times New Roman"/>
          <w:sz w:val="30"/>
          <w:szCs w:val="30"/>
          <w:lang w:val="es-ES"/>
        </w:rPr>
        <w:br/>
        <w:t>7. Ley de Reestructuración de Deudas Pendientes de Pago con el Banco Nacional de Fomento y Capitalización de la Institución;</w:t>
      </w:r>
      <w:r>
        <w:rPr>
          <w:rFonts w:eastAsia="Times New Roman"/>
          <w:sz w:val="30"/>
          <w:szCs w:val="30"/>
          <w:lang w:val="es-ES"/>
        </w:rPr>
        <w:br/>
      </w:r>
      <w:r>
        <w:rPr>
          <w:rFonts w:eastAsia="Times New Roman"/>
          <w:sz w:val="30"/>
          <w:szCs w:val="30"/>
          <w:lang w:val="es-ES"/>
        </w:rPr>
        <w:br/>
        <w:t>8. Ley de Rehabilitación de los Productores que están en mora con el Banco Nacional de Fomento y Capit</w:t>
      </w:r>
      <w:r>
        <w:rPr>
          <w:rFonts w:eastAsia="Times New Roman"/>
          <w:sz w:val="30"/>
          <w:szCs w:val="30"/>
          <w:lang w:val="es-ES"/>
        </w:rPr>
        <w:t>alización de la Institución;</w:t>
      </w:r>
      <w:r>
        <w:rPr>
          <w:rFonts w:eastAsia="Times New Roman"/>
          <w:sz w:val="30"/>
          <w:szCs w:val="30"/>
          <w:lang w:val="es-ES"/>
        </w:rPr>
        <w:br/>
      </w:r>
      <w:r>
        <w:rPr>
          <w:rFonts w:eastAsia="Times New Roman"/>
          <w:sz w:val="30"/>
          <w:szCs w:val="30"/>
          <w:lang w:val="es-ES"/>
        </w:rPr>
        <w:br/>
        <w:t>9. Ley de Reordenamiento en Materia Económica, en el Área Tributario-Financiera;</w:t>
      </w:r>
      <w:r>
        <w:rPr>
          <w:rFonts w:eastAsia="Times New Roman"/>
          <w:sz w:val="30"/>
          <w:szCs w:val="30"/>
          <w:lang w:val="es-ES"/>
        </w:rPr>
        <w:br/>
      </w:r>
      <w:r>
        <w:rPr>
          <w:rFonts w:eastAsia="Times New Roman"/>
          <w:sz w:val="30"/>
          <w:szCs w:val="30"/>
          <w:lang w:val="es-ES"/>
        </w:rPr>
        <w:br/>
        <w:t>10. Ley Emergente de Apoyo a los Sectores Productivos del Cordón Fronterizo;</w:t>
      </w:r>
      <w:r>
        <w:rPr>
          <w:rFonts w:eastAsia="Times New Roman"/>
          <w:sz w:val="30"/>
          <w:szCs w:val="30"/>
          <w:lang w:val="es-ES"/>
        </w:rPr>
        <w:br/>
      </w:r>
      <w:r>
        <w:rPr>
          <w:rFonts w:eastAsia="Times New Roman"/>
          <w:sz w:val="30"/>
          <w:szCs w:val="30"/>
          <w:lang w:val="es-ES"/>
        </w:rPr>
        <w:br/>
        <w:t xml:space="preserve">11. Ley Especial de Rehabilitación del Banco de Préstamos S.A. En </w:t>
      </w:r>
      <w:r>
        <w:rPr>
          <w:rFonts w:eastAsia="Times New Roman"/>
          <w:sz w:val="30"/>
          <w:szCs w:val="30"/>
          <w:lang w:val="es-ES"/>
        </w:rPr>
        <w:t>Liquidación;</w:t>
      </w:r>
      <w:r>
        <w:rPr>
          <w:rFonts w:eastAsia="Times New Roman"/>
          <w:sz w:val="30"/>
          <w:szCs w:val="30"/>
          <w:lang w:val="es-ES"/>
        </w:rPr>
        <w:br/>
      </w:r>
      <w:r>
        <w:rPr>
          <w:rFonts w:eastAsia="Times New Roman"/>
          <w:sz w:val="30"/>
          <w:szCs w:val="30"/>
          <w:lang w:val="es-ES"/>
        </w:rPr>
        <w:br/>
        <w:t>12. Ley Especial para la Capitalización y Venta del Banco Continental S.A.;</w:t>
      </w:r>
      <w:r>
        <w:rPr>
          <w:rFonts w:eastAsia="Times New Roman"/>
          <w:sz w:val="30"/>
          <w:szCs w:val="30"/>
          <w:lang w:val="es-ES"/>
        </w:rPr>
        <w:br/>
      </w:r>
      <w:r>
        <w:rPr>
          <w:rFonts w:eastAsia="Times New Roman"/>
          <w:sz w:val="30"/>
          <w:szCs w:val="30"/>
          <w:lang w:val="es-ES"/>
        </w:rPr>
        <w:br/>
        <w:t>13. Ley General de Instituciones del Sistema Financiero;</w:t>
      </w:r>
      <w:r>
        <w:rPr>
          <w:rFonts w:eastAsia="Times New Roman"/>
          <w:sz w:val="30"/>
          <w:szCs w:val="30"/>
          <w:lang w:val="es-ES"/>
        </w:rPr>
        <w:br/>
      </w:r>
      <w:r>
        <w:rPr>
          <w:rFonts w:eastAsia="Times New Roman"/>
          <w:sz w:val="30"/>
          <w:szCs w:val="30"/>
          <w:lang w:val="es-ES"/>
        </w:rPr>
        <w:br/>
        <w:t>14. Ley Interpretativa a la Ley Especial de Rehabilitación del Banco de Préstamos S.A., en Liquidación;</w:t>
      </w:r>
      <w:r>
        <w:rPr>
          <w:rFonts w:eastAsia="Times New Roman"/>
          <w:sz w:val="30"/>
          <w:szCs w:val="30"/>
          <w:lang w:val="es-ES"/>
        </w:rPr>
        <w:br/>
      </w:r>
      <w:r>
        <w:rPr>
          <w:rFonts w:eastAsia="Times New Roman"/>
          <w:sz w:val="30"/>
          <w:szCs w:val="30"/>
          <w:lang w:val="es-ES"/>
        </w:rPr>
        <w:br/>
        <w:t>15</w:t>
      </w:r>
      <w:r>
        <w:rPr>
          <w:rFonts w:eastAsia="Times New Roman"/>
          <w:sz w:val="30"/>
          <w:szCs w:val="30"/>
          <w:lang w:val="es-ES"/>
        </w:rPr>
        <w:t>. Ley Orgánica de la Corporación Financiera Nacional;</w:t>
      </w:r>
      <w:r>
        <w:rPr>
          <w:rFonts w:eastAsia="Times New Roman"/>
          <w:sz w:val="30"/>
          <w:szCs w:val="30"/>
          <w:lang w:val="es-ES"/>
        </w:rPr>
        <w:br/>
      </w:r>
      <w:r>
        <w:rPr>
          <w:rFonts w:eastAsia="Times New Roman"/>
          <w:sz w:val="30"/>
          <w:szCs w:val="30"/>
          <w:lang w:val="es-ES"/>
        </w:rPr>
        <w:br/>
        <w:t>16. Ley Orgánica de Régimen Monetario y Banco del Estado;</w:t>
      </w:r>
      <w:r>
        <w:rPr>
          <w:rFonts w:eastAsia="Times New Roman"/>
          <w:sz w:val="30"/>
          <w:szCs w:val="30"/>
          <w:lang w:val="es-ES"/>
        </w:rPr>
        <w:br/>
      </w:r>
      <w:r>
        <w:rPr>
          <w:rFonts w:eastAsia="Times New Roman"/>
          <w:sz w:val="30"/>
          <w:szCs w:val="30"/>
          <w:lang w:val="es-ES"/>
        </w:rPr>
        <w:br/>
        <w:t>17. Ley Orgánica del Banco Nacional de Fomento;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18. Ley para la Protección del Capital Social que aporten para la Rehabilitación, los cliente</w:t>
      </w:r>
      <w:r>
        <w:rPr>
          <w:rFonts w:eastAsia="Times New Roman"/>
          <w:sz w:val="30"/>
          <w:szCs w:val="30"/>
          <w:lang w:val="es-ES"/>
        </w:rPr>
        <w:t>s perjudicados con la Liquidación de una Institución Financiera;</w:t>
      </w:r>
      <w:r>
        <w:rPr>
          <w:rFonts w:eastAsia="Times New Roman"/>
          <w:sz w:val="30"/>
          <w:szCs w:val="30"/>
          <w:lang w:val="es-ES"/>
        </w:rPr>
        <w:br/>
      </w:r>
      <w:r>
        <w:rPr>
          <w:rFonts w:eastAsia="Times New Roman"/>
          <w:sz w:val="30"/>
          <w:szCs w:val="30"/>
          <w:lang w:val="es-ES"/>
        </w:rPr>
        <w:br/>
        <w:t>19. Ley que Regula la Emisión de Cédulas Hipotecarias;</w:t>
      </w:r>
      <w:r>
        <w:rPr>
          <w:rFonts w:eastAsia="Times New Roman"/>
          <w:sz w:val="30"/>
          <w:szCs w:val="30"/>
          <w:lang w:val="es-ES"/>
        </w:rPr>
        <w:br/>
      </w:r>
      <w:r>
        <w:rPr>
          <w:rFonts w:eastAsia="Times New Roman"/>
          <w:sz w:val="30"/>
          <w:szCs w:val="30"/>
          <w:lang w:val="es-ES"/>
        </w:rPr>
        <w:br/>
        <w:t>20. Ley Reformatoria a la Codificación de la Ley de Régimen Monetario y Banco del Estado;</w:t>
      </w:r>
      <w:r>
        <w:rPr>
          <w:rFonts w:eastAsia="Times New Roman"/>
          <w:sz w:val="30"/>
          <w:szCs w:val="30"/>
          <w:lang w:val="es-ES"/>
        </w:rPr>
        <w:br/>
      </w:r>
      <w:r>
        <w:rPr>
          <w:rFonts w:eastAsia="Times New Roman"/>
          <w:sz w:val="30"/>
          <w:szCs w:val="30"/>
          <w:lang w:val="es-ES"/>
        </w:rPr>
        <w:br/>
        <w:t xml:space="preserve">21. Ley Sustitutiva a la Ley del Instituto </w:t>
      </w:r>
      <w:r>
        <w:rPr>
          <w:rFonts w:eastAsia="Times New Roman"/>
          <w:sz w:val="30"/>
          <w:szCs w:val="30"/>
          <w:lang w:val="es-ES"/>
        </w:rPr>
        <w:t>Ecuatoriano de Crédito Educativo y Becas;</w:t>
      </w:r>
      <w:r>
        <w:rPr>
          <w:rFonts w:eastAsia="Times New Roman"/>
          <w:sz w:val="30"/>
          <w:szCs w:val="30"/>
          <w:lang w:val="es-ES"/>
        </w:rPr>
        <w:br/>
      </w:r>
      <w:r>
        <w:rPr>
          <w:rFonts w:eastAsia="Times New Roman"/>
          <w:sz w:val="30"/>
          <w:szCs w:val="30"/>
          <w:lang w:val="es-ES"/>
        </w:rPr>
        <w:br/>
        <w:t>22. El artículo 5 de la Ley de Maternidad Gratuita y la Atención a la Infancia;</w:t>
      </w:r>
      <w:r>
        <w:rPr>
          <w:rFonts w:eastAsia="Times New Roman"/>
          <w:sz w:val="30"/>
          <w:szCs w:val="30"/>
          <w:lang w:val="es-ES"/>
        </w:rPr>
        <w:br/>
      </w:r>
      <w:r>
        <w:rPr>
          <w:rFonts w:eastAsia="Times New Roman"/>
          <w:sz w:val="30"/>
          <w:szCs w:val="30"/>
          <w:lang w:val="es-ES"/>
        </w:rPr>
        <w:br/>
        <w:t>23. Ley de Desarrollo de Vialidad Agropecuaria y Fomento de Mano de Obra;</w:t>
      </w:r>
      <w:r>
        <w:rPr>
          <w:rFonts w:eastAsia="Times New Roman"/>
          <w:sz w:val="30"/>
          <w:szCs w:val="30"/>
          <w:lang w:val="es-ES"/>
        </w:rPr>
        <w:br/>
      </w:r>
      <w:r>
        <w:rPr>
          <w:rFonts w:eastAsia="Times New Roman"/>
          <w:sz w:val="30"/>
          <w:szCs w:val="30"/>
          <w:lang w:val="es-ES"/>
        </w:rPr>
        <w:br/>
        <w:t xml:space="preserve">24. Ley Reformatoria de la Ley de Desarrollo de Vialidad </w:t>
      </w:r>
      <w:r>
        <w:rPr>
          <w:rFonts w:eastAsia="Times New Roman"/>
          <w:sz w:val="30"/>
          <w:szCs w:val="30"/>
          <w:lang w:val="es-ES"/>
        </w:rPr>
        <w:t>Agropecuaria y de Fomento de Mano de Obra y de Creación del Fondo Nacional de Saneamiento Ambiental, Fondo Nacional de Forestación y Reforestación;</w:t>
      </w:r>
      <w:r>
        <w:rPr>
          <w:rFonts w:eastAsia="Times New Roman"/>
          <w:sz w:val="30"/>
          <w:szCs w:val="30"/>
          <w:lang w:val="es-ES"/>
        </w:rPr>
        <w:br/>
      </w:r>
      <w:r>
        <w:rPr>
          <w:rFonts w:eastAsia="Times New Roman"/>
          <w:sz w:val="30"/>
          <w:szCs w:val="30"/>
          <w:lang w:val="es-ES"/>
        </w:rPr>
        <w:br/>
        <w:t>25. Artículo 6 literal d) y f) de la Ley de Forestación y Reforestación de la Provincia de El Oro;</w:t>
      </w:r>
      <w:r>
        <w:rPr>
          <w:rFonts w:eastAsia="Times New Roman"/>
          <w:sz w:val="30"/>
          <w:szCs w:val="30"/>
          <w:lang w:val="es-ES"/>
        </w:rPr>
        <w:br/>
      </w:r>
      <w:r>
        <w:rPr>
          <w:rFonts w:eastAsia="Times New Roman"/>
          <w:sz w:val="30"/>
          <w:szCs w:val="30"/>
          <w:lang w:val="es-ES"/>
        </w:rPr>
        <w:br/>
        <w:t>26. Ley</w:t>
      </w:r>
      <w:r>
        <w:rPr>
          <w:rFonts w:eastAsia="Times New Roman"/>
          <w:sz w:val="30"/>
          <w:szCs w:val="30"/>
          <w:lang w:val="es-ES"/>
        </w:rPr>
        <w:t xml:space="preserve"> de Creación de la Comisión para el Desarrollo de la Zona Norte de Manabí CEDEM;</w:t>
      </w:r>
      <w:r>
        <w:rPr>
          <w:rFonts w:eastAsia="Times New Roman"/>
          <w:sz w:val="30"/>
          <w:szCs w:val="30"/>
          <w:lang w:val="es-ES"/>
        </w:rPr>
        <w:br/>
      </w:r>
      <w:r>
        <w:rPr>
          <w:rFonts w:eastAsia="Times New Roman"/>
          <w:sz w:val="30"/>
          <w:szCs w:val="30"/>
          <w:lang w:val="es-ES"/>
        </w:rPr>
        <w:br/>
        <w:t>27. Ley No. 70-06, publicada en el Registro Oficial No. 413 de 17 de abril de 1970;</w:t>
      </w:r>
      <w:r>
        <w:rPr>
          <w:rFonts w:eastAsia="Times New Roman"/>
          <w:sz w:val="30"/>
          <w:szCs w:val="30"/>
          <w:lang w:val="es-ES"/>
        </w:rPr>
        <w:br/>
      </w:r>
      <w:r>
        <w:rPr>
          <w:rFonts w:eastAsia="Times New Roman"/>
          <w:sz w:val="30"/>
          <w:szCs w:val="30"/>
          <w:lang w:val="es-ES"/>
        </w:rPr>
        <w:br/>
        <w:t>28. Ley 76 publicada en el Registro Oficial No. 457 de 13 de junio de 1990;</w:t>
      </w:r>
      <w:r>
        <w:rPr>
          <w:rFonts w:eastAsia="Times New Roman"/>
          <w:sz w:val="30"/>
          <w:szCs w:val="30"/>
          <w:lang w:val="es-ES"/>
        </w:rPr>
        <w:br/>
      </w:r>
      <w:r>
        <w:rPr>
          <w:rFonts w:eastAsia="Times New Roman"/>
          <w:sz w:val="30"/>
          <w:szCs w:val="30"/>
          <w:lang w:val="es-ES"/>
        </w:rPr>
        <w:br/>
        <w:t>29. Ley de E</w:t>
      </w:r>
      <w:r>
        <w:rPr>
          <w:rFonts w:eastAsia="Times New Roman"/>
          <w:sz w:val="30"/>
          <w:szCs w:val="30"/>
          <w:lang w:val="es-ES"/>
        </w:rPr>
        <w:t>xoneración de Intereses a Deudores de Foncultura;</w:t>
      </w:r>
      <w:r>
        <w:rPr>
          <w:rFonts w:eastAsia="Times New Roman"/>
          <w:sz w:val="30"/>
          <w:szCs w:val="30"/>
          <w:lang w:val="es-ES"/>
        </w:rPr>
        <w:br/>
      </w:r>
      <w:r>
        <w:rPr>
          <w:rFonts w:eastAsia="Times New Roman"/>
          <w:sz w:val="30"/>
          <w:szCs w:val="30"/>
          <w:lang w:val="es-ES"/>
        </w:rPr>
        <w:br/>
        <w:t>30. Decreto Supremo No. 623- A publicado en el Registro Oficial No. 155 de 23 de agosto de 1976.</w:t>
      </w:r>
    </w:p>
    <w:p w:rsidR="00000000" w:rsidRDefault="0018461E">
      <w:pPr>
        <w:jc w:val="center"/>
        <w:rPr>
          <w:rFonts w:eastAsia="Times New Roman"/>
          <w:sz w:val="36"/>
          <w:szCs w:val="36"/>
          <w:lang w:val="es-ES"/>
        </w:rPr>
      </w:pPr>
      <w:r>
        <w:rPr>
          <w:rFonts w:eastAsia="Times New Roman"/>
          <w:b/>
          <w:bCs/>
          <w:sz w:val="36"/>
          <w:szCs w:val="36"/>
          <w:lang w:val="es-ES"/>
        </w:rPr>
        <w:lastRenderedPageBreak/>
        <w:br/>
        <w:t>DISPOSICIONES TRANSITORIAS</w:t>
      </w:r>
    </w:p>
    <w:p w:rsidR="00000000" w:rsidRDefault="0018461E">
      <w:pPr>
        <w:divId w:val="1579631796"/>
        <w:rPr>
          <w:rFonts w:eastAsia="Times New Roman"/>
          <w:sz w:val="30"/>
          <w:szCs w:val="30"/>
          <w:lang w:val="es-ES"/>
        </w:rPr>
      </w:pPr>
      <w:r>
        <w:rPr>
          <w:rFonts w:eastAsia="Times New Roman"/>
          <w:sz w:val="30"/>
          <w:szCs w:val="30"/>
          <w:lang w:val="es-ES"/>
        </w:rPr>
        <w:t>F&gt;Primera.-</w:t>
      </w:r>
      <w:r>
        <w:rPr>
          <w:rFonts w:eastAsia="Times New Roman"/>
          <w:b/>
          <w:bCs/>
          <w:sz w:val="30"/>
          <w:szCs w:val="30"/>
          <w:lang w:val="es-ES"/>
        </w:rPr>
        <w:t xml:space="preserve"> Vigencia de resoluciones y regulaciones. </w:t>
      </w:r>
      <w:r>
        <w:rPr>
          <w:rFonts w:eastAsia="Times New Roman"/>
          <w:sz w:val="30"/>
          <w:szCs w:val="30"/>
          <w:lang w:val="es-ES"/>
        </w:rPr>
        <w:t>Las resoluciones que consta</w:t>
      </w:r>
      <w:r>
        <w:rPr>
          <w:rFonts w:eastAsia="Times New Roman"/>
          <w:sz w:val="30"/>
          <w:szCs w:val="30"/>
          <w:lang w:val="es-ES"/>
        </w:rPr>
        <w:t>n en la Codificación de Resoluciones de la Superintendencia de Bancos y Seguros y de la Junta Bancaria, las regulaciones que constan en la Codificación de Regulaciones del Directorio del Banco Central del Ecuador, las regulaciones expedidas por la Junta de</w:t>
      </w:r>
      <w:r>
        <w:rPr>
          <w:rFonts w:eastAsia="Times New Roman"/>
          <w:sz w:val="30"/>
          <w:szCs w:val="30"/>
          <w:lang w:val="es-ES"/>
        </w:rPr>
        <w:t xml:space="preserve"> Regulación del Sector Financiero Popular y Solidario, y las normas emitidas por los organismos de control, mantendrán su vigencia en todo lo que no se oponga a lo dispuesto en el Código Orgánico Monetario y Financiero, hasta que la Junta de Política y Reg</w:t>
      </w:r>
      <w:r>
        <w:rPr>
          <w:rFonts w:eastAsia="Times New Roman"/>
          <w:sz w:val="30"/>
          <w:szCs w:val="30"/>
          <w:lang w:val="es-ES"/>
        </w:rPr>
        <w:t>ulación Monetaria y Financiera resuelva lo que corresponda, según el caso.</w:t>
      </w:r>
    </w:p>
    <w:p w:rsidR="00000000" w:rsidRDefault="0018461E">
      <w:pPr>
        <w:divId w:val="1229729925"/>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Servidores. </w:t>
      </w:r>
      <w:r>
        <w:rPr>
          <w:rFonts w:eastAsia="Times New Roman"/>
          <w:sz w:val="30"/>
          <w:szCs w:val="30"/>
          <w:lang w:val="es-ES"/>
        </w:rPr>
        <w:t>Los servidores públicos que a la fecha de expedición de este Código, que en cualquier forma o a cualquier título trabajen o presten servicios para la Junta Ban</w:t>
      </w:r>
      <w:r>
        <w:rPr>
          <w:rFonts w:eastAsia="Times New Roman"/>
          <w:sz w:val="30"/>
          <w:szCs w:val="30"/>
          <w:lang w:val="es-ES"/>
        </w:rPr>
        <w:t>caria, Directorio del Banco Central, Junta de Regulación del Sector Financiero Popular y Solidario, previa evaluación, calificación y selección, de acuerdo a los requerimientos institucionales y este Código, podrán pasar a formar parte del ministerio de Es</w:t>
      </w:r>
      <w:r>
        <w:rPr>
          <w:rFonts w:eastAsia="Times New Roman"/>
          <w:sz w:val="30"/>
          <w:szCs w:val="30"/>
          <w:lang w:val="es-ES"/>
        </w:rPr>
        <w:t>tado a cargo de la Presidencia de la Junta de Política y Regulación Monetaria y Financiera.</w:t>
      </w:r>
      <w:r>
        <w:rPr>
          <w:rFonts w:eastAsia="Times New Roman"/>
          <w:sz w:val="30"/>
          <w:szCs w:val="30"/>
          <w:lang w:val="es-ES"/>
        </w:rPr>
        <w:br/>
      </w:r>
      <w:r>
        <w:rPr>
          <w:rFonts w:eastAsia="Times New Roman"/>
          <w:sz w:val="30"/>
          <w:szCs w:val="30"/>
          <w:lang w:val="es-ES"/>
        </w:rPr>
        <w:br/>
        <w:t>En el plazo de 180 días contados a partir de la promulgación del presente Código, los servidores públicos o trabajadores, que bajo cualquier modalidad, presten sus</w:t>
      </w:r>
      <w:r>
        <w:rPr>
          <w:rFonts w:eastAsia="Times New Roman"/>
          <w:sz w:val="30"/>
          <w:szCs w:val="30"/>
          <w:lang w:val="es-ES"/>
        </w:rPr>
        <w:t xml:space="preserve"> servicios para la Unidad Ejecutora de la Ley de Maternidad Gratuita y Atención a la Infancia podrán pasar, previa evaluación del Ministerio de Salud Pública, a esta entidad.</w:t>
      </w:r>
      <w:r>
        <w:rPr>
          <w:rFonts w:eastAsia="Times New Roman"/>
          <w:sz w:val="30"/>
          <w:szCs w:val="30"/>
          <w:lang w:val="es-ES"/>
        </w:rPr>
        <w:br/>
      </w:r>
      <w:r>
        <w:rPr>
          <w:rFonts w:eastAsia="Times New Roman"/>
          <w:sz w:val="30"/>
          <w:szCs w:val="30"/>
          <w:lang w:val="es-ES"/>
        </w:rPr>
        <w:br/>
        <w:t>Las competencias, bienes, derechos y obligaciones que se mantengan vigentes a la</w:t>
      </w:r>
      <w:r>
        <w:rPr>
          <w:rFonts w:eastAsia="Times New Roman"/>
          <w:sz w:val="30"/>
          <w:szCs w:val="30"/>
          <w:lang w:val="es-ES"/>
        </w:rPr>
        <w:t xml:space="preserve"> presente fecha serán asumidas por el Ministerio de Salud Pública.</w:t>
      </w:r>
      <w:r>
        <w:rPr>
          <w:rFonts w:eastAsia="Times New Roman"/>
          <w:sz w:val="30"/>
          <w:szCs w:val="30"/>
          <w:lang w:val="es-ES"/>
        </w:rPr>
        <w:br/>
      </w:r>
      <w:r>
        <w:rPr>
          <w:rFonts w:eastAsia="Times New Roman"/>
          <w:sz w:val="30"/>
          <w:szCs w:val="30"/>
          <w:lang w:val="es-ES"/>
        </w:rPr>
        <w:br/>
        <w:t>Los recursos que para efecto de maternidad gratuita y atención a la infancia se manejaban por parte de la unidad ejecutora antes mencionada, se transferirán, previo inventario al Ministeri</w:t>
      </w:r>
      <w:r>
        <w:rPr>
          <w:rFonts w:eastAsia="Times New Roman"/>
          <w:sz w:val="30"/>
          <w:szCs w:val="30"/>
          <w:lang w:val="es-ES"/>
        </w:rPr>
        <w:t>o de Salud Pública.</w:t>
      </w:r>
    </w:p>
    <w:p w:rsidR="00000000" w:rsidRDefault="0018461E">
      <w:pPr>
        <w:divId w:val="2101558698"/>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Solicitudes, reclamos y recursos. </w:t>
      </w:r>
      <w:r>
        <w:rPr>
          <w:rFonts w:eastAsia="Times New Roman"/>
          <w:sz w:val="30"/>
          <w:szCs w:val="30"/>
          <w:lang w:val="es-ES"/>
        </w:rPr>
        <w:t>Todas los reclamos y recursos y demás trámites administrativos presentados antes de la vigencia de este Código, ante el Directorio del Banco Central del Ecuador y Junta de Regulación del Secto</w:t>
      </w:r>
      <w:r>
        <w:rPr>
          <w:rFonts w:eastAsia="Times New Roman"/>
          <w:sz w:val="30"/>
          <w:szCs w:val="30"/>
          <w:lang w:val="es-ES"/>
        </w:rPr>
        <w:t xml:space="preserve">r Financiero Popular y </w:t>
      </w:r>
      <w:r>
        <w:rPr>
          <w:rFonts w:eastAsia="Times New Roman"/>
          <w:sz w:val="30"/>
          <w:szCs w:val="30"/>
          <w:lang w:val="es-ES"/>
        </w:rPr>
        <w:lastRenderedPageBreak/>
        <w:t>Solidario serán resueltos por la Junta de Política y Regulación Monetaria y Financiera, en el plazo de ciento ochenta (180) días contados desde la vigencia del Código; a este efecto, dichos cuerpos colegiados deberán transferir, en e</w:t>
      </w:r>
      <w:r>
        <w:rPr>
          <w:rFonts w:eastAsia="Times New Roman"/>
          <w:sz w:val="30"/>
          <w:szCs w:val="30"/>
          <w:lang w:val="es-ES"/>
        </w:rPr>
        <w:t>l plazo de treinta (30) días, los expedientes administrativos de los reclamos y recursos. La Junta podrá prorrogar el plazo para resolver por hasta por un (1) año.</w:t>
      </w:r>
      <w:r>
        <w:rPr>
          <w:rFonts w:eastAsia="Times New Roman"/>
          <w:sz w:val="30"/>
          <w:szCs w:val="30"/>
          <w:lang w:val="es-ES"/>
        </w:rPr>
        <w:br/>
      </w:r>
      <w:r>
        <w:rPr>
          <w:rFonts w:eastAsia="Times New Roman"/>
          <w:sz w:val="30"/>
          <w:szCs w:val="30"/>
          <w:lang w:val="es-ES"/>
        </w:rPr>
        <w:br/>
        <w:t>La Junta Bancaria continuará actuando hasta resolver todos los reclamos, recursos y demás t</w:t>
      </w:r>
      <w:r>
        <w:rPr>
          <w:rFonts w:eastAsia="Times New Roman"/>
          <w:sz w:val="30"/>
          <w:szCs w:val="30"/>
          <w:lang w:val="es-ES"/>
        </w:rPr>
        <w:t>rámites administrativos que estuvieren conociendo a la fecha de vigencia de este Código, en el plazo de ciento ochenta (180) días, prorrogables a criterio de la Junta de Política y Regulación Monetaria y Financiera. La Junta Bancaria desde la vigencia de e</w:t>
      </w:r>
      <w:r>
        <w:rPr>
          <w:rFonts w:eastAsia="Times New Roman"/>
          <w:sz w:val="30"/>
          <w:szCs w:val="30"/>
          <w:lang w:val="es-ES"/>
        </w:rPr>
        <w:t>ste Código dejará de conocer las impugnaciones contra actos normativos. Las acciones en contra de las normas vigentes expedidas por la Junta Bancaria, el Directorio del Banco Central del Ecuador y la Junta de Regulación del Sector Financiero Popular y Soli</w:t>
      </w:r>
      <w:r>
        <w:rPr>
          <w:rFonts w:eastAsia="Times New Roman"/>
          <w:sz w:val="30"/>
          <w:szCs w:val="30"/>
          <w:lang w:val="es-ES"/>
        </w:rPr>
        <w:t>dario, serán interpuestas ante la Junta de Política y Regulación Monetaria y Financiera.</w:t>
      </w:r>
    </w:p>
    <w:p w:rsidR="00000000" w:rsidRDefault="0018461E">
      <w:pPr>
        <w:divId w:val="984622405"/>
        <w:rPr>
          <w:rFonts w:eastAsia="Times New Roman"/>
          <w:sz w:val="30"/>
          <w:szCs w:val="30"/>
          <w:lang w:val="es-ES"/>
        </w:rPr>
      </w:pPr>
      <w:r>
        <w:rPr>
          <w:rFonts w:eastAsia="Times New Roman"/>
          <w:sz w:val="30"/>
          <w:szCs w:val="30"/>
          <w:lang w:val="es-ES"/>
        </w:rPr>
        <w:t>Cuarta.-</w:t>
      </w:r>
      <w:r>
        <w:rPr>
          <w:rFonts w:eastAsia="Times New Roman"/>
          <w:b/>
          <w:bCs/>
          <w:sz w:val="30"/>
          <w:szCs w:val="30"/>
          <w:lang w:val="es-ES"/>
        </w:rPr>
        <w:t xml:space="preserve"> Redes de pago y sistemas de compensación. </w:t>
      </w:r>
      <w:r>
        <w:rPr>
          <w:rFonts w:eastAsia="Times New Roman"/>
          <w:sz w:val="30"/>
          <w:szCs w:val="30"/>
          <w:lang w:val="es-ES"/>
        </w:rPr>
        <w:t xml:space="preserve">Las redes de pagos privadas y sistemas de compensación privados que se encuentren operando en el Sistema Financiero </w:t>
      </w:r>
      <w:r>
        <w:rPr>
          <w:rFonts w:eastAsia="Times New Roman"/>
          <w:sz w:val="30"/>
          <w:szCs w:val="30"/>
          <w:lang w:val="es-ES"/>
        </w:rPr>
        <w:t>Nacional deberán calificarse como sistema auxiliar de pagos y contar con la autorización del Banco Central del Ecuador que respalde sus operaciones, dentro del plazo de un (1) año contado a partir de la vigencia de este Código.</w:t>
      </w:r>
    </w:p>
    <w:p w:rsidR="00000000" w:rsidRDefault="0018461E">
      <w:pPr>
        <w:divId w:val="1399476469"/>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Autorización de los</w:t>
      </w:r>
      <w:r>
        <w:rPr>
          <w:rFonts w:eastAsia="Times New Roman"/>
          <w:b/>
          <w:bCs/>
          <w:sz w:val="30"/>
          <w:szCs w:val="30"/>
          <w:lang w:val="es-ES"/>
        </w:rPr>
        <w:t xml:space="preserve"> sistemas auxiliares de pago. </w:t>
      </w:r>
      <w:r>
        <w:rPr>
          <w:rFonts w:eastAsia="Times New Roman"/>
          <w:sz w:val="30"/>
          <w:szCs w:val="30"/>
          <w:lang w:val="es-ES"/>
        </w:rPr>
        <w:t>En un plazo máximo de noventa (90) días a partir de la vigencia de este Código, las entidades que vienen operando como sistemas auxiliares de pago, deberán solicitar al Banco Central del Ecuador la autorización respectiva para</w:t>
      </w:r>
      <w:r>
        <w:rPr>
          <w:rFonts w:eastAsia="Times New Roman"/>
          <w:sz w:val="30"/>
          <w:szCs w:val="30"/>
          <w:lang w:val="es-ES"/>
        </w:rPr>
        <w:t xml:space="preserve"> continuar operando, de acuerdo con lo dispuesto en el presente Código.</w:t>
      </w:r>
    </w:p>
    <w:p w:rsidR="00000000" w:rsidRDefault="0018461E">
      <w:pPr>
        <w:divId w:val="1559129391"/>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Publicidad sistemas auxiliares de pago. </w:t>
      </w:r>
      <w:r>
        <w:rPr>
          <w:rFonts w:eastAsia="Times New Roman"/>
          <w:sz w:val="30"/>
          <w:szCs w:val="30"/>
          <w:lang w:val="es-ES"/>
        </w:rPr>
        <w:t>El Banco Central del Ecuador, en un plazo máximo de ciento ochenta (180) días a partir de la vigencia de este Código, publicará en un di</w:t>
      </w:r>
      <w:r>
        <w:rPr>
          <w:rFonts w:eastAsia="Times New Roman"/>
          <w:sz w:val="30"/>
          <w:szCs w:val="30"/>
          <w:lang w:val="es-ES"/>
        </w:rPr>
        <w:t>ario de circulación nacional y en la página web institucional, las entidades autorizadas para operar como sistemas auxiliares de pago, así como las que se encuentran en proceso de autorización.</w:t>
      </w:r>
    </w:p>
    <w:p w:rsidR="00000000" w:rsidRDefault="0018461E">
      <w:pPr>
        <w:divId w:val="1016611651"/>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Compensación y liquidación de entidades del Sector F</w:t>
      </w:r>
      <w:r>
        <w:rPr>
          <w:rFonts w:eastAsia="Times New Roman"/>
          <w:b/>
          <w:bCs/>
          <w:sz w:val="30"/>
          <w:szCs w:val="30"/>
          <w:lang w:val="es-ES"/>
        </w:rPr>
        <w:t xml:space="preserve">inanciero Popular y Solidario. </w:t>
      </w:r>
      <w:r>
        <w:rPr>
          <w:rFonts w:eastAsia="Times New Roman"/>
          <w:sz w:val="30"/>
          <w:szCs w:val="30"/>
          <w:lang w:val="es-ES"/>
        </w:rPr>
        <w:t xml:space="preserve">En un plazo máximo de ciento ochenta (180) días a partir de la vigencia de este Código, el Banco Central del Ecuador establecerá el mecanismo de compensación y </w:t>
      </w:r>
      <w:r>
        <w:rPr>
          <w:rFonts w:eastAsia="Times New Roman"/>
          <w:sz w:val="30"/>
          <w:szCs w:val="30"/>
          <w:lang w:val="es-ES"/>
        </w:rPr>
        <w:lastRenderedPageBreak/>
        <w:t>liquidación que deberán aplicar las entidades que actúen como sis</w:t>
      </w:r>
      <w:r>
        <w:rPr>
          <w:rFonts w:eastAsia="Times New Roman"/>
          <w:sz w:val="30"/>
          <w:szCs w:val="30"/>
          <w:lang w:val="es-ES"/>
        </w:rPr>
        <w:t>temas auxiliares de pago, para las operaciones que efectúen las entidades del sector financiero popular y solidario.</w:t>
      </w:r>
    </w:p>
    <w:p w:rsidR="00000000" w:rsidRDefault="0018461E">
      <w:pPr>
        <w:divId w:val="173494202"/>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Sistema de garantía crediticia. </w:t>
      </w:r>
      <w:r>
        <w:rPr>
          <w:rFonts w:eastAsia="Times New Roman"/>
          <w:sz w:val="30"/>
          <w:szCs w:val="30"/>
          <w:lang w:val="es-ES"/>
        </w:rPr>
        <w:t>El sistema de garantía crediticia referido en la Ley de Creación del Sistema de Garantía Creditici</w:t>
      </w:r>
      <w:r>
        <w:rPr>
          <w:rFonts w:eastAsia="Times New Roman"/>
          <w:sz w:val="30"/>
          <w:szCs w:val="30"/>
          <w:lang w:val="es-ES"/>
        </w:rPr>
        <w:t xml:space="preserve">a, seguirá operando de acuerdo con las disposiciones aplicables a la fecha de vigencia de este Código, hasta su transformación en el sistema de garantía crediticia señalado en el artículo 149, de acuerdo con las regulaciones que emita la Junta de Política </w:t>
      </w:r>
      <w:r>
        <w:rPr>
          <w:rFonts w:eastAsia="Times New Roman"/>
          <w:sz w:val="30"/>
          <w:szCs w:val="30"/>
          <w:lang w:val="es-ES"/>
        </w:rPr>
        <w:t>y Regulación Monetaria y Financiera.</w:t>
      </w:r>
      <w:r>
        <w:rPr>
          <w:rFonts w:eastAsia="Times New Roman"/>
          <w:sz w:val="30"/>
          <w:szCs w:val="30"/>
          <w:lang w:val="es-ES"/>
        </w:rPr>
        <w:br/>
      </w:r>
      <w:r>
        <w:rPr>
          <w:rFonts w:eastAsia="Times New Roman"/>
          <w:sz w:val="30"/>
          <w:szCs w:val="30"/>
          <w:lang w:val="es-ES"/>
        </w:rPr>
        <w:br/>
        <w:t xml:space="preserve">En el plazo de noventa (90) días de vigencia de este Código, el fideicomiso Fondo Nacional de Garantía constituido por la Corporación Financiera Nacional al amparo del artículo 65 del Código Orgánico de la Producción, </w:t>
      </w:r>
      <w:r>
        <w:rPr>
          <w:rFonts w:eastAsia="Times New Roman"/>
          <w:sz w:val="30"/>
          <w:szCs w:val="30"/>
          <w:lang w:val="es-ES"/>
        </w:rPr>
        <w:t>Comercio e Inversiones, deberá reformarse a fin de integrarlo al Sistema de Garantía Crediticia referido en el artículo 149.</w:t>
      </w:r>
    </w:p>
    <w:p w:rsidR="00000000" w:rsidRDefault="0018461E">
      <w:pPr>
        <w:divId w:val="797845030"/>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Vigencia de los certificados de autorización. </w:t>
      </w:r>
      <w:r>
        <w:rPr>
          <w:rFonts w:eastAsia="Times New Roman"/>
          <w:sz w:val="30"/>
          <w:szCs w:val="30"/>
          <w:lang w:val="es-ES"/>
        </w:rPr>
        <w:t xml:space="preserve">Los certificados de autorización emitidos por la Superintendencia de Bancos </w:t>
      </w:r>
      <w:r>
        <w:rPr>
          <w:rFonts w:eastAsia="Times New Roman"/>
          <w:sz w:val="30"/>
          <w:szCs w:val="30"/>
          <w:lang w:val="es-ES"/>
        </w:rPr>
        <w:t>y Seguros, que amparan el funcionamiento de las entidades financieras públicas y privadas, con excepción de las entidades de servicios auxiliares del sistema financiero, que actualmente están operando, son válidos y estarán vigentes hasta que sean sustitui</w:t>
      </w:r>
      <w:r>
        <w:rPr>
          <w:rFonts w:eastAsia="Times New Roman"/>
          <w:sz w:val="30"/>
          <w:szCs w:val="30"/>
          <w:lang w:val="es-ES"/>
        </w:rPr>
        <w:t>dos por las autorizaciones para el ejercicio de actividades financieras y los correspondientes permisos de funcionamiento a los que se refiere el artículo 144, de acuerdo con los tipos de entidad, previo el cumplimiento de los niveles de capital, patrimoni</w:t>
      </w:r>
      <w:r>
        <w:rPr>
          <w:rFonts w:eastAsia="Times New Roman"/>
          <w:sz w:val="30"/>
          <w:szCs w:val="30"/>
          <w:lang w:val="es-ES"/>
        </w:rPr>
        <w:t>o, liquidez, solvencia y los demás requisitos determinados en este Código, y en la regulación que expida la Junta de Política y Regulación Monetaria y Financiera.</w:t>
      </w:r>
      <w:r>
        <w:rPr>
          <w:rFonts w:eastAsia="Times New Roman"/>
          <w:sz w:val="30"/>
          <w:szCs w:val="30"/>
          <w:lang w:val="es-ES"/>
        </w:rPr>
        <w:br/>
      </w:r>
      <w:r>
        <w:rPr>
          <w:rFonts w:eastAsia="Times New Roman"/>
          <w:sz w:val="30"/>
          <w:szCs w:val="30"/>
          <w:lang w:val="es-ES"/>
        </w:rPr>
        <w:br/>
        <w:t>La sustitución de los certificados por las autorizaciones deberá realizarse en el plazo de d</w:t>
      </w:r>
      <w:r>
        <w:rPr>
          <w:rFonts w:eastAsia="Times New Roman"/>
          <w:sz w:val="30"/>
          <w:szCs w:val="30"/>
          <w:lang w:val="es-ES"/>
        </w:rPr>
        <w:t>ieciocho meses contados a partir de la vigencia de este Código. La Superintendencia de Bancos, en acuerdo con la Junta de Política y Regulación Monetaria y Financiera, podrá ampliar el plazo hasta por dieciocho meses, por una sola vez, por razones debidame</w:t>
      </w:r>
      <w:r>
        <w:rPr>
          <w:rFonts w:eastAsia="Times New Roman"/>
          <w:sz w:val="30"/>
          <w:szCs w:val="30"/>
          <w:lang w:val="es-ES"/>
        </w:rPr>
        <w:t>nte justificadas.</w:t>
      </w:r>
      <w:r>
        <w:rPr>
          <w:rFonts w:eastAsia="Times New Roman"/>
          <w:sz w:val="30"/>
          <w:szCs w:val="30"/>
          <w:lang w:val="es-ES"/>
        </w:rPr>
        <w:br/>
      </w:r>
      <w:r>
        <w:rPr>
          <w:rFonts w:eastAsia="Times New Roman"/>
          <w:sz w:val="30"/>
          <w:szCs w:val="30"/>
          <w:lang w:val="es-ES"/>
        </w:rPr>
        <w:br/>
        <w:t>Dentro de dichos plazos, las entidades financieras privadas deberán reformar su estatuto social y realizar las demás acciones necesarias para adecuarse a las disposiciones de este Código.</w:t>
      </w:r>
      <w:r>
        <w:rPr>
          <w:rFonts w:eastAsia="Times New Roman"/>
          <w:sz w:val="30"/>
          <w:szCs w:val="30"/>
          <w:lang w:val="es-ES"/>
        </w:rPr>
        <w:br/>
      </w:r>
      <w:r>
        <w:rPr>
          <w:rFonts w:eastAsia="Times New Roman"/>
          <w:sz w:val="30"/>
          <w:szCs w:val="30"/>
          <w:lang w:val="es-ES"/>
        </w:rPr>
        <w:lastRenderedPageBreak/>
        <w:br/>
        <w:t>Para cumplir con esta disposición transitoria la</w:t>
      </w:r>
      <w:r>
        <w:rPr>
          <w:rFonts w:eastAsia="Times New Roman"/>
          <w:sz w:val="30"/>
          <w:szCs w:val="30"/>
          <w:lang w:val="es-ES"/>
        </w:rPr>
        <w:t>s entidades financieras públicas y privadas podrán fusionarse, convertirse, o dejarán de operar e iniciarán un proceso de liquidación en apego a las normas que dicte la Superintendencia de Bancos."</w:t>
      </w:r>
    </w:p>
    <w:p w:rsidR="00000000" w:rsidRDefault="0018461E">
      <w:pPr>
        <w:divId w:val="571307838"/>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Catastro público de entidades financieras. </w:t>
      </w:r>
      <w:r>
        <w:rPr>
          <w:rFonts w:eastAsia="Times New Roman"/>
          <w:sz w:val="30"/>
          <w:szCs w:val="30"/>
          <w:lang w:val="es-ES"/>
        </w:rPr>
        <w:t xml:space="preserve">En el </w:t>
      </w:r>
      <w:r>
        <w:rPr>
          <w:rFonts w:eastAsia="Times New Roman"/>
          <w:sz w:val="30"/>
          <w:szCs w:val="30"/>
          <w:lang w:val="es-ES"/>
        </w:rPr>
        <w:t>plazo de noventa (90) días contados a partir de la vigencia de este Código, las superintendencias deberán convertir la base de datos de las entidades bajo su control en el Catastro Público dispuesto en el presente cuerpo legal.</w:t>
      </w:r>
    </w:p>
    <w:p w:rsidR="00000000" w:rsidRDefault="0018461E">
      <w:pPr>
        <w:divId w:val="873733317"/>
        <w:rPr>
          <w:rFonts w:eastAsia="Times New Roman"/>
          <w:sz w:val="30"/>
          <w:szCs w:val="30"/>
          <w:lang w:val="es-ES"/>
        </w:rPr>
      </w:pPr>
      <w:r>
        <w:rPr>
          <w:rFonts w:eastAsia="Times New Roman"/>
          <w:sz w:val="30"/>
          <w:szCs w:val="30"/>
          <w:lang w:val="es-ES"/>
        </w:rPr>
        <w:t>Décima primera.-</w:t>
      </w:r>
      <w:r>
        <w:rPr>
          <w:rFonts w:eastAsia="Times New Roman"/>
          <w:b/>
          <w:bCs/>
          <w:sz w:val="30"/>
          <w:szCs w:val="30"/>
          <w:lang w:val="es-ES"/>
        </w:rPr>
        <w:t xml:space="preserve"> Publicación</w:t>
      </w:r>
      <w:r>
        <w:rPr>
          <w:rFonts w:eastAsia="Times New Roman"/>
          <w:b/>
          <w:bCs/>
          <w:sz w:val="30"/>
          <w:szCs w:val="30"/>
          <w:lang w:val="es-ES"/>
        </w:rPr>
        <w:t xml:space="preserve"> de las superintendencias. </w:t>
      </w:r>
      <w:r>
        <w:rPr>
          <w:rFonts w:eastAsia="Times New Roman"/>
          <w:sz w:val="30"/>
          <w:szCs w:val="30"/>
          <w:lang w:val="es-ES"/>
        </w:rPr>
        <w:t>La publicación de la información financiera y estadística, dispuesta en los artículos 221, 222 y 224, de las entidades del Sector Financiero Popular y Solidario será publicada e informada por la Superintendencia de Economía Popul</w:t>
      </w:r>
      <w:r>
        <w:rPr>
          <w:rFonts w:eastAsia="Times New Roman"/>
          <w:sz w:val="30"/>
          <w:szCs w:val="30"/>
          <w:lang w:val="es-ES"/>
        </w:rPr>
        <w:t>ar y Solidaria, de forma progresiva, al igual que la supervisión a las entidades del sector financiero popular y solidario, en el plazo de tres (3) años desde la vigencia de éste Código.</w:t>
      </w:r>
    </w:p>
    <w:p w:rsidR="00000000" w:rsidRDefault="0018461E">
      <w:pPr>
        <w:divId w:val="1268467246"/>
        <w:rPr>
          <w:rFonts w:eastAsia="Times New Roman"/>
          <w:sz w:val="30"/>
          <w:szCs w:val="30"/>
          <w:lang w:val="es-ES"/>
        </w:rPr>
      </w:pPr>
      <w:r>
        <w:rPr>
          <w:rFonts w:eastAsia="Times New Roman"/>
          <w:sz w:val="30"/>
          <w:szCs w:val="30"/>
          <w:lang w:val="es-ES"/>
        </w:rPr>
        <w:t>Décima segunda.-</w:t>
      </w:r>
      <w:r>
        <w:rPr>
          <w:rFonts w:eastAsia="Times New Roman"/>
          <w:b/>
          <w:bCs/>
          <w:sz w:val="30"/>
          <w:szCs w:val="30"/>
          <w:lang w:val="es-ES"/>
        </w:rPr>
        <w:t xml:space="preserve"> Corporación del Seguro de Depósitos y Fondo de Liqui</w:t>
      </w:r>
      <w:r>
        <w:rPr>
          <w:rFonts w:eastAsia="Times New Roman"/>
          <w:b/>
          <w:bCs/>
          <w:sz w:val="30"/>
          <w:szCs w:val="30"/>
          <w:lang w:val="es-ES"/>
        </w:rPr>
        <w:t xml:space="preserve">dez: </w:t>
      </w:r>
      <w:r>
        <w:rPr>
          <w:rFonts w:eastAsia="Times New Roman"/>
          <w:sz w:val="30"/>
          <w:szCs w:val="30"/>
          <w:lang w:val="es-ES"/>
        </w:rPr>
        <w:t>La Corporación del Seguro de Depósitos y el Fondo de Liquidez creados por la Ley de la Red de Seguridad Financiera se transformarán en la Corporación del Seguros de Depósitos y Fondo de Liquidez de los sectores financiero privado y popular y solidario</w:t>
      </w:r>
      <w:r>
        <w:rPr>
          <w:rFonts w:eastAsia="Times New Roman"/>
          <w:sz w:val="30"/>
          <w:szCs w:val="30"/>
          <w:lang w:val="es-ES"/>
        </w:rPr>
        <w:t>, en el plazo de sesenta (60) días desde la vigencia de este Código. Hasta que se perfeccione esta transformación, la Corporación del Seguro de Depósitos y el Fondo de Liquidez continuarán funcionando de acuerdo con su ley de creación.</w:t>
      </w:r>
    </w:p>
    <w:p w:rsidR="00000000" w:rsidRDefault="0018461E">
      <w:pPr>
        <w:divId w:val="34548665"/>
        <w:rPr>
          <w:rFonts w:eastAsia="Times New Roman"/>
          <w:sz w:val="30"/>
          <w:szCs w:val="30"/>
          <w:lang w:val="es-ES"/>
        </w:rPr>
      </w:pPr>
      <w:r>
        <w:rPr>
          <w:rFonts w:eastAsia="Times New Roman"/>
          <w:sz w:val="30"/>
          <w:szCs w:val="30"/>
          <w:lang w:val="es-ES"/>
        </w:rPr>
        <w:t>Décima tercera.-</w:t>
      </w:r>
      <w:r>
        <w:rPr>
          <w:rFonts w:eastAsia="Times New Roman"/>
          <w:b/>
          <w:bCs/>
          <w:sz w:val="30"/>
          <w:szCs w:val="30"/>
          <w:lang w:val="es-ES"/>
        </w:rPr>
        <w:t xml:space="preserve"> Seg</w:t>
      </w:r>
      <w:r>
        <w:rPr>
          <w:rFonts w:eastAsia="Times New Roman"/>
          <w:b/>
          <w:bCs/>
          <w:sz w:val="30"/>
          <w:szCs w:val="30"/>
          <w:lang w:val="es-ES"/>
        </w:rPr>
        <w:t xml:space="preserve">uro de Depósitos, Fondo de Liquidez y Fondo de Seguros Privados: </w:t>
      </w:r>
      <w:r>
        <w:rPr>
          <w:rFonts w:eastAsia="Times New Roman"/>
          <w:sz w:val="30"/>
          <w:szCs w:val="30"/>
          <w:lang w:val="es-ES"/>
        </w:rPr>
        <w:t>Hasta que se constituyan los nuevos fideicomisos del Seguro de Depósitos y Fondo de Liquidez dispuestos en este Código, continuarán operando los Fideicomisos Mercantiles de los Fondos del Seg</w:t>
      </w:r>
      <w:r>
        <w:rPr>
          <w:rFonts w:eastAsia="Times New Roman"/>
          <w:sz w:val="30"/>
          <w:szCs w:val="30"/>
          <w:lang w:val="es-ES"/>
        </w:rPr>
        <w:t>uro de Depósitos y el Fideicomiso Mercantil de Inversión Fondo de Liquidez.</w:t>
      </w:r>
      <w:r>
        <w:rPr>
          <w:rFonts w:eastAsia="Times New Roman"/>
          <w:sz w:val="30"/>
          <w:szCs w:val="30"/>
          <w:lang w:val="es-ES"/>
        </w:rPr>
        <w:br/>
      </w:r>
      <w:r>
        <w:rPr>
          <w:rFonts w:eastAsia="Times New Roman"/>
          <w:sz w:val="30"/>
          <w:szCs w:val="30"/>
          <w:lang w:val="es-ES"/>
        </w:rPr>
        <w:br/>
        <w:t xml:space="preserve">Una vez constituidos los nuevos fideicomisos del Seguro de Depósitos, Fondo de Liquidez y Fondo de Seguros Privados dispuestos en este Código, los Fideicomisos Mercantiles de los </w:t>
      </w:r>
      <w:r>
        <w:rPr>
          <w:rFonts w:eastAsia="Times New Roman"/>
          <w:sz w:val="30"/>
          <w:szCs w:val="30"/>
          <w:lang w:val="es-ES"/>
        </w:rPr>
        <w:t xml:space="preserve">Fondos del Seguro de Depósitos y el Fideicomiso Mercantil de Inversión Fondo de Liquidez, transferirán sus recursos a los nuevos fideicomisos y posteriormente serán liquidados. El plazo para la </w:t>
      </w:r>
      <w:r>
        <w:rPr>
          <w:rFonts w:eastAsia="Times New Roman"/>
          <w:sz w:val="30"/>
          <w:szCs w:val="30"/>
          <w:lang w:val="es-ES"/>
        </w:rPr>
        <w:lastRenderedPageBreak/>
        <w:t>transferencia a la que se refiere este artículo no podrá exced</w:t>
      </w:r>
      <w:r>
        <w:rPr>
          <w:rFonts w:eastAsia="Times New Roman"/>
          <w:sz w:val="30"/>
          <w:szCs w:val="30"/>
          <w:lang w:val="es-ES"/>
        </w:rPr>
        <w:t>er a los 60 días contados desde que los nuevos fideicomisos estén operativos.</w:t>
      </w:r>
      <w:r>
        <w:rPr>
          <w:rFonts w:eastAsia="Times New Roman"/>
          <w:sz w:val="30"/>
          <w:szCs w:val="30"/>
          <w:lang w:val="es-ES"/>
        </w:rPr>
        <w:br/>
      </w:r>
      <w:r>
        <w:rPr>
          <w:rFonts w:eastAsia="Times New Roman"/>
          <w:sz w:val="30"/>
          <w:szCs w:val="30"/>
          <w:lang w:val="es-ES"/>
        </w:rPr>
        <w:br/>
        <w:t>El Fondo de Seguros Privados comenzará a operar a partir del 1 de enero de 2016.</w:t>
      </w:r>
      <w:r>
        <w:rPr>
          <w:rFonts w:eastAsia="Times New Roman"/>
          <w:sz w:val="30"/>
          <w:szCs w:val="30"/>
          <w:lang w:val="es-ES"/>
        </w:rPr>
        <w:br/>
      </w:r>
      <w:r>
        <w:rPr>
          <w:rFonts w:eastAsia="Times New Roman"/>
          <w:sz w:val="30"/>
          <w:szCs w:val="30"/>
          <w:lang w:val="es-ES"/>
        </w:rPr>
        <w:br/>
        <w:t>Todos los servidores públicos que estuvieren directa e indirectamente relacionados con el cumpl</w:t>
      </w:r>
      <w:r>
        <w:rPr>
          <w:rFonts w:eastAsia="Times New Roman"/>
          <w:sz w:val="30"/>
          <w:szCs w:val="30"/>
          <w:lang w:val="es-ES"/>
        </w:rPr>
        <w:t>imiento de esta disposición, prioritariamente atenderán los trámites necesarios para el perfeccionamiento de lo dispuesto.</w:t>
      </w:r>
      <w:r>
        <w:rPr>
          <w:rFonts w:eastAsia="Times New Roman"/>
          <w:sz w:val="30"/>
          <w:szCs w:val="30"/>
          <w:lang w:val="es-ES"/>
        </w:rPr>
        <w:br/>
      </w:r>
      <w:r>
        <w:rPr>
          <w:rFonts w:eastAsia="Times New Roman"/>
          <w:sz w:val="30"/>
          <w:szCs w:val="30"/>
          <w:lang w:val="es-ES"/>
        </w:rPr>
        <w:br/>
        <w:t>El ente rector de las finanzas públicas aportará, por esta sola vez, con cargo al Presupuesto General del Estado, la suma de cuarent</w:t>
      </w:r>
      <w:r>
        <w:rPr>
          <w:rFonts w:eastAsia="Times New Roman"/>
          <w:sz w:val="30"/>
          <w:szCs w:val="30"/>
          <w:lang w:val="es-ES"/>
        </w:rPr>
        <w:t>a millones (40?000.000,00) de dólares de los Estados Unidos de América, al fideicomiso del seguro de depósitos del Sector Financiero Popular y Solidario. "</w:t>
      </w:r>
    </w:p>
    <w:p w:rsidR="00000000" w:rsidRDefault="0018461E">
      <w:pPr>
        <w:divId w:val="2043938298"/>
        <w:rPr>
          <w:rFonts w:eastAsia="Times New Roman"/>
          <w:sz w:val="30"/>
          <w:szCs w:val="30"/>
          <w:lang w:val="es-ES"/>
        </w:rPr>
      </w:pPr>
      <w:r>
        <w:rPr>
          <w:rFonts w:eastAsia="Times New Roman"/>
          <w:sz w:val="30"/>
          <w:szCs w:val="30"/>
          <w:lang w:val="es-ES"/>
        </w:rPr>
        <w:t xml:space="preserve">Décima cuarta.- </w:t>
      </w:r>
      <w:r>
        <w:rPr>
          <w:rFonts w:eastAsia="Times New Roman"/>
          <w:b/>
          <w:bCs/>
          <w:sz w:val="30"/>
          <w:szCs w:val="30"/>
          <w:lang w:val="es-ES"/>
        </w:rPr>
        <w:t>Cobertura del Seguro de Depósitos para las cooperativas de ahorro y crédito y las as</w:t>
      </w:r>
      <w:r>
        <w:rPr>
          <w:rFonts w:eastAsia="Times New Roman"/>
          <w:b/>
          <w:bCs/>
          <w:sz w:val="30"/>
          <w:szCs w:val="30"/>
          <w:lang w:val="es-ES"/>
        </w:rPr>
        <w:t xml:space="preserve">ociaciones mutualistas de ahorro y crédito para la vivienda del Sector Financiero Popular y Solidario: </w:t>
      </w:r>
      <w:r>
        <w:rPr>
          <w:rFonts w:eastAsia="Times New Roman"/>
          <w:sz w:val="30"/>
          <w:szCs w:val="30"/>
          <w:lang w:val="es-ES"/>
        </w:rPr>
        <w:t>Las cooperativas de ahorro y crédito y las asociaciones mutualistas de ahorro y crédito para la vivienda del Sector Financiero Popular y Solidario que no</w:t>
      </w:r>
      <w:r>
        <w:rPr>
          <w:rFonts w:eastAsia="Times New Roman"/>
          <w:sz w:val="30"/>
          <w:szCs w:val="30"/>
          <w:lang w:val="es-ES"/>
        </w:rPr>
        <w:t xml:space="preserve"> son parte del segmento 1, que se encuentren registradas en el Catastro Público a cargo de la Superintendencia de Economía Popular y Solidaria, mantendrán una cobertura del Seguro de Depósitos por mil dólares de los Estados Unidos de América (USD $ 1.000,0</w:t>
      </w:r>
      <w:r>
        <w:rPr>
          <w:rFonts w:eastAsia="Times New Roman"/>
          <w:sz w:val="30"/>
          <w:szCs w:val="30"/>
          <w:lang w:val="es-ES"/>
        </w:rPr>
        <w:t>0); dicho valor se incrementará hasta el valor establecido en el artículo 328, en función de la presentación de la información requerida por el directorio del Seguro de Depósitos y Fondo de Liquidez, dentro del plazo que este defina.</w:t>
      </w:r>
      <w:r>
        <w:rPr>
          <w:rFonts w:eastAsia="Times New Roman"/>
          <w:sz w:val="30"/>
          <w:szCs w:val="30"/>
          <w:lang w:val="es-ES"/>
        </w:rPr>
        <w:br/>
      </w:r>
      <w:r>
        <w:rPr>
          <w:rFonts w:eastAsia="Times New Roman"/>
          <w:sz w:val="30"/>
          <w:szCs w:val="30"/>
          <w:lang w:val="es-ES"/>
        </w:rPr>
        <w:br/>
        <w:t>A partir de la promul</w:t>
      </w:r>
      <w:r>
        <w:rPr>
          <w:rFonts w:eastAsia="Times New Roman"/>
          <w:sz w:val="30"/>
          <w:szCs w:val="30"/>
          <w:lang w:val="es-ES"/>
        </w:rPr>
        <w:t>gación del presente Código, las cooperativas de ahorro y crédito del Sector Financiero Popular y Solidario señaladas en el inciso anterior, tienen la obligación de contribuir al Seguro de Depósitos, de conformidad con las regulaciones que emita la Junta de</w:t>
      </w:r>
      <w:r>
        <w:rPr>
          <w:rFonts w:eastAsia="Times New Roman"/>
          <w:sz w:val="30"/>
          <w:szCs w:val="30"/>
          <w:lang w:val="es-ES"/>
        </w:rPr>
        <w:t xml:space="preserve"> Política y Regulación Monetaria y Financiera.</w:t>
      </w:r>
      <w:r>
        <w:rPr>
          <w:rFonts w:eastAsia="Times New Roman"/>
          <w:sz w:val="30"/>
          <w:szCs w:val="30"/>
          <w:lang w:val="es-ES"/>
        </w:rPr>
        <w:br/>
      </w:r>
      <w:r>
        <w:rPr>
          <w:rFonts w:eastAsia="Times New Roman"/>
          <w:sz w:val="30"/>
          <w:szCs w:val="30"/>
          <w:lang w:val="es-ES"/>
        </w:rPr>
        <w:br/>
        <w:t>La cobertura de Seguro de Depósitos por mil dólares de los Estados Unidos de América (USD $ 1.000,00), establecida en esta disposición, se aplicará para las entidades del Sector Financiero Popular y Solidario</w:t>
      </w:r>
      <w:r>
        <w:rPr>
          <w:rFonts w:eastAsia="Times New Roman"/>
          <w:sz w:val="30"/>
          <w:szCs w:val="30"/>
          <w:lang w:val="es-ES"/>
        </w:rPr>
        <w:t xml:space="preserve"> que al momento de expedición de este Código se encuentren </w:t>
      </w:r>
      <w:r>
        <w:rPr>
          <w:rFonts w:eastAsia="Times New Roman"/>
          <w:sz w:val="30"/>
          <w:szCs w:val="30"/>
          <w:lang w:val="es-ES"/>
        </w:rPr>
        <w:lastRenderedPageBreak/>
        <w:t>en proceso de liquidación conforme lo dispuesto en la Ley Orgánica de Economía Popular y Solidaria y del Sector Financiero Popular y Solidario. En este caso no es aplicable la disposición del artíc</w:t>
      </w:r>
      <w:r>
        <w:rPr>
          <w:rFonts w:eastAsia="Times New Roman"/>
          <w:sz w:val="30"/>
          <w:szCs w:val="30"/>
          <w:lang w:val="es-ES"/>
        </w:rPr>
        <w:t>ulo 330, inciso segundo. En su lugar, la Corporación de Seguro de Depósitos y Fondo de Liquidez será acreedor por los montos cubiertos según el orden establecido para el efecto."</w:t>
      </w:r>
    </w:p>
    <w:p w:rsidR="00000000" w:rsidRDefault="0018461E">
      <w:pPr>
        <w:divId w:val="1660763511"/>
        <w:rPr>
          <w:rFonts w:eastAsia="Times New Roman"/>
          <w:sz w:val="30"/>
          <w:szCs w:val="30"/>
          <w:lang w:val="es-ES"/>
        </w:rPr>
      </w:pPr>
      <w:r>
        <w:rPr>
          <w:rFonts w:eastAsia="Times New Roman"/>
          <w:sz w:val="30"/>
          <w:szCs w:val="30"/>
          <w:lang w:val="es-ES"/>
        </w:rPr>
        <w:t>Décima quinta.-</w:t>
      </w:r>
      <w:r>
        <w:rPr>
          <w:rFonts w:eastAsia="Times New Roman"/>
          <w:b/>
          <w:bCs/>
          <w:sz w:val="30"/>
          <w:szCs w:val="30"/>
          <w:lang w:val="es-ES"/>
        </w:rPr>
        <w:t xml:space="preserve"> Cumplimiento tributario de cuentas extranjeras: </w:t>
      </w:r>
      <w:r>
        <w:rPr>
          <w:rFonts w:eastAsia="Times New Roman"/>
          <w:sz w:val="30"/>
          <w:szCs w:val="30"/>
          <w:lang w:val="es-ES"/>
        </w:rPr>
        <w:t>Durante el pl</w:t>
      </w:r>
      <w:r>
        <w:rPr>
          <w:rFonts w:eastAsia="Times New Roman"/>
          <w:sz w:val="30"/>
          <w:szCs w:val="30"/>
          <w:lang w:val="es-ES"/>
        </w:rPr>
        <w:t>azo de cuatro (4) años desde la vigencia de este Código, los organismos de control podrán autorizar la entrega de información a la que hace referencia el artículo 354, numeral 7, sin reciprocidad, hasta que se suscriban los convenios intergubernamentales d</w:t>
      </w:r>
      <w:r>
        <w:rPr>
          <w:rFonts w:eastAsia="Times New Roman"/>
          <w:sz w:val="30"/>
          <w:szCs w:val="30"/>
          <w:lang w:val="es-ES"/>
        </w:rPr>
        <w:t>e entrega de información recíproca.</w:t>
      </w:r>
    </w:p>
    <w:p w:rsidR="00000000" w:rsidRDefault="0018461E">
      <w:pPr>
        <w:divId w:val="398790431"/>
        <w:rPr>
          <w:rFonts w:eastAsia="Times New Roman"/>
          <w:sz w:val="30"/>
          <w:szCs w:val="30"/>
          <w:lang w:val="es-ES"/>
        </w:rPr>
      </w:pPr>
      <w:r>
        <w:rPr>
          <w:rFonts w:eastAsia="Times New Roman"/>
          <w:sz w:val="30"/>
          <w:szCs w:val="30"/>
          <w:lang w:val="es-ES"/>
        </w:rPr>
        <w:t>Décima sexta.-</w:t>
      </w:r>
      <w:r>
        <w:rPr>
          <w:rFonts w:eastAsia="Times New Roman"/>
          <w:b/>
          <w:bCs/>
          <w:sz w:val="30"/>
          <w:szCs w:val="30"/>
          <w:lang w:val="es-ES"/>
        </w:rPr>
        <w:t xml:space="preserve"> Sector Financiero Público: </w:t>
      </w:r>
      <w:r>
        <w:rPr>
          <w:rFonts w:eastAsia="Times New Roman"/>
          <w:sz w:val="30"/>
          <w:szCs w:val="30"/>
          <w:lang w:val="es-ES"/>
        </w:rPr>
        <w:t>El Banco del Estado, el Banco Nacional de Fomento, la Corporación Financiera Nacional y la Corporación Nacional de Finanzas Populares y Solidarias continuarán operando de acuerdo</w:t>
      </w:r>
      <w:r>
        <w:rPr>
          <w:rFonts w:eastAsia="Times New Roman"/>
          <w:sz w:val="30"/>
          <w:szCs w:val="30"/>
          <w:lang w:val="es-ES"/>
        </w:rPr>
        <w:t xml:space="preserve"> con sus leyes de creación, hasta que el Presidente de la República expida los correspondientes decretos ejecutivos mediante los cuales reorganice o liquide las entidades del Sector Financiero Público y se otorguen las autorizaciones y permisos de funciona</w:t>
      </w:r>
      <w:r>
        <w:rPr>
          <w:rFonts w:eastAsia="Times New Roman"/>
          <w:sz w:val="30"/>
          <w:szCs w:val="30"/>
          <w:lang w:val="es-ES"/>
        </w:rPr>
        <w:t>miento, conforme las disposiciones de este Código.</w:t>
      </w:r>
    </w:p>
    <w:p w:rsidR="00000000" w:rsidRDefault="0018461E">
      <w:pPr>
        <w:divId w:val="825822495"/>
        <w:rPr>
          <w:rFonts w:eastAsia="Times New Roman"/>
          <w:sz w:val="30"/>
          <w:szCs w:val="30"/>
          <w:lang w:val="es-ES"/>
        </w:rPr>
      </w:pPr>
      <w:r>
        <w:rPr>
          <w:rFonts w:eastAsia="Times New Roman"/>
          <w:sz w:val="30"/>
          <w:szCs w:val="30"/>
          <w:lang w:val="es-ES"/>
        </w:rPr>
        <w:t>Décima séptima.-</w:t>
      </w:r>
      <w:r>
        <w:rPr>
          <w:rFonts w:eastAsia="Times New Roman"/>
          <w:b/>
          <w:bCs/>
          <w:sz w:val="30"/>
          <w:szCs w:val="30"/>
          <w:lang w:val="es-ES"/>
        </w:rPr>
        <w:t xml:space="preserve"> Trabajadores y servidores del Sector Financiero Público: </w:t>
      </w:r>
      <w:r>
        <w:rPr>
          <w:rFonts w:eastAsia="Times New Roman"/>
          <w:sz w:val="30"/>
          <w:szCs w:val="30"/>
          <w:lang w:val="es-ES"/>
        </w:rPr>
        <w:t>Por efectos de la reorganización del Sector Financiero Público, los trabajadores y servidores públicos que a la fecha de expedición</w:t>
      </w:r>
      <w:r>
        <w:rPr>
          <w:rFonts w:eastAsia="Times New Roman"/>
          <w:sz w:val="30"/>
          <w:szCs w:val="30"/>
          <w:lang w:val="es-ES"/>
        </w:rPr>
        <w:t xml:space="preserve"> de este Código, que en cualquier forma o a cualquier título, trabajen o presten servicios en dichas entidades, previa evaluación, calificación y selección, de acuerdo a los requerimientos institucionales y este Código, podrán pasar a formar parte de la nu</w:t>
      </w:r>
      <w:r>
        <w:rPr>
          <w:rFonts w:eastAsia="Times New Roman"/>
          <w:sz w:val="30"/>
          <w:szCs w:val="30"/>
          <w:lang w:val="es-ES"/>
        </w:rPr>
        <w:t>evas entidades financieras públicas.</w:t>
      </w:r>
      <w:r>
        <w:rPr>
          <w:rFonts w:eastAsia="Times New Roman"/>
          <w:sz w:val="30"/>
          <w:szCs w:val="30"/>
          <w:lang w:val="es-ES"/>
        </w:rPr>
        <w:br/>
      </w:r>
      <w:r>
        <w:rPr>
          <w:rFonts w:eastAsia="Times New Roman"/>
          <w:sz w:val="30"/>
          <w:szCs w:val="30"/>
          <w:lang w:val="es-ES"/>
        </w:rPr>
        <w:br/>
        <w:t>En el caso de los servidores públicos, de existir cargos innecesarios, se aplicará el proceso de supresión de puestos dispuesto en la Ley Orgánica del Servicio Público y/o el proceso de compensación dispuesto en el dec</w:t>
      </w:r>
      <w:r>
        <w:rPr>
          <w:rFonts w:eastAsia="Times New Roman"/>
          <w:sz w:val="30"/>
          <w:szCs w:val="30"/>
          <w:lang w:val="es-ES"/>
        </w:rPr>
        <w:t>reto ejecutivo No. 813 publicado en el Registro Oficial No. 489 de 12 de julio de 2011.</w:t>
      </w:r>
      <w:r>
        <w:rPr>
          <w:rFonts w:eastAsia="Times New Roman"/>
          <w:sz w:val="30"/>
          <w:szCs w:val="30"/>
          <w:lang w:val="es-ES"/>
        </w:rPr>
        <w:br/>
      </w:r>
      <w:r>
        <w:rPr>
          <w:rFonts w:eastAsia="Times New Roman"/>
          <w:sz w:val="30"/>
          <w:szCs w:val="30"/>
          <w:lang w:val="es-ES"/>
        </w:rPr>
        <w:br/>
        <w:t>La secretaría de Estado a cargo de las relaciones laborales, dentro del plazo de ciento ochenta (180) días de vigencia del presente Código, efectuará los análisis y es</w:t>
      </w:r>
      <w:r>
        <w:rPr>
          <w:rFonts w:eastAsia="Times New Roman"/>
          <w:sz w:val="30"/>
          <w:szCs w:val="30"/>
          <w:lang w:val="es-ES"/>
        </w:rPr>
        <w:t xml:space="preserve">tudios correspondientes, a efectos de establecer una escala remunerativa diferenciada y específica para los </w:t>
      </w:r>
      <w:r>
        <w:rPr>
          <w:rFonts w:eastAsia="Times New Roman"/>
          <w:sz w:val="30"/>
          <w:szCs w:val="30"/>
          <w:lang w:val="es-ES"/>
        </w:rPr>
        <w:lastRenderedPageBreak/>
        <w:t>servidores de las entidades del Sector Financiero Público y las entidades públicas de seguros y valores.</w:t>
      </w:r>
    </w:p>
    <w:p w:rsidR="00000000" w:rsidRDefault="0018461E">
      <w:pPr>
        <w:divId w:val="1928541100"/>
        <w:rPr>
          <w:rFonts w:eastAsia="Times New Roman"/>
          <w:sz w:val="30"/>
          <w:szCs w:val="30"/>
          <w:lang w:val="es-ES"/>
        </w:rPr>
      </w:pPr>
      <w:r>
        <w:rPr>
          <w:rFonts w:eastAsia="Times New Roman"/>
          <w:sz w:val="30"/>
          <w:szCs w:val="30"/>
          <w:lang w:val="es-ES"/>
        </w:rPr>
        <w:t>Décima octava.-</w:t>
      </w:r>
      <w:r>
        <w:rPr>
          <w:rFonts w:eastAsia="Times New Roman"/>
          <w:b/>
          <w:bCs/>
          <w:sz w:val="30"/>
          <w:szCs w:val="30"/>
          <w:lang w:val="es-ES"/>
        </w:rPr>
        <w:t xml:space="preserve"> Reverso de registros contab</w:t>
      </w:r>
      <w:r>
        <w:rPr>
          <w:rFonts w:eastAsia="Times New Roman"/>
          <w:b/>
          <w:bCs/>
          <w:sz w:val="30"/>
          <w:szCs w:val="30"/>
          <w:lang w:val="es-ES"/>
        </w:rPr>
        <w:t xml:space="preserve">les: </w:t>
      </w:r>
      <w:r>
        <w:rPr>
          <w:rFonts w:eastAsia="Times New Roman"/>
          <w:sz w:val="30"/>
          <w:szCs w:val="30"/>
          <w:lang w:val="es-ES"/>
        </w:rPr>
        <w:t>Los registros contables sobre intereses adeudados en favor del Banco Central del Ecuador por parte del Ministerio de Finanzas relativos a los bonos emitidos sobre la base de la Ley No. 98-17, que fueron propiedad de dicho banco hasta el 31 de diciembr</w:t>
      </w:r>
      <w:r>
        <w:rPr>
          <w:rFonts w:eastAsia="Times New Roman"/>
          <w:sz w:val="30"/>
          <w:szCs w:val="30"/>
          <w:lang w:val="es-ES"/>
        </w:rPr>
        <w:t>e de 2008, en el plazo de treinta (30) días desde la emisión de este Código, serán reversados.</w:t>
      </w:r>
    </w:p>
    <w:p w:rsidR="00000000" w:rsidRDefault="0018461E">
      <w:pPr>
        <w:divId w:val="1711565876"/>
        <w:rPr>
          <w:rFonts w:eastAsia="Times New Roman"/>
          <w:sz w:val="30"/>
          <w:szCs w:val="30"/>
          <w:lang w:val="es-ES"/>
        </w:rPr>
      </w:pPr>
      <w:r>
        <w:rPr>
          <w:rFonts w:eastAsia="Times New Roman"/>
          <w:sz w:val="30"/>
          <w:szCs w:val="30"/>
          <w:lang w:val="es-ES"/>
        </w:rPr>
        <w:t xml:space="preserve">Décima novena.- </w:t>
      </w:r>
      <w:r>
        <w:rPr>
          <w:rFonts w:eastAsia="Times New Roman"/>
          <w:b/>
          <w:bCs/>
          <w:sz w:val="30"/>
          <w:szCs w:val="30"/>
          <w:lang w:val="es-ES"/>
        </w:rPr>
        <w:t xml:space="preserve">Vigencia de la normativa de inversión de activos internacionales del Banco Central del Ecuador: </w:t>
      </w:r>
      <w:r>
        <w:rPr>
          <w:rFonts w:eastAsia="Times New Roman"/>
          <w:sz w:val="30"/>
          <w:szCs w:val="30"/>
          <w:lang w:val="es-ES"/>
        </w:rPr>
        <w:t>Las disposiciones relativas a la gestión de activ</w:t>
      </w:r>
      <w:r>
        <w:rPr>
          <w:rFonts w:eastAsia="Times New Roman"/>
          <w:sz w:val="30"/>
          <w:szCs w:val="30"/>
          <w:lang w:val="es-ES"/>
        </w:rPr>
        <w:t>os y pasivos externos del Banco Central del Ecuador establecidas en este Código se aplicarán a partir del ejercicio fiscal 2014.</w:t>
      </w:r>
    </w:p>
    <w:p w:rsidR="00000000" w:rsidRDefault="0018461E">
      <w:pPr>
        <w:divId w:val="893585334"/>
        <w:rPr>
          <w:rFonts w:eastAsia="Times New Roman"/>
          <w:sz w:val="30"/>
          <w:szCs w:val="30"/>
          <w:lang w:val="es-ES"/>
        </w:rPr>
      </w:pPr>
      <w:r>
        <w:rPr>
          <w:rFonts w:eastAsia="Times New Roman"/>
          <w:sz w:val="30"/>
          <w:szCs w:val="30"/>
          <w:lang w:val="es-ES"/>
        </w:rPr>
        <w:t>Vigésima.-</w:t>
      </w:r>
      <w:r>
        <w:rPr>
          <w:rFonts w:eastAsia="Times New Roman"/>
          <w:b/>
          <w:bCs/>
          <w:sz w:val="30"/>
          <w:szCs w:val="30"/>
          <w:lang w:val="es-ES"/>
        </w:rPr>
        <w:t xml:space="preserve"> Reestructura del Banco Central del Ecuador: </w:t>
      </w:r>
      <w:r>
        <w:rPr>
          <w:rFonts w:eastAsia="Times New Roman"/>
          <w:sz w:val="30"/>
          <w:szCs w:val="30"/>
          <w:lang w:val="es-ES"/>
        </w:rPr>
        <w:t>Con el objeto de instrumentar la nueva estructura de gestión del Banco C</w:t>
      </w:r>
      <w:r>
        <w:rPr>
          <w:rFonts w:eastAsia="Times New Roman"/>
          <w:sz w:val="30"/>
          <w:szCs w:val="30"/>
          <w:lang w:val="es-ES"/>
        </w:rPr>
        <w:t xml:space="preserve">entral del Ecuador, en el plazo de un año contado desde la fecha de vigencia del Código se faculta al Gerente General para que ejecute y disponga toda acción necesaria, de conformidad con la ley, tendiente a mejorar la gestión del talento humano del Banco </w:t>
      </w:r>
      <w:r>
        <w:rPr>
          <w:rFonts w:eastAsia="Times New Roman"/>
          <w:sz w:val="30"/>
          <w:szCs w:val="30"/>
          <w:lang w:val="es-ES"/>
        </w:rPr>
        <w:t>Central del Ecuador, conforme las normas de este Código y demás disposiciones normativas vigentes.</w:t>
      </w:r>
      <w:r>
        <w:rPr>
          <w:rFonts w:eastAsia="Times New Roman"/>
          <w:sz w:val="30"/>
          <w:szCs w:val="30"/>
          <w:lang w:val="es-ES"/>
        </w:rPr>
        <w:br/>
      </w:r>
      <w:r>
        <w:rPr>
          <w:rFonts w:eastAsia="Times New Roman"/>
          <w:sz w:val="30"/>
          <w:szCs w:val="30"/>
          <w:lang w:val="es-ES"/>
        </w:rPr>
        <w:br/>
        <w:t>La nueva estructura orgánica funcional del Banco Central del Ecuador se integrará en lo posible con las y los actuales servidores y trabajadores que resulte</w:t>
      </w:r>
      <w:r>
        <w:rPr>
          <w:rFonts w:eastAsia="Times New Roman"/>
          <w:sz w:val="30"/>
          <w:szCs w:val="30"/>
          <w:lang w:val="es-ES"/>
        </w:rPr>
        <w:t>n calificados del proceso de evaluación y selección, que lo llevará adelante la Administración del Banco Central del Ecuador. Dicho proceso de evaluación podrá estar a cargo de una firma especializada en la materia y en él se considerará, entre otros aspec</w:t>
      </w:r>
      <w:r>
        <w:rPr>
          <w:rFonts w:eastAsia="Times New Roman"/>
          <w:sz w:val="30"/>
          <w:szCs w:val="30"/>
          <w:lang w:val="es-ES"/>
        </w:rPr>
        <w:t>tos, las competencias, formación académica, especialización, cursos de capacitación, experiencia y aquellos determinados por la Ley Orgánica del Servicio Público y el organismo rector de la materia.</w:t>
      </w:r>
      <w:r>
        <w:rPr>
          <w:rFonts w:eastAsia="Times New Roman"/>
          <w:sz w:val="30"/>
          <w:szCs w:val="30"/>
          <w:lang w:val="es-ES"/>
        </w:rPr>
        <w:br/>
      </w:r>
      <w:r>
        <w:rPr>
          <w:rFonts w:eastAsia="Times New Roman"/>
          <w:sz w:val="30"/>
          <w:szCs w:val="30"/>
          <w:lang w:val="es-ES"/>
        </w:rPr>
        <w:br/>
        <w:t>Al efecto, la Administración del Banco Central del Ecuad</w:t>
      </w:r>
      <w:r>
        <w:rPr>
          <w:rFonts w:eastAsia="Times New Roman"/>
          <w:sz w:val="30"/>
          <w:szCs w:val="30"/>
          <w:lang w:val="es-ES"/>
        </w:rPr>
        <w:t>or emitirá la correspondiente resolución, en la que describirá los términos del proceso de evaluación y selección al cual serán sometidos los servidores y trabajadores de la institución y los mecanismos de evaluación que se aplicarán.</w:t>
      </w:r>
      <w:r>
        <w:rPr>
          <w:rFonts w:eastAsia="Times New Roman"/>
          <w:sz w:val="30"/>
          <w:szCs w:val="30"/>
          <w:lang w:val="es-ES"/>
        </w:rPr>
        <w:br/>
      </w:r>
      <w:r>
        <w:rPr>
          <w:rFonts w:eastAsia="Times New Roman"/>
          <w:sz w:val="30"/>
          <w:szCs w:val="30"/>
          <w:lang w:val="es-ES"/>
        </w:rPr>
        <w:br/>
        <w:t>El personal selectiv</w:t>
      </w:r>
      <w:r>
        <w:rPr>
          <w:rFonts w:eastAsia="Times New Roman"/>
          <w:sz w:val="30"/>
          <w:szCs w:val="30"/>
          <w:lang w:val="es-ES"/>
        </w:rPr>
        <w:t xml:space="preserve">amente definido y el adicional que se incorpore, deberán obligatoriamente reunir los requisitos señalados para el cargo, </w:t>
      </w:r>
      <w:r>
        <w:rPr>
          <w:rFonts w:eastAsia="Times New Roman"/>
          <w:sz w:val="30"/>
          <w:szCs w:val="30"/>
          <w:lang w:val="es-ES"/>
        </w:rPr>
        <w:lastRenderedPageBreak/>
        <w:t>y cumplir con lo previsto en la normativa interna que para el efecto dicte la Gerencia General del Banco Central del Ecuador, la que de</w:t>
      </w:r>
      <w:r>
        <w:rPr>
          <w:rFonts w:eastAsia="Times New Roman"/>
          <w:sz w:val="30"/>
          <w:szCs w:val="30"/>
          <w:lang w:val="es-ES"/>
        </w:rPr>
        <w:t>berá obtener dictamen favorable del Ministerio de Relaciones Laborales.</w:t>
      </w:r>
      <w:r>
        <w:rPr>
          <w:rFonts w:eastAsia="Times New Roman"/>
          <w:sz w:val="30"/>
          <w:szCs w:val="30"/>
          <w:lang w:val="es-ES"/>
        </w:rPr>
        <w:br/>
      </w:r>
      <w:r>
        <w:rPr>
          <w:rFonts w:eastAsia="Times New Roman"/>
          <w:sz w:val="30"/>
          <w:szCs w:val="30"/>
          <w:lang w:val="es-ES"/>
        </w:rPr>
        <w:br/>
        <w:t>Las y los servidores y trabajadores del Banco Central del Ecuador que no resulten seleccionados en este proceso, recibirán la indemnización prevista en la Ley Orgánica del Servicio Pú</w:t>
      </w:r>
      <w:r>
        <w:rPr>
          <w:rFonts w:eastAsia="Times New Roman"/>
          <w:sz w:val="30"/>
          <w:szCs w:val="30"/>
          <w:lang w:val="es-ES"/>
        </w:rPr>
        <w:t>blico o Código del Trabajo, según sea el caso.</w:t>
      </w:r>
      <w:r>
        <w:rPr>
          <w:rFonts w:eastAsia="Times New Roman"/>
          <w:sz w:val="30"/>
          <w:szCs w:val="30"/>
          <w:lang w:val="es-ES"/>
        </w:rPr>
        <w:br/>
      </w:r>
      <w:r>
        <w:rPr>
          <w:rFonts w:eastAsia="Times New Roman"/>
          <w:sz w:val="30"/>
          <w:szCs w:val="30"/>
          <w:lang w:val="es-ES"/>
        </w:rPr>
        <w:br/>
        <w:t>Para todo lo no contemplado en la presente disposición transitoria se aplicarán las disposiciones de la Ley Orgánica del Servicio Público y demás disposiciones vigentes relacionadas a la materia.</w:t>
      </w:r>
      <w:r>
        <w:rPr>
          <w:rFonts w:eastAsia="Times New Roman"/>
          <w:sz w:val="30"/>
          <w:szCs w:val="30"/>
          <w:lang w:val="es-ES"/>
        </w:rPr>
        <w:br/>
      </w:r>
      <w:r>
        <w:rPr>
          <w:rFonts w:eastAsia="Times New Roman"/>
          <w:sz w:val="30"/>
          <w:szCs w:val="30"/>
          <w:lang w:val="es-ES"/>
        </w:rPr>
        <w:br/>
        <w:t>Las pension</w:t>
      </w:r>
      <w:r>
        <w:rPr>
          <w:rFonts w:eastAsia="Times New Roman"/>
          <w:sz w:val="30"/>
          <w:szCs w:val="30"/>
          <w:lang w:val="es-ES"/>
        </w:rPr>
        <w:t>es que por jubilación, montepío, viudez, invalidez y otras establecidas por el organismo rector de la seguridad social se ajustarán conforme a los montos permitidos por la ley de la materia en cuanto los beneficiarios hayan cumplido los requisitos previsto</w:t>
      </w:r>
      <w:r>
        <w:rPr>
          <w:rFonts w:eastAsia="Times New Roman"/>
          <w:sz w:val="30"/>
          <w:szCs w:val="30"/>
          <w:lang w:val="es-ES"/>
        </w:rPr>
        <w:t>s en la ley. No se reconocerán beneficios cuyo origen sea contrario a los previstos en la Ley de Seguridad Social y no tendrán derecho a percibir pensiones o de ninguna otra naturaleza las y los ex servidores del Banco Central del Ecuador que compensaron e</w:t>
      </w:r>
      <w:r>
        <w:rPr>
          <w:rFonts w:eastAsia="Times New Roman"/>
          <w:sz w:val="30"/>
          <w:szCs w:val="30"/>
          <w:lang w:val="es-ES"/>
        </w:rPr>
        <w:t>n tiempo o pagaron aportes anticipadamente como requisito de jubilación como tampoco ex integrantes de la Junta Monetaria o Directorio que aprobaron resoluciones o regulaciones contrarias a los requisitos de jubilación y de las cuales fueron directos benef</w:t>
      </w:r>
      <w:r>
        <w:rPr>
          <w:rFonts w:eastAsia="Times New Roman"/>
          <w:sz w:val="30"/>
          <w:szCs w:val="30"/>
          <w:lang w:val="es-ES"/>
        </w:rPr>
        <w:t>iciarios.</w:t>
      </w:r>
      <w:r>
        <w:rPr>
          <w:rFonts w:eastAsia="Times New Roman"/>
          <w:sz w:val="30"/>
          <w:szCs w:val="30"/>
          <w:lang w:val="es-ES"/>
        </w:rPr>
        <w:br/>
      </w:r>
      <w:r>
        <w:rPr>
          <w:rFonts w:eastAsia="Times New Roman"/>
          <w:sz w:val="30"/>
          <w:szCs w:val="30"/>
          <w:lang w:val="es-ES"/>
        </w:rPr>
        <w:br/>
        <w:t>Los procesos administrativos y judiciales respecto a pensiones de jubilación, que se encuentran en trámite o litigio en los diferentes órganos jurisdiccionales seguirán sustanciándose conforme las normas procesales de la materia hasta su conclus</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Los funcionarios y empleados del Banco Central del Ecuador que cometieron o cometieran faltas graves en el cumplimiento de sus funciones o aquellos que presentaren incrementos significativos en su patrimonio no justificados e incompatibles con sus de</w:t>
      </w:r>
      <w:r>
        <w:rPr>
          <w:rFonts w:eastAsia="Times New Roman"/>
          <w:sz w:val="30"/>
          <w:szCs w:val="30"/>
          <w:lang w:val="es-ES"/>
        </w:rPr>
        <w:t>claraciones de ingresos presentadas para fines impositivos, serán destituidos en sus funciones conforme a la Ley y a la normativa interna que al efecto emita la administración del banco, garantizando el debido proceso, sin perjuicio de las demás acciones a</w:t>
      </w:r>
      <w:r>
        <w:rPr>
          <w:rFonts w:eastAsia="Times New Roman"/>
          <w:sz w:val="30"/>
          <w:szCs w:val="30"/>
          <w:lang w:val="es-ES"/>
        </w:rPr>
        <w:t xml:space="preserve"> la que hubiere lugar.</w:t>
      </w:r>
      <w:r>
        <w:rPr>
          <w:rFonts w:eastAsia="Times New Roman"/>
          <w:sz w:val="30"/>
          <w:szCs w:val="30"/>
          <w:lang w:val="es-ES"/>
        </w:rPr>
        <w:br/>
      </w:r>
      <w:r>
        <w:rPr>
          <w:rFonts w:eastAsia="Times New Roman"/>
          <w:sz w:val="30"/>
          <w:szCs w:val="30"/>
          <w:lang w:val="es-ES"/>
        </w:rPr>
        <w:lastRenderedPageBreak/>
        <w:br/>
        <w:t>El Banco Central del Ecuador denunciará obligatoriamente ante los jueces competentes, cuando tuviere conocimiento de que los funcionarios y ex funcionarios que hubieran laborado hasta hace cinco (5) años o cuyos cónyuges o parientes</w:t>
      </w:r>
      <w:r>
        <w:rPr>
          <w:rFonts w:eastAsia="Times New Roman"/>
          <w:sz w:val="30"/>
          <w:szCs w:val="30"/>
          <w:lang w:val="es-ES"/>
        </w:rPr>
        <w:t xml:space="preserve"> dentro del cuarto grado de consanguinidad y segundo de afinidad, hubieren obtenido incrementos patrimoniales no justificados e incompatibles con sus declaraciones de ingresos presentadas para fines impositivos.</w:t>
      </w:r>
    </w:p>
    <w:p w:rsidR="00000000" w:rsidRDefault="0018461E">
      <w:pPr>
        <w:divId w:val="1551650573"/>
        <w:rPr>
          <w:rFonts w:eastAsia="Times New Roman"/>
          <w:sz w:val="30"/>
          <w:szCs w:val="30"/>
          <w:lang w:val="es-ES"/>
        </w:rPr>
      </w:pPr>
      <w:r>
        <w:rPr>
          <w:rFonts w:eastAsia="Times New Roman"/>
          <w:sz w:val="30"/>
          <w:szCs w:val="30"/>
          <w:lang w:val="es-ES"/>
        </w:rPr>
        <w:t>Vigésima primera.-</w:t>
      </w:r>
      <w:r>
        <w:rPr>
          <w:rFonts w:eastAsia="Times New Roman"/>
          <w:b/>
          <w:bCs/>
          <w:sz w:val="30"/>
          <w:szCs w:val="30"/>
          <w:lang w:val="es-ES"/>
        </w:rPr>
        <w:t xml:space="preserve"> Banco del Instituto Ecuat</w:t>
      </w:r>
      <w:r>
        <w:rPr>
          <w:rFonts w:eastAsia="Times New Roman"/>
          <w:b/>
          <w:bCs/>
          <w:sz w:val="30"/>
          <w:szCs w:val="30"/>
          <w:lang w:val="es-ES"/>
        </w:rPr>
        <w:t xml:space="preserve">oriano de Seguridad Social: </w:t>
      </w:r>
      <w:r>
        <w:rPr>
          <w:rFonts w:eastAsia="Times New Roman"/>
          <w:sz w:val="30"/>
          <w:szCs w:val="30"/>
          <w:lang w:val="es-ES"/>
        </w:rPr>
        <w:t>Los miembros designados en representación de los afiliados activos y jubilados ante el Directorio del Banco del Instituto Ecuatoriano de Seguridad Social, que fueron posesionados por la Asamblea Nacional el 25 de noviembre de 20</w:t>
      </w:r>
      <w:r>
        <w:rPr>
          <w:rFonts w:eastAsia="Times New Roman"/>
          <w:sz w:val="30"/>
          <w:szCs w:val="30"/>
          <w:lang w:val="es-ES"/>
        </w:rPr>
        <w:t>09, permanecerán en sus cargos hasta ser legalmente reemplazados por los ganadores del concurso de oposición y méritos convocado por el Consejo de Participación Ciudadana y Control Social el 20 de abril de 2014 quienes en el ejercicio de sus funciones qued</w:t>
      </w:r>
      <w:r>
        <w:rPr>
          <w:rFonts w:eastAsia="Times New Roman"/>
          <w:sz w:val="30"/>
          <w:szCs w:val="30"/>
          <w:lang w:val="es-ES"/>
        </w:rPr>
        <w:t>arán sometidos a lo dispuesto en este Código.</w:t>
      </w:r>
      <w:r>
        <w:rPr>
          <w:rFonts w:eastAsia="Times New Roman"/>
          <w:sz w:val="30"/>
          <w:szCs w:val="30"/>
          <w:lang w:val="es-ES"/>
        </w:rPr>
        <w:br/>
      </w:r>
      <w:r>
        <w:rPr>
          <w:rFonts w:eastAsia="Times New Roman"/>
          <w:sz w:val="30"/>
          <w:szCs w:val="30"/>
          <w:lang w:val="es-ES"/>
        </w:rPr>
        <w:br/>
        <w:t>Los demás miembros del Directorio y el Gerente General del Banco del Instituto Ecuatoriano de Seguridad Social, cesarán en sus funciones en el plazo de treinta (30) días, contados a partir de la promulgación d</w:t>
      </w:r>
      <w:r>
        <w:rPr>
          <w:rFonts w:eastAsia="Times New Roman"/>
          <w:sz w:val="30"/>
          <w:szCs w:val="30"/>
          <w:lang w:val="es-ES"/>
        </w:rPr>
        <w:t>el presente código.</w:t>
      </w:r>
      <w:r>
        <w:rPr>
          <w:rFonts w:eastAsia="Times New Roman"/>
          <w:sz w:val="30"/>
          <w:szCs w:val="30"/>
          <w:lang w:val="es-ES"/>
        </w:rPr>
        <w:br/>
      </w:r>
      <w:r>
        <w:rPr>
          <w:rFonts w:eastAsia="Times New Roman"/>
          <w:sz w:val="30"/>
          <w:szCs w:val="30"/>
          <w:lang w:val="es-ES"/>
        </w:rPr>
        <w:br/>
        <w:t>En el plazo de ciento ochenta días (180) desde la promulgación de este código en el Registro Oficial, la Superintendencia de Bancos y Superintendencia de Compañías, Valores y Seguros junto con el Banco del Instituto Ecuatoriano de Segu</w:t>
      </w:r>
      <w:r>
        <w:rPr>
          <w:rFonts w:eastAsia="Times New Roman"/>
          <w:sz w:val="30"/>
          <w:szCs w:val="30"/>
          <w:lang w:val="es-ES"/>
        </w:rPr>
        <w:t>ridad Social, instrumentarán todas las actividades necesarias para la implementación de</w:t>
      </w:r>
      <w:r>
        <w:rPr>
          <w:rFonts w:eastAsia="Times New Roman"/>
          <w:sz w:val="30"/>
          <w:szCs w:val="30"/>
          <w:lang w:val="es-ES"/>
        </w:rPr>
        <w:br/>
      </w:r>
      <w:r>
        <w:rPr>
          <w:rFonts w:eastAsia="Times New Roman"/>
          <w:sz w:val="30"/>
          <w:szCs w:val="30"/>
          <w:lang w:val="es-ES"/>
        </w:rPr>
        <w:br/>
        <w:t>las reformas a la Ley del Banco del Instituto Ecuatoriano de Seguridad Social dispuestas en la presente normativa. Hasta tanto el Banco continuará bajo el control de l</w:t>
      </w:r>
      <w:r>
        <w:rPr>
          <w:rFonts w:eastAsia="Times New Roman"/>
          <w:sz w:val="30"/>
          <w:szCs w:val="30"/>
          <w:lang w:val="es-ES"/>
        </w:rPr>
        <w:t>a Superintendencia de Bancos.</w:t>
      </w:r>
    </w:p>
    <w:p w:rsidR="00000000" w:rsidRDefault="0018461E">
      <w:pPr>
        <w:divId w:val="1451318771"/>
        <w:rPr>
          <w:rFonts w:eastAsia="Times New Roman"/>
          <w:sz w:val="30"/>
          <w:szCs w:val="30"/>
          <w:lang w:val="es-ES"/>
        </w:rPr>
      </w:pPr>
      <w:r>
        <w:rPr>
          <w:rFonts w:eastAsia="Times New Roman"/>
          <w:sz w:val="30"/>
          <w:szCs w:val="30"/>
          <w:lang w:val="es-ES"/>
        </w:rPr>
        <w:t>Vigésima segunda.-</w:t>
      </w:r>
      <w:r>
        <w:rPr>
          <w:rFonts w:eastAsia="Times New Roman"/>
          <w:b/>
          <w:bCs/>
          <w:sz w:val="30"/>
          <w:szCs w:val="30"/>
          <w:lang w:val="es-ES"/>
        </w:rPr>
        <w:t xml:space="preserve"> Banco Ecuatoriano de la Vivienda: </w:t>
      </w:r>
      <w:r>
        <w:rPr>
          <w:rFonts w:eastAsia="Times New Roman"/>
          <w:sz w:val="30"/>
          <w:szCs w:val="30"/>
          <w:lang w:val="es-ES"/>
        </w:rPr>
        <w:t>El Banco Ecuatoriano de la Vivienda se liquidará dentro del plazo máximo de 90 días, contados a partir de la fecha en que la Superintendencia de Bancos expida la normativa p</w:t>
      </w:r>
      <w:r>
        <w:rPr>
          <w:rFonts w:eastAsia="Times New Roman"/>
          <w:sz w:val="30"/>
          <w:szCs w:val="30"/>
          <w:lang w:val="es-ES"/>
        </w:rPr>
        <w:t>ara el efecto. Hasta tanto el Banco actuará conforme su ley constitutiva.</w:t>
      </w:r>
      <w:r>
        <w:rPr>
          <w:rFonts w:eastAsia="Times New Roman"/>
          <w:sz w:val="30"/>
          <w:szCs w:val="30"/>
          <w:lang w:val="es-ES"/>
        </w:rPr>
        <w:br/>
      </w:r>
      <w:r>
        <w:rPr>
          <w:rFonts w:eastAsia="Times New Roman"/>
          <w:sz w:val="30"/>
          <w:szCs w:val="30"/>
          <w:lang w:val="es-ES"/>
        </w:rPr>
        <w:br/>
        <w:t>En el proceso de liquidación se observará lo siguiente:</w:t>
      </w:r>
      <w:r>
        <w:rPr>
          <w:rFonts w:eastAsia="Times New Roman"/>
          <w:sz w:val="30"/>
          <w:szCs w:val="30"/>
          <w:lang w:val="es-ES"/>
        </w:rPr>
        <w:br/>
      </w:r>
      <w:r>
        <w:rPr>
          <w:rFonts w:eastAsia="Times New Roman"/>
          <w:sz w:val="30"/>
          <w:szCs w:val="30"/>
          <w:lang w:val="es-ES"/>
        </w:rPr>
        <w:lastRenderedPageBreak/>
        <w:br/>
        <w:t>1. Los bienes inmuebles de propiedad de esta entidad, serán transferidos al valor en libros al Servicio de Gestión Inmobilia</w:t>
      </w:r>
      <w:r>
        <w:rPr>
          <w:rFonts w:eastAsia="Times New Roman"/>
          <w:sz w:val="30"/>
          <w:szCs w:val="30"/>
          <w:lang w:val="es-ES"/>
        </w:rPr>
        <w:t>ria del Sector Público, INMOBILIAR o a la secretaría de Estado a cargo de la Vivienda.</w:t>
      </w:r>
      <w:r>
        <w:rPr>
          <w:rFonts w:eastAsia="Times New Roman"/>
          <w:sz w:val="30"/>
          <w:szCs w:val="30"/>
          <w:lang w:val="es-ES"/>
        </w:rPr>
        <w:br/>
      </w:r>
      <w:r>
        <w:rPr>
          <w:rFonts w:eastAsia="Times New Roman"/>
          <w:sz w:val="30"/>
          <w:szCs w:val="30"/>
          <w:lang w:val="es-ES"/>
        </w:rPr>
        <w:br/>
        <w:t>El Servicio de Gestión Inmobiliaria del Sector Público, INMOBILIAR queda facultado para sanear, regularizar y adoptar todas las acciones necesarias para resolver las af</w:t>
      </w:r>
      <w:r>
        <w:rPr>
          <w:rFonts w:eastAsia="Times New Roman"/>
          <w:sz w:val="30"/>
          <w:szCs w:val="30"/>
          <w:lang w:val="es-ES"/>
        </w:rPr>
        <w:t>ectaciones de los bienes inmuebles que le sean transferidos, y disponer de los mismos de acuerdo con la ley;</w:t>
      </w:r>
      <w:r>
        <w:rPr>
          <w:rFonts w:eastAsia="Times New Roman"/>
          <w:sz w:val="30"/>
          <w:szCs w:val="30"/>
          <w:lang w:val="es-ES"/>
        </w:rPr>
        <w:br/>
      </w:r>
      <w:r>
        <w:rPr>
          <w:rFonts w:eastAsia="Times New Roman"/>
          <w:sz w:val="30"/>
          <w:szCs w:val="30"/>
          <w:lang w:val="es-ES"/>
        </w:rPr>
        <w:br/>
        <w:t>2. Los depósitos a la vista y activos equivalentes a tales depósitos registrados en el balance del Banco Ecuatoriano de la Vivienda serán transfer</w:t>
      </w:r>
      <w:r>
        <w:rPr>
          <w:rFonts w:eastAsia="Times New Roman"/>
          <w:sz w:val="30"/>
          <w:szCs w:val="30"/>
          <w:lang w:val="es-ES"/>
        </w:rPr>
        <w:t>idos al Banco Nacional de Fomento o a su sucesor en derechos, que los asumirá sin restricción alguna;</w:t>
      </w:r>
      <w:r>
        <w:rPr>
          <w:rFonts w:eastAsia="Times New Roman"/>
          <w:sz w:val="30"/>
          <w:szCs w:val="30"/>
          <w:lang w:val="es-ES"/>
        </w:rPr>
        <w:br/>
      </w:r>
      <w:r>
        <w:rPr>
          <w:rFonts w:eastAsia="Times New Roman"/>
          <w:sz w:val="30"/>
          <w:szCs w:val="30"/>
          <w:lang w:val="es-ES"/>
        </w:rPr>
        <w:br/>
        <w:t xml:space="preserve">3. El Fondo de Seguro de Depósitos e Hipotecas será liquidado y los recursos que no estuvieren garantizando operaciones de crédito de vivienda vigentes, </w:t>
      </w:r>
      <w:r>
        <w:rPr>
          <w:rFonts w:eastAsia="Times New Roman"/>
          <w:sz w:val="30"/>
          <w:szCs w:val="30"/>
          <w:lang w:val="es-ES"/>
        </w:rPr>
        <w:t>serán transferidos a la Cuenta Única del Tesoro Nacional;</w:t>
      </w:r>
      <w:r>
        <w:rPr>
          <w:rFonts w:eastAsia="Times New Roman"/>
          <w:sz w:val="30"/>
          <w:szCs w:val="30"/>
          <w:lang w:val="es-ES"/>
        </w:rPr>
        <w:br/>
      </w:r>
      <w:r>
        <w:rPr>
          <w:rFonts w:eastAsia="Times New Roman"/>
          <w:sz w:val="30"/>
          <w:szCs w:val="30"/>
          <w:lang w:val="es-ES"/>
        </w:rPr>
        <w:br/>
        <w:t>4. La cartera comercial de redescuento con garantía hipotecaria y los depósitos a plazo equivalentes serán transferidos al valor en libros al Banco del Estado.</w:t>
      </w:r>
      <w:r>
        <w:rPr>
          <w:rFonts w:eastAsia="Times New Roman"/>
          <w:sz w:val="30"/>
          <w:szCs w:val="30"/>
          <w:lang w:val="es-ES"/>
        </w:rPr>
        <w:br/>
      </w:r>
      <w:r>
        <w:rPr>
          <w:rFonts w:eastAsia="Times New Roman"/>
          <w:sz w:val="30"/>
          <w:szCs w:val="30"/>
          <w:lang w:val="es-ES"/>
        </w:rPr>
        <w:br/>
        <w:t>5. Las acciones y participaciones qu</w:t>
      </w:r>
      <w:r>
        <w:rPr>
          <w:rFonts w:eastAsia="Times New Roman"/>
          <w:sz w:val="30"/>
          <w:szCs w:val="30"/>
          <w:lang w:val="es-ES"/>
        </w:rPr>
        <w:t>e tiene el Banco Ecuatoriano de la Vivienda se transferirán al valor en libros al Banco del Estado; y,</w:t>
      </w:r>
      <w:r>
        <w:rPr>
          <w:rFonts w:eastAsia="Times New Roman"/>
          <w:sz w:val="30"/>
          <w:szCs w:val="30"/>
          <w:lang w:val="es-ES"/>
        </w:rPr>
        <w:br/>
      </w:r>
      <w:r>
        <w:rPr>
          <w:rFonts w:eastAsia="Times New Roman"/>
          <w:sz w:val="30"/>
          <w:szCs w:val="30"/>
          <w:lang w:val="es-ES"/>
        </w:rPr>
        <w:br/>
        <w:t>6. Todos los demás activos, pasivos, patrimonio y demás obligaciones del Banco Ecuatoriano de la Vivienda, serán dispuestos en el proceso de liquidación</w:t>
      </w:r>
      <w:r>
        <w:rPr>
          <w:rFonts w:eastAsia="Times New Roman"/>
          <w:sz w:val="30"/>
          <w:szCs w:val="30"/>
          <w:lang w:val="es-ES"/>
        </w:rPr>
        <w:t xml:space="preserve"> de la entidad; para el efecto, el liquidador podrá constituir un fideicomiso cuyo beneficiario será el Ministerio de Finanzas, que tendrá a su cargo la enajenación de los remanentes.</w:t>
      </w:r>
      <w:r>
        <w:rPr>
          <w:rFonts w:eastAsia="Times New Roman"/>
          <w:sz w:val="30"/>
          <w:szCs w:val="30"/>
          <w:lang w:val="es-ES"/>
        </w:rPr>
        <w:br/>
      </w:r>
      <w:r>
        <w:rPr>
          <w:rFonts w:eastAsia="Times New Roman"/>
          <w:sz w:val="30"/>
          <w:szCs w:val="30"/>
          <w:lang w:val="es-ES"/>
        </w:rPr>
        <w:br/>
        <w:t>El proceso de liquidación no podrá superar el plazo de dos (2) años.</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os trabajadores y servidores públicos que a la fecha de expedición de este Código, que en cualquier forma o a cualquier título, trabajen o presten servicios en el Banco Ecuatoriano de la Vivienda, previa evaluación, calificación y selección, de acuerdo con</w:t>
      </w:r>
      <w:r>
        <w:rPr>
          <w:rFonts w:eastAsia="Times New Roman"/>
          <w:sz w:val="30"/>
          <w:szCs w:val="30"/>
          <w:lang w:val="es-ES"/>
        </w:rPr>
        <w:t xml:space="preserve"> los </w:t>
      </w:r>
      <w:r>
        <w:rPr>
          <w:rFonts w:eastAsia="Times New Roman"/>
          <w:sz w:val="30"/>
          <w:szCs w:val="30"/>
          <w:lang w:val="es-ES"/>
        </w:rPr>
        <w:lastRenderedPageBreak/>
        <w:t>requerimientos institucionales y este Código, podrán pasar a formar parte de otras entidades financieras públicas.</w:t>
      </w:r>
      <w:r>
        <w:rPr>
          <w:rFonts w:eastAsia="Times New Roman"/>
          <w:sz w:val="30"/>
          <w:szCs w:val="30"/>
          <w:lang w:val="es-ES"/>
        </w:rPr>
        <w:br/>
      </w:r>
      <w:r>
        <w:rPr>
          <w:rFonts w:eastAsia="Times New Roman"/>
          <w:sz w:val="30"/>
          <w:szCs w:val="30"/>
          <w:lang w:val="es-ES"/>
        </w:rPr>
        <w:br/>
        <w:t xml:space="preserve">Los servidores públicos que no pudieren reubicarse en otras entidades, se someterán al proceso de supresión de puestos dispuesto en la </w:t>
      </w:r>
      <w:r>
        <w:rPr>
          <w:rFonts w:eastAsia="Times New Roman"/>
          <w:sz w:val="30"/>
          <w:szCs w:val="30"/>
          <w:lang w:val="es-ES"/>
        </w:rPr>
        <w:t>Ley Orgánica del Servicio Público."</w:t>
      </w:r>
    </w:p>
    <w:p w:rsidR="00000000" w:rsidRDefault="0018461E">
      <w:pPr>
        <w:divId w:val="1227037064"/>
        <w:rPr>
          <w:rFonts w:eastAsia="Times New Roman"/>
          <w:sz w:val="30"/>
          <w:szCs w:val="30"/>
          <w:lang w:val="es-ES"/>
        </w:rPr>
      </w:pPr>
      <w:r>
        <w:rPr>
          <w:rFonts w:eastAsia="Times New Roman"/>
          <w:sz w:val="30"/>
          <w:szCs w:val="30"/>
          <w:lang w:val="es-ES"/>
        </w:rPr>
        <w:t>Vigésima tercera.-</w:t>
      </w:r>
      <w:r>
        <w:rPr>
          <w:rFonts w:eastAsia="Times New Roman"/>
          <w:b/>
          <w:bCs/>
          <w:sz w:val="30"/>
          <w:szCs w:val="30"/>
          <w:lang w:val="es-ES"/>
        </w:rPr>
        <w:t xml:space="preserve"> Sustitución de deudor de operaciones del Banco Nacional de Fomento: </w:t>
      </w:r>
      <w:r>
        <w:rPr>
          <w:rFonts w:eastAsia="Times New Roman"/>
          <w:sz w:val="30"/>
          <w:szCs w:val="30"/>
          <w:lang w:val="es-ES"/>
        </w:rPr>
        <w:t>En las operaciones de crédito concedidas por el Banco Nacional de Fomento cuyos recursos financieros, hubieren sido entregados direct</w:t>
      </w:r>
      <w:r>
        <w:rPr>
          <w:rFonts w:eastAsia="Times New Roman"/>
          <w:sz w:val="30"/>
          <w:szCs w:val="30"/>
          <w:lang w:val="es-ES"/>
        </w:rPr>
        <w:t>amente a terceros distintos del beneficiario o cliente y que dichos montos entregados no hayan cumplido con el objetivo por el cual fueron concedidos los créditos, se procederá a sustituir al deudor original de dicha operación por la persona que efectivame</w:t>
      </w:r>
      <w:r>
        <w:rPr>
          <w:rFonts w:eastAsia="Times New Roman"/>
          <w:sz w:val="30"/>
          <w:szCs w:val="30"/>
          <w:lang w:val="es-ES"/>
        </w:rPr>
        <w:t>nte recibió tales recursos o por el servidor público que autorizó el desembolso en favor de dicho tercero, de conformidad con las regulaciones que establezca el directorio del Banco. Esta disposición aplicará incluso a los créditos entregados con anteriori</w:t>
      </w:r>
      <w:r>
        <w:rPr>
          <w:rFonts w:eastAsia="Times New Roman"/>
          <w:sz w:val="30"/>
          <w:szCs w:val="30"/>
          <w:lang w:val="es-ES"/>
        </w:rPr>
        <w:t>dad a la entrada en vigencia de este Código.</w:t>
      </w:r>
    </w:p>
    <w:p w:rsidR="00000000" w:rsidRDefault="0018461E">
      <w:pPr>
        <w:divId w:val="94518607"/>
        <w:rPr>
          <w:rFonts w:eastAsia="Times New Roman"/>
          <w:sz w:val="30"/>
          <w:szCs w:val="30"/>
          <w:lang w:val="es-ES"/>
        </w:rPr>
      </w:pPr>
      <w:r>
        <w:rPr>
          <w:rFonts w:eastAsia="Times New Roman"/>
          <w:sz w:val="30"/>
          <w:szCs w:val="30"/>
          <w:lang w:val="es-ES"/>
        </w:rPr>
        <w:t>Vigésima cuarta.-</w:t>
      </w:r>
      <w:r>
        <w:rPr>
          <w:rFonts w:eastAsia="Times New Roman"/>
          <w:b/>
          <w:bCs/>
          <w:sz w:val="30"/>
          <w:szCs w:val="30"/>
          <w:lang w:val="es-ES"/>
        </w:rPr>
        <w:t xml:space="preserve"> Instituto Ecuatoriano de Crédito Educativo y Becas: </w:t>
      </w:r>
      <w:r>
        <w:rPr>
          <w:rFonts w:eastAsia="Times New Roman"/>
          <w:sz w:val="30"/>
          <w:szCs w:val="30"/>
          <w:lang w:val="es-ES"/>
        </w:rPr>
        <w:t>El Instituto Ecuatoriano de Crédito Educativo y Becas, IECE, creado con la Ley Sustitutiva a la Ley del Instituto Ecuatoriano de Crédito Educ</w:t>
      </w:r>
      <w:r>
        <w:rPr>
          <w:rFonts w:eastAsia="Times New Roman"/>
          <w:sz w:val="30"/>
          <w:szCs w:val="30"/>
          <w:lang w:val="es-ES"/>
        </w:rPr>
        <w:t>ativo y Becas, a partir de la vigencia de este Código dejará de operar y en su lugar mediante Decreto Ejecutivo, se creará la nueva institución pública encargada de la administración de becas, seguimiento y asesoría académica, perteneciente a la Función Ej</w:t>
      </w:r>
      <w:r>
        <w:rPr>
          <w:rFonts w:eastAsia="Times New Roman"/>
          <w:sz w:val="30"/>
          <w:szCs w:val="30"/>
          <w:lang w:val="es-ES"/>
        </w:rPr>
        <w:t>ecutiva, hasta tanto el Instituto Ecuatoriano de Crédito Educativo y Becas, IECE seguirá actuando conforme a su ley constitutiva.</w:t>
      </w:r>
      <w:r>
        <w:rPr>
          <w:rFonts w:eastAsia="Times New Roman"/>
          <w:sz w:val="30"/>
          <w:szCs w:val="30"/>
          <w:lang w:val="es-ES"/>
        </w:rPr>
        <w:br/>
      </w:r>
      <w:r>
        <w:rPr>
          <w:rFonts w:eastAsia="Times New Roman"/>
          <w:sz w:val="30"/>
          <w:szCs w:val="30"/>
          <w:lang w:val="es-ES"/>
        </w:rPr>
        <w:br/>
        <w:t>La nueva institución pública será la sucesora en derecho del Instituto Ecuatoriano de Crédito Educativo y Becas IECE, asumien</w:t>
      </w:r>
      <w:r>
        <w:rPr>
          <w:rFonts w:eastAsia="Times New Roman"/>
          <w:sz w:val="30"/>
          <w:szCs w:val="30"/>
          <w:lang w:val="es-ES"/>
        </w:rPr>
        <w:t>do el patrimonio, derechos y obligaciones, contratos, convenios y demás instrumentos jurídicos.</w:t>
      </w:r>
      <w:r>
        <w:rPr>
          <w:rFonts w:eastAsia="Times New Roman"/>
          <w:sz w:val="30"/>
          <w:szCs w:val="30"/>
          <w:lang w:val="es-ES"/>
        </w:rPr>
        <w:br/>
      </w:r>
      <w:r>
        <w:rPr>
          <w:rFonts w:eastAsia="Times New Roman"/>
          <w:sz w:val="30"/>
          <w:szCs w:val="30"/>
          <w:lang w:val="es-ES"/>
        </w:rPr>
        <w:br/>
        <w:t>Concédase jurisdicción coactiva, en los términos del artículo 10 de éste Código, a la institución pública, encargada de la administración de becas, seguimiento</w:t>
      </w:r>
      <w:r>
        <w:rPr>
          <w:rFonts w:eastAsia="Times New Roman"/>
          <w:sz w:val="30"/>
          <w:szCs w:val="30"/>
          <w:lang w:val="es-ES"/>
        </w:rPr>
        <w:t xml:space="preserve"> y asesoría académica.</w:t>
      </w:r>
      <w:r>
        <w:rPr>
          <w:rFonts w:eastAsia="Times New Roman"/>
          <w:sz w:val="30"/>
          <w:szCs w:val="30"/>
          <w:lang w:val="es-ES"/>
        </w:rPr>
        <w:br/>
      </w:r>
      <w:r>
        <w:rPr>
          <w:rFonts w:eastAsia="Times New Roman"/>
          <w:sz w:val="30"/>
          <w:szCs w:val="30"/>
          <w:lang w:val="es-ES"/>
        </w:rPr>
        <w:br/>
        <w:t xml:space="preserve">La cartera vencida que se haya generado en el marco de la colocación de créditos educativos otorgados hasta el 19 de diciembre de 2013 por el Instituto Ecuatoriano de Crédito Educativo y Becas IECE, así como </w:t>
      </w:r>
      <w:r>
        <w:rPr>
          <w:rFonts w:eastAsia="Times New Roman"/>
          <w:sz w:val="30"/>
          <w:szCs w:val="30"/>
          <w:lang w:val="es-ES"/>
        </w:rPr>
        <w:lastRenderedPageBreak/>
        <w:t>la cartera vencida que s</w:t>
      </w:r>
      <w:r>
        <w:rPr>
          <w:rFonts w:eastAsia="Times New Roman"/>
          <w:sz w:val="30"/>
          <w:szCs w:val="30"/>
          <w:lang w:val="es-ES"/>
        </w:rPr>
        <w:t>e genere de la colocación de crédito educativo en los quintiles determinados en los convenios específicos suscritos por ese instituto con las entidades financieras para tal efecto, pasará a ser de propiedad y administrada por la nueva institución pública e</w:t>
      </w:r>
      <w:r>
        <w:rPr>
          <w:rFonts w:eastAsia="Times New Roman"/>
          <w:sz w:val="30"/>
          <w:szCs w:val="30"/>
          <w:lang w:val="es-ES"/>
        </w:rPr>
        <w:t xml:space="preserve">ncargada de la administración de becas, seguimiento y asesoría académica. El control de la gestión de esta cartera coactivada y castigada estará a cargo de la Contraloría General del Estado, organismo que efectuará dicho control considerando la naturaleza </w:t>
      </w:r>
      <w:r>
        <w:rPr>
          <w:rFonts w:eastAsia="Times New Roman"/>
          <w:sz w:val="30"/>
          <w:szCs w:val="30"/>
          <w:lang w:val="es-ES"/>
        </w:rPr>
        <w:t>financiera de las operaciones.</w:t>
      </w:r>
      <w:r>
        <w:rPr>
          <w:rFonts w:eastAsia="Times New Roman"/>
          <w:sz w:val="30"/>
          <w:szCs w:val="30"/>
          <w:lang w:val="es-ES"/>
        </w:rPr>
        <w:br/>
      </w:r>
      <w:r>
        <w:rPr>
          <w:rFonts w:eastAsia="Times New Roman"/>
          <w:sz w:val="30"/>
          <w:szCs w:val="30"/>
          <w:lang w:val="es-ES"/>
        </w:rPr>
        <w:br/>
        <w:t>Las entidades financieras que estén facultadas para el otorgamiento del crédito educativo, deberán observar la política pública sobre la materia, que para el efecto expida el ente rector de la educación superior, ciencia, te</w:t>
      </w:r>
      <w:r>
        <w:rPr>
          <w:rFonts w:eastAsia="Times New Roman"/>
          <w:sz w:val="30"/>
          <w:szCs w:val="30"/>
          <w:lang w:val="es-ES"/>
        </w:rPr>
        <w:t>cnología e innovación.</w:t>
      </w:r>
    </w:p>
    <w:p w:rsidR="00000000" w:rsidRDefault="0018461E">
      <w:pPr>
        <w:divId w:val="678849678"/>
        <w:rPr>
          <w:rFonts w:eastAsia="Times New Roman"/>
          <w:sz w:val="30"/>
          <w:szCs w:val="30"/>
          <w:lang w:val="es-ES"/>
        </w:rPr>
      </w:pPr>
      <w:r>
        <w:rPr>
          <w:rFonts w:eastAsia="Times New Roman"/>
          <w:sz w:val="30"/>
          <w:szCs w:val="30"/>
          <w:lang w:val="es-ES"/>
        </w:rPr>
        <w:t>Vigésima quinta.-</w:t>
      </w:r>
      <w:r>
        <w:rPr>
          <w:rFonts w:eastAsia="Times New Roman"/>
          <w:b/>
          <w:bCs/>
          <w:sz w:val="30"/>
          <w:szCs w:val="30"/>
          <w:lang w:val="es-ES"/>
        </w:rPr>
        <w:t xml:space="preserve"> Convenios de asociación: </w:t>
      </w:r>
      <w:r>
        <w:rPr>
          <w:rFonts w:eastAsia="Times New Roman"/>
          <w:sz w:val="30"/>
          <w:szCs w:val="30"/>
          <w:lang w:val="es-ES"/>
        </w:rPr>
        <w:t>Dentro del plazo de un (1) año desde la vigencia de este Código, las entidades financieras privadas y sus subsidiarias nacionales y extranjeras deberán enajenar las acciones que posean en ot</w:t>
      </w:r>
      <w:r>
        <w:rPr>
          <w:rFonts w:eastAsia="Times New Roman"/>
          <w:sz w:val="30"/>
          <w:szCs w:val="30"/>
          <w:lang w:val="es-ES"/>
        </w:rPr>
        <w:t>ras entidades financieras privadas, como consecuencia de los convenios de asociación suscritos al amparo de la Ley General de Instituciones del Sistema Financiero.</w:t>
      </w:r>
    </w:p>
    <w:p w:rsidR="00000000" w:rsidRDefault="0018461E">
      <w:pPr>
        <w:divId w:val="865288398"/>
        <w:rPr>
          <w:rFonts w:eastAsia="Times New Roman"/>
          <w:sz w:val="30"/>
          <w:szCs w:val="30"/>
          <w:lang w:val="es-ES"/>
        </w:rPr>
      </w:pPr>
      <w:r>
        <w:rPr>
          <w:rFonts w:eastAsia="Times New Roman"/>
          <w:sz w:val="30"/>
          <w:szCs w:val="30"/>
          <w:lang w:val="es-ES"/>
        </w:rPr>
        <w:t>Vigésima sexta.-</w:t>
      </w:r>
      <w:r>
        <w:rPr>
          <w:rFonts w:eastAsia="Times New Roman"/>
          <w:b/>
          <w:bCs/>
          <w:sz w:val="30"/>
          <w:szCs w:val="30"/>
          <w:lang w:val="es-ES"/>
        </w:rPr>
        <w:t xml:space="preserve"> Desinversión: </w:t>
      </w:r>
      <w:r>
        <w:rPr>
          <w:rFonts w:eastAsia="Times New Roman"/>
          <w:sz w:val="30"/>
          <w:szCs w:val="30"/>
          <w:lang w:val="es-ES"/>
        </w:rPr>
        <w:t>Las entidades del sector financiero privado y los accionistas</w:t>
      </w:r>
      <w:r>
        <w:rPr>
          <w:rFonts w:eastAsia="Times New Roman"/>
          <w:sz w:val="30"/>
          <w:szCs w:val="30"/>
          <w:lang w:val="es-ES"/>
        </w:rPr>
        <w:t xml:space="preserve"> de dichas entidades con propiedad patrimonial con influencia, en el plazo de un (1) año desde la vigencia de éste Código deberán desinvertir sus participaciones accionariales en las entidades financieras del extranjero que se encuentren domiciliadas en pa</w:t>
      </w:r>
      <w:r>
        <w:rPr>
          <w:rFonts w:eastAsia="Times New Roman"/>
          <w:sz w:val="30"/>
          <w:szCs w:val="30"/>
          <w:lang w:val="es-ES"/>
        </w:rPr>
        <w:t>raísos fiscales o jurisdicciones de menor imposición de acuerdo con los criterios del Servicio de Rentas Internas.</w:t>
      </w:r>
      <w:r>
        <w:rPr>
          <w:rFonts w:eastAsia="Times New Roman"/>
          <w:sz w:val="30"/>
          <w:szCs w:val="30"/>
          <w:lang w:val="es-ES"/>
        </w:rPr>
        <w:br/>
      </w:r>
      <w:r>
        <w:rPr>
          <w:rFonts w:eastAsia="Times New Roman"/>
          <w:sz w:val="30"/>
          <w:szCs w:val="30"/>
          <w:lang w:val="es-ES"/>
        </w:rPr>
        <w:br/>
        <w:t>En caso de que una entidad financiera privada ecuatoriana o los accionistas de dichas entidades con propiedad patrimonial con influencia, ma</w:t>
      </w:r>
      <w:r>
        <w:rPr>
          <w:rFonts w:eastAsia="Times New Roman"/>
          <w:sz w:val="30"/>
          <w:szCs w:val="30"/>
          <w:lang w:val="es-ES"/>
        </w:rPr>
        <w:t>ntengan participación accionarial en un país que sea calificado por el Servicio de Rentas Internas como paraíso fiscal o jurisdicción de menor imposición, con posterioridad a la fecha de vigencia de este Código, dichas personas deberán desinvertir tal part</w:t>
      </w:r>
      <w:r>
        <w:rPr>
          <w:rFonts w:eastAsia="Times New Roman"/>
          <w:sz w:val="30"/>
          <w:szCs w:val="30"/>
          <w:lang w:val="es-ES"/>
        </w:rPr>
        <w:t>icipación en el plazo de un (1) año.</w:t>
      </w:r>
    </w:p>
    <w:p w:rsidR="00000000" w:rsidRDefault="0018461E">
      <w:pPr>
        <w:divId w:val="1198275531"/>
        <w:rPr>
          <w:rFonts w:eastAsia="Times New Roman"/>
          <w:sz w:val="30"/>
          <w:szCs w:val="30"/>
          <w:lang w:val="es-ES"/>
        </w:rPr>
      </w:pPr>
      <w:r>
        <w:rPr>
          <w:rFonts w:eastAsia="Times New Roman"/>
          <w:sz w:val="30"/>
          <w:szCs w:val="30"/>
          <w:lang w:val="es-ES"/>
        </w:rPr>
        <w:t>Vigésima séptima.-</w:t>
      </w:r>
      <w:r>
        <w:rPr>
          <w:rFonts w:eastAsia="Times New Roman"/>
          <w:b/>
          <w:bCs/>
          <w:sz w:val="30"/>
          <w:szCs w:val="30"/>
          <w:lang w:val="es-ES"/>
        </w:rPr>
        <w:t xml:space="preserve"> Corporación de desarrollo de mercado secundario de hipotecas: </w:t>
      </w:r>
      <w:r>
        <w:rPr>
          <w:rFonts w:eastAsia="Times New Roman"/>
          <w:sz w:val="30"/>
          <w:szCs w:val="30"/>
          <w:lang w:val="es-ES"/>
        </w:rPr>
        <w:t xml:space="preserve">La entidad constituida al amparo de la Ley General de Instituciones del Sistema Financiero como corporación de desarrollo de mercado secundario de hipotecas, en el plazo de un (1) año de la vigencia de este Código, deberá transferir la calidad de </w:t>
      </w:r>
      <w:r>
        <w:rPr>
          <w:rFonts w:eastAsia="Times New Roman"/>
          <w:sz w:val="30"/>
          <w:szCs w:val="30"/>
          <w:lang w:val="es-ES"/>
        </w:rPr>
        <w:lastRenderedPageBreak/>
        <w:t>fiduciari</w:t>
      </w:r>
      <w:r>
        <w:rPr>
          <w:rFonts w:eastAsia="Times New Roman"/>
          <w:sz w:val="30"/>
          <w:szCs w:val="30"/>
          <w:lang w:val="es-ES"/>
        </w:rPr>
        <w:t xml:space="preserve">a en los procesos de titularización que actualmente administra, a una sociedad administradora de fondos y fideicomisos, manteniendo las demás facultades requeridas para desarrollar procesos de titularización, propios y de terceros. Si en el plazo indicado </w:t>
      </w:r>
      <w:r>
        <w:rPr>
          <w:rFonts w:eastAsia="Times New Roman"/>
          <w:sz w:val="30"/>
          <w:szCs w:val="30"/>
          <w:lang w:val="es-ES"/>
        </w:rPr>
        <w:t>no opera tal transferencia, la entidad deberá liquidarse.</w:t>
      </w:r>
      <w:r>
        <w:rPr>
          <w:rFonts w:eastAsia="Times New Roman"/>
          <w:sz w:val="30"/>
          <w:szCs w:val="30"/>
          <w:lang w:val="es-ES"/>
        </w:rPr>
        <w:br/>
      </w:r>
      <w:r>
        <w:rPr>
          <w:rFonts w:eastAsia="Times New Roman"/>
          <w:sz w:val="30"/>
          <w:szCs w:val="30"/>
          <w:lang w:val="es-ES"/>
        </w:rPr>
        <w:br/>
        <w:t>La participación del Estado en esta corporación será asumida por el Banco del Estado, entidad que podrá mantenerla, incrementarla o enajenarla.</w:t>
      </w:r>
    </w:p>
    <w:p w:rsidR="00000000" w:rsidRDefault="0018461E">
      <w:pPr>
        <w:divId w:val="1932202441"/>
        <w:rPr>
          <w:rFonts w:eastAsia="Times New Roman"/>
          <w:sz w:val="30"/>
          <w:szCs w:val="30"/>
          <w:lang w:val="es-ES"/>
        </w:rPr>
      </w:pPr>
      <w:r>
        <w:rPr>
          <w:rFonts w:eastAsia="Times New Roman"/>
          <w:sz w:val="30"/>
          <w:szCs w:val="30"/>
          <w:lang w:val="es-ES"/>
        </w:rPr>
        <w:t>Vigésima octava.-</w:t>
      </w:r>
      <w:r>
        <w:rPr>
          <w:rFonts w:eastAsia="Times New Roman"/>
          <w:b/>
          <w:bCs/>
          <w:sz w:val="30"/>
          <w:szCs w:val="30"/>
          <w:lang w:val="es-ES"/>
        </w:rPr>
        <w:t xml:space="preserve"> Transportadoras de valores y seguri</w:t>
      </w:r>
      <w:r>
        <w:rPr>
          <w:rFonts w:eastAsia="Times New Roman"/>
          <w:b/>
          <w:bCs/>
          <w:sz w:val="30"/>
          <w:szCs w:val="30"/>
          <w:lang w:val="es-ES"/>
        </w:rPr>
        <w:t xml:space="preserve">dad: </w:t>
      </w:r>
      <w:r>
        <w:rPr>
          <w:rFonts w:eastAsia="Times New Roman"/>
          <w:sz w:val="30"/>
          <w:szCs w:val="30"/>
          <w:lang w:val="es-ES"/>
        </w:rPr>
        <w:t xml:space="preserve">Las entidades de servicios auxiliares del sistema financiero cuyo objeto sea el transporte de especies monetarias y de valores y seguridad, que se hayan constituido como compañías de responsabilidad limitada, en el plazo de un año deberán convertirse </w:t>
      </w:r>
      <w:r>
        <w:rPr>
          <w:rFonts w:eastAsia="Times New Roman"/>
          <w:sz w:val="30"/>
          <w:szCs w:val="30"/>
          <w:lang w:val="es-ES"/>
        </w:rPr>
        <w:t>en compañías anónimas.</w:t>
      </w:r>
    </w:p>
    <w:p w:rsidR="00000000" w:rsidRDefault="0018461E">
      <w:pPr>
        <w:divId w:val="1592857946"/>
        <w:rPr>
          <w:rFonts w:eastAsia="Times New Roman"/>
          <w:sz w:val="30"/>
          <w:szCs w:val="30"/>
          <w:lang w:val="es-ES"/>
        </w:rPr>
      </w:pPr>
      <w:r>
        <w:rPr>
          <w:rFonts w:eastAsia="Times New Roman"/>
          <w:sz w:val="30"/>
          <w:szCs w:val="30"/>
          <w:lang w:val="es-ES"/>
        </w:rPr>
        <w:t>Vigésima novena.-</w:t>
      </w:r>
      <w:r>
        <w:rPr>
          <w:rFonts w:eastAsia="Times New Roman"/>
          <w:b/>
          <w:bCs/>
          <w:sz w:val="30"/>
          <w:szCs w:val="30"/>
          <w:lang w:val="es-ES"/>
        </w:rPr>
        <w:t xml:space="preserve"> Asociaciones mutualistas de ahorro y crédito para la vivienda: </w:t>
      </w:r>
      <w:r>
        <w:rPr>
          <w:rFonts w:eastAsia="Times New Roman"/>
          <w:sz w:val="30"/>
          <w:szCs w:val="30"/>
          <w:lang w:val="es-ES"/>
        </w:rPr>
        <w:t>Las asociaciones mutualistas de ahorro y crédito para la vivienda que a la fecha de vigencia de este Código se encuentran operando, en el plazo de dieci</w:t>
      </w:r>
      <w:r>
        <w:rPr>
          <w:rFonts w:eastAsia="Times New Roman"/>
          <w:sz w:val="30"/>
          <w:szCs w:val="30"/>
          <w:lang w:val="es-ES"/>
        </w:rPr>
        <w:t>ocho meses resolverán su permanencia en el Sector Financiero Popular y Solidario o su conversión a entidad financiera del Sector Financiero Privado. En caso de pasar al control del Sector Financiero Popular y Solidario, la Superintendencia de Bancos y Segu</w:t>
      </w:r>
      <w:r>
        <w:rPr>
          <w:rFonts w:eastAsia="Times New Roman"/>
          <w:sz w:val="30"/>
          <w:szCs w:val="30"/>
          <w:lang w:val="es-ES"/>
        </w:rPr>
        <w:t xml:space="preserve">ros transferirá toda la documentación y archivos al organismo de control de las asociaciones mutualistas de ahorro y crédito para la vivienda. Este plazo podrá ser ampliado por la Junta de Política y Regulación Monetaria y Financiera, por una sola vez por </w:t>
      </w:r>
      <w:r>
        <w:rPr>
          <w:rFonts w:eastAsia="Times New Roman"/>
          <w:sz w:val="30"/>
          <w:szCs w:val="30"/>
          <w:lang w:val="es-ES"/>
        </w:rPr>
        <w:t>dieciocho meses adicionales. El patrimonio histórico acumulado de las asociaciones mutualistas de ahorro y crédito para la vivienda registrado como reserva legal irrepartible, será registrado como patrimonio de la entidad.</w:t>
      </w:r>
      <w:r>
        <w:rPr>
          <w:rFonts w:eastAsia="Times New Roman"/>
          <w:sz w:val="30"/>
          <w:szCs w:val="30"/>
          <w:lang w:val="es-ES"/>
        </w:rPr>
        <w:br/>
      </w:r>
      <w:r>
        <w:rPr>
          <w:rFonts w:eastAsia="Times New Roman"/>
          <w:sz w:val="30"/>
          <w:szCs w:val="30"/>
          <w:lang w:val="es-ES"/>
        </w:rPr>
        <w:br/>
        <w:t>En caso de que la entidad se con</w:t>
      </w:r>
      <w:r>
        <w:rPr>
          <w:rFonts w:eastAsia="Times New Roman"/>
          <w:sz w:val="30"/>
          <w:szCs w:val="30"/>
          <w:lang w:val="es-ES"/>
        </w:rPr>
        <w:t>vierta en entidad del Sector Financiero Privado, el patrimonio histórico acumulado, constituido por la reserva legal irrepartible, será aportado al Seguro de Depósitos.</w:t>
      </w:r>
    </w:p>
    <w:p w:rsidR="00000000" w:rsidRDefault="0018461E">
      <w:pPr>
        <w:divId w:val="917206817"/>
        <w:rPr>
          <w:rFonts w:eastAsia="Times New Roman"/>
          <w:sz w:val="30"/>
          <w:szCs w:val="30"/>
          <w:lang w:val="es-ES"/>
        </w:rPr>
      </w:pPr>
      <w:r>
        <w:rPr>
          <w:rFonts w:eastAsia="Times New Roman"/>
          <w:sz w:val="30"/>
          <w:szCs w:val="30"/>
          <w:lang w:val="es-ES"/>
        </w:rPr>
        <w:t>Trigésima.-</w:t>
      </w:r>
      <w:r>
        <w:rPr>
          <w:rFonts w:eastAsia="Times New Roman"/>
          <w:b/>
          <w:bCs/>
          <w:sz w:val="30"/>
          <w:szCs w:val="30"/>
          <w:lang w:val="es-ES"/>
        </w:rPr>
        <w:t xml:space="preserve"> Compañías de seguros, reaseguros, asesoras productoras de seguros, inspecto</w:t>
      </w:r>
      <w:r>
        <w:rPr>
          <w:rFonts w:eastAsia="Times New Roman"/>
          <w:b/>
          <w:bCs/>
          <w:sz w:val="30"/>
          <w:szCs w:val="30"/>
          <w:lang w:val="es-ES"/>
        </w:rPr>
        <w:t xml:space="preserve">ras de riesgos y ajustadoras de siniestros e intermediarias de reaseguros: </w:t>
      </w:r>
      <w:r>
        <w:rPr>
          <w:rFonts w:eastAsia="Times New Roman"/>
          <w:sz w:val="30"/>
          <w:szCs w:val="30"/>
          <w:lang w:val="es-ES"/>
        </w:rPr>
        <w:t>Las compañías de seguros, reaseguros, asesoras productoras de seguros, inspectoras de riesgos y ajustadoras de siniestros e intermediarias de reaseguros que a la fecha de vigencia d</w:t>
      </w:r>
      <w:r>
        <w:rPr>
          <w:rFonts w:eastAsia="Times New Roman"/>
          <w:sz w:val="30"/>
          <w:szCs w:val="30"/>
          <w:lang w:val="es-ES"/>
        </w:rPr>
        <w:t xml:space="preserve">e este Código se encuentran constituidas, en el plazo de dieciocho meses deberán ajustarse a las reformas a la Ley </w:t>
      </w:r>
      <w:r>
        <w:rPr>
          <w:rFonts w:eastAsia="Times New Roman"/>
          <w:sz w:val="30"/>
          <w:szCs w:val="30"/>
          <w:lang w:val="es-ES"/>
        </w:rPr>
        <w:lastRenderedPageBreak/>
        <w:t>General de Seguros dispuestas en este Código. La Junta de Política y Regulación Monetaria y Financiera, podrá ampliar el plazo hasta por diec</w:t>
      </w:r>
      <w:r>
        <w:rPr>
          <w:rFonts w:eastAsia="Times New Roman"/>
          <w:sz w:val="30"/>
          <w:szCs w:val="30"/>
          <w:lang w:val="es-ES"/>
        </w:rPr>
        <w:t>iocho meses, por una sola vez.</w:t>
      </w:r>
      <w:r>
        <w:rPr>
          <w:rFonts w:eastAsia="Times New Roman"/>
          <w:sz w:val="30"/>
          <w:szCs w:val="30"/>
          <w:lang w:val="es-ES"/>
        </w:rPr>
        <w:br/>
      </w:r>
      <w:r>
        <w:rPr>
          <w:rFonts w:eastAsia="Times New Roman"/>
          <w:sz w:val="30"/>
          <w:szCs w:val="30"/>
          <w:lang w:val="es-ES"/>
        </w:rPr>
        <w:br/>
        <w:t>Las compañías que no pudieren cumplir con esta Disposición Transitoria dejarán de operar e iniciarán un proceso de liquidación en apego a las normas que dicte la Superintendencia de Compañías, Valores y Seguros.</w:t>
      </w:r>
      <w:r>
        <w:rPr>
          <w:rFonts w:eastAsia="Times New Roman"/>
          <w:sz w:val="30"/>
          <w:szCs w:val="30"/>
          <w:lang w:val="es-ES"/>
        </w:rPr>
        <w:br/>
      </w:r>
      <w:r>
        <w:rPr>
          <w:rFonts w:eastAsia="Times New Roman"/>
          <w:sz w:val="30"/>
          <w:szCs w:val="30"/>
          <w:lang w:val="es-ES"/>
        </w:rPr>
        <w:br/>
        <w:t>El Superint</w:t>
      </w:r>
      <w:r>
        <w:rPr>
          <w:rFonts w:eastAsia="Times New Roman"/>
          <w:sz w:val="30"/>
          <w:szCs w:val="30"/>
          <w:lang w:val="es-ES"/>
        </w:rPr>
        <w:t xml:space="preserve">endente de Bancos conocerá y resolverá los recursos de apelación que no hayan sido resueltos por la Junta Bancaria conforme a la disposición transitoria tercera, por los reclamos que se presenten hasta que la competencia en esta materia sea asumida por la </w:t>
      </w:r>
      <w:r>
        <w:rPr>
          <w:rFonts w:eastAsia="Times New Roman"/>
          <w:sz w:val="30"/>
          <w:szCs w:val="30"/>
          <w:lang w:val="es-ES"/>
        </w:rPr>
        <w:t>Superintendencia de Compañías, Valores y Seguros, conforme a la disposición transitoria siguiente.</w:t>
      </w:r>
      <w:r>
        <w:rPr>
          <w:rFonts w:eastAsia="Times New Roman"/>
          <w:sz w:val="30"/>
          <w:szCs w:val="30"/>
          <w:lang w:val="es-ES"/>
        </w:rPr>
        <w:br/>
      </w:r>
      <w:r>
        <w:rPr>
          <w:rFonts w:eastAsia="Times New Roman"/>
          <w:sz w:val="30"/>
          <w:szCs w:val="30"/>
          <w:lang w:val="es-ES"/>
        </w:rPr>
        <w:br/>
        <w:t>En los reclamos, se respetarán los términos o plazos que hayan comenzado a transcurrir a la fecha de promulgación de las reformas a la Ley General de Seguro</w:t>
      </w:r>
      <w:r>
        <w:rPr>
          <w:rFonts w:eastAsia="Times New Roman"/>
          <w:sz w:val="30"/>
          <w:szCs w:val="30"/>
          <w:lang w:val="es-ES"/>
        </w:rPr>
        <w:t>s introducidas por este Código.</w:t>
      </w:r>
      <w:r>
        <w:rPr>
          <w:rFonts w:eastAsia="Times New Roman"/>
          <w:sz w:val="30"/>
          <w:szCs w:val="30"/>
          <w:lang w:val="es-ES"/>
        </w:rPr>
        <w:br/>
      </w:r>
      <w:r>
        <w:rPr>
          <w:rFonts w:eastAsia="Times New Roman"/>
          <w:sz w:val="30"/>
          <w:szCs w:val="30"/>
          <w:lang w:val="es-ES"/>
        </w:rPr>
        <w:br/>
        <w:t>Las normas de la Ley Orgánica de Defensa del Consumidor se entienden incorporadas a los contratos de seguro vigentes a la fecha de promulgación de la presente ley.</w:t>
      </w:r>
      <w:r>
        <w:rPr>
          <w:rFonts w:eastAsia="Times New Roman"/>
          <w:sz w:val="30"/>
          <w:szCs w:val="30"/>
          <w:lang w:val="es-ES"/>
        </w:rPr>
        <w:br/>
      </w:r>
      <w:r>
        <w:rPr>
          <w:rFonts w:eastAsia="Times New Roman"/>
          <w:sz w:val="30"/>
          <w:szCs w:val="30"/>
          <w:lang w:val="es-ES"/>
        </w:rPr>
        <w:br/>
        <w:t xml:space="preserve">Las reformas a la Ley General de Seguros introducidas por </w:t>
      </w:r>
      <w:r>
        <w:rPr>
          <w:rFonts w:eastAsia="Times New Roman"/>
          <w:sz w:val="30"/>
          <w:szCs w:val="30"/>
          <w:lang w:val="es-ES"/>
        </w:rPr>
        <w:t>este Código, respecto de la liquidación forzosa de compañías reguladas por aquella ley, serán aplicables a las liquidaciones en proceso a la fecha de promulgación de las reformas.”</w:t>
      </w:r>
    </w:p>
    <w:p w:rsidR="00000000" w:rsidRDefault="0018461E">
      <w:pPr>
        <w:divId w:val="1365980095"/>
        <w:rPr>
          <w:rFonts w:eastAsia="Times New Roman"/>
          <w:sz w:val="30"/>
          <w:szCs w:val="30"/>
          <w:lang w:val="es-ES"/>
        </w:rPr>
      </w:pPr>
      <w:r>
        <w:rPr>
          <w:rFonts w:eastAsia="Times New Roman"/>
          <w:sz w:val="30"/>
          <w:szCs w:val="30"/>
          <w:lang w:val="es-ES"/>
        </w:rPr>
        <w:t>Trigésima primera.-</w:t>
      </w:r>
      <w:r>
        <w:rPr>
          <w:rFonts w:eastAsia="Times New Roman"/>
          <w:b/>
          <w:bCs/>
          <w:sz w:val="30"/>
          <w:szCs w:val="30"/>
          <w:lang w:val="es-ES"/>
        </w:rPr>
        <w:t xml:space="preserve"> Control del régimen de seguros: </w:t>
      </w:r>
      <w:r>
        <w:rPr>
          <w:rFonts w:eastAsia="Times New Roman"/>
          <w:sz w:val="30"/>
          <w:szCs w:val="30"/>
          <w:lang w:val="es-ES"/>
        </w:rPr>
        <w:t xml:space="preserve">La Superintendencia de </w:t>
      </w:r>
      <w:r>
        <w:rPr>
          <w:rFonts w:eastAsia="Times New Roman"/>
          <w:sz w:val="30"/>
          <w:szCs w:val="30"/>
          <w:lang w:val="es-ES"/>
        </w:rPr>
        <w:t>Compañías, Valores y Seguros asumirá las competencias que el presente Código y las reformas por él introducidas a otras leyes le asignan, en el plazo de un año contado desde su publicación en el Registro Oficial. Durante aquel lapso, se transferirán los ex</w:t>
      </w:r>
      <w:r>
        <w:rPr>
          <w:rFonts w:eastAsia="Times New Roman"/>
          <w:sz w:val="30"/>
          <w:szCs w:val="30"/>
          <w:lang w:val="es-ES"/>
        </w:rPr>
        <w:t>pedientes, documentación y sistemas que actualmente se encuentran en la Superintendencia de Bancos y Seguros, y se determinarán y obtendrán los recursos humanos, tecnológicos, financieros, y materiales en general, necesarios para asumir tales competencias.</w:t>
      </w:r>
      <w:r>
        <w:rPr>
          <w:rFonts w:eastAsia="Times New Roman"/>
          <w:sz w:val="30"/>
          <w:szCs w:val="30"/>
          <w:lang w:val="es-ES"/>
        </w:rPr>
        <w:br/>
      </w:r>
      <w:r>
        <w:rPr>
          <w:rFonts w:eastAsia="Times New Roman"/>
          <w:sz w:val="30"/>
          <w:szCs w:val="30"/>
          <w:lang w:val="es-ES"/>
        </w:rPr>
        <w:br/>
        <w:t xml:space="preserve">Los trabajadores y servidores públicos de la Superintendencia de </w:t>
      </w:r>
      <w:r>
        <w:rPr>
          <w:rFonts w:eastAsia="Times New Roman"/>
          <w:sz w:val="30"/>
          <w:szCs w:val="30"/>
          <w:lang w:val="es-ES"/>
        </w:rPr>
        <w:lastRenderedPageBreak/>
        <w:t>Bancos que a la fecha de expedición de este Código, estén prestando servicios en el área a cargo del sistema de seguros, previa evaluación, calificación y selección, de acuerdo con los requ</w:t>
      </w:r>
      <w:r>
        <w:rPr>
          <w:rFonts w:eastAsia="Times New Roman"/>
          <w:sz w:val="30"/>
          <w:szCs w:val="30"/>
          <w:lang w:val="es-ES"/>
        </w:rPr>
        <w:t>erimientos institucionales y este Código, podrán pasar a formar parte de la Superintendencia de Compañías, Valores y Seguros. De existir cargos innecesarios se aplicará el proceso de supresión de puestos dispuesto en la Ley Orgánica del Servicio Público."</w:t>
      </w:r>
    </w:p>
    <w:p w:rsidR="00000000" w:rsidRDefault="0018461E">
      <w:pPr>
        <w:divId w:val="732116101"/>
        <w:rPr>
          <w:rFonts w:eastAsia="Times New Roman"/>
          <w:sz w:val="30"/>
          <w:szCs w:val="30"/>
          <w:lang w:val="es-ES"/>
        </w:rPr>
      </w:pPr>
      <w:r>
        <w:rPr>
          <w:rFonts w:eastAsia="Times New Roman"/>
          <w:sz w:val="30"/>
          <w:szCs w:val="30"/>
          <w:lang w:val="es-ES"/>
        </w:rPr>
        <w:t>Trigésima segunda.-</w:t>
      </w:r>
      <w:r>
        <w:rPr>
          <w:rFonts w:eastAsia="Times New Roman"/>
          <w:b/>
          <w:bCs/>
          <w:sz w:val="30"/>
          <w:szCs w:val="30"/>
          <w:lang w:val="es-ES"/>
        </w:rPr>
        <w:t xml:space="preserve"> Cuentas públicas Sector Público no Financiero: </w:t>
      </w:r>
      <w:r>
        <w:rPr>
          <w:rFonts w:eastAsia="Times New Roman"/>
          <w:sz w:val="30"/>
          <w:szCs w:val="30"/>
          <w:lang w:val="es-ES"/>
        </w:rPr>
        <w:t>Dentro del plazo de dos (2) meses desde la fecha de vigencia de este Código, las entidades del sistema financiero nacional convertirán en cuentas exclusivamente colectoras de recursos, toda</w:t>
      </w:r>
      <w:r>
        <w:rPr>
          <w:rFonts w:eastAsia="Times New Roman"/>
          <w:sz w:val="30"/>
          <w:szCs w:val="30"/>
          <w:lang w:val="es-ES"/>
        </w:rPr>
        <w:t>s las cuentas bancarias con capacidad de giro que las instituciones del sector público no financiero mantengan.</w:t>
      </w:r>
      <w:r>
        <w:rPr>
          <w:rFonts w:eastAsia="Times New Roman"/>
          <w:sz w:val="30"/>
          <w:szCs w:val="30"/>
          <w:lang w:val="es-ES"/>
        </w:rPr>
        <w:br/>
      </w:r>
      <w:r>
        <w:rPr>
          <w:rFonts w:eastAsia="Times New Roman"/>
          <w:sz w:val="30"/>
          <w:szCs w:val="30"/>
          <w:lang w:val="es-ES"/>
        </w:rPr>
        <w:br/>
        <w:t>La inobservancia de esta disposición acarreará las responsabilidades administrativas, civiles y penales a las que hubiere lugar.</w:t>
      </w:r>
    </w:p>
    <w:p w:rsidR="00000000" w:rsidRDefault="0018461E">
      <w:pPr>
        <w:divId w:val="1462531755"/>
        <w:rPr>
          <w:rFonts w:eastAsia="Times New Roman"/>
          <w:sz w:val="30"/>
          <w:szCs w:val="30"/>
          <w:lang w:val="es-ES"/>
        </w:rPr>
      </w:pPr>
      <w:r>
        <w:rPr>
          <w:rFonts w:eastAsia="Times New Roman"/>
          <w:sz w:val="30"/>
          <w:szCs w:val="30"/>
          <w:lang w:val="es-ES"/>
        </w:rPr>
        <w:t>Trigésima terc</w:t>
      </w:r>
      <w:r>
        <w:rPr>
          <w:rFonts w:eastAsia="Times New Roman"/>
          <w:sz w:val="30"/>
          <w:szCs w:val="30"/>
          <w:lang w:val="es-ES"/>
        </w:rPr>
        <w:t>era.-</w:t>
      </w:r>
      <w:r>
        <w:rPr>
          <w:rFonts w:eastAsia="Times New Roman"/>
          <w:b/>
          <w:bCs/>
          <w:sz w:val="30"/>
          <w:szCs w:val="30"/>
          <w:lang w:val="es-ES"/>
        </w:rPr>
        <w:t xml:space="preserve"> Inversiones Sector Público No Financiero: </w:t>
      </w:r>
      <w:r>
        <w:rPr>
          <w:rFonts w:eastAsia="Times New Roman"/>
          <w:sz w:val="30"/>
          <w:szCs w:val="30"/>
          <w:lang w:val="es-ES"/>
        </w:rPr>
        <w:t>Las inversiones financieras que las instituciones del Sector Público No Financiero mantengan vigentes en los sectores financiero privado y popular y solidario, y en títulos valores emitidos por entidades naci</w:t>
      </w:r>
      <w:r>
        <w:rPr>
          <w:rFonts w:eastAsia="Times New Roman"/>
          <w:sz w:val="30"/>
          <w:szCs w:val="30"/>
          <w:lang w:val="es-ES"/>
        </w:rPr>
        <w:t>onales privadas o entidades extranjeras, a su vencimiento, no podrán ser renovadas. Si el vencimiento de la inversión supera un (1) año desde la vigencia de este Código, tales inversiones financieras deberán ser enajenadas.</w:t>
      </w:r>
      <w:r>
        <w:rPr>
          <w:rFonts w:eastAsia="Times New Roman"/>
          <w:sz w:val="30"/>
          <w:szCs w:val="30"/>
          <w:lang w:val="es-ES"/>
        </w:rPr>
        <w:br/>
      </w:r>
      <w:r>
        <w:rPr>
          <w:rFonts w:eastAsia="Times New Roman"/>
          <w:sz w:val="30"/>
          <w:szCs w:val="30"/>
          <w:lang w:val="es-ES"/>
        </w:rPr>
        <w:br/>
        <w:t>Los recursos resultantes se acr</w:t>
      </w:r>
      <w:r>
        <w:rPr>
          <w:rFonts w:eastAsia="Times New Roman"/>
          <w:sz w:val="30"/>
          <w:szCs w:val="30"/>
          <w:lang w:val="es-ES"/>
        </w:rPr>
        <w:t>editarán en las respectivas cuentas que las entidades mantengan en el Banco Central del Ecuador, de acuerdo con las normas que dicte el ente rector de las finanzas públicas.</w:t>
      </w:r>
      <w:r>
        <w:rPr>
          <w:rFonts w:eastAsia="Times New Roman"/>
          <w:sz w:val="30"/>
          <w:szCs w:val="30"/>
          <w:lang w:val="es-ES"/>
        </w:rPr>
        <w:br/>
      </w:r>
      <w:r>
        <w:rPr>
          <w:rFonts w:eastAsia="Times New Roman"/>
          <w:sz w:val="30"/>
          <w:szCs w:val="30"/>
          <w:lang w:val="es-ES"/>
        </w:rPr>
        <w:br/>
        <w:t>Se dispone a las entidades del Sector Público No Financiero constituyentes de los</w:t>
      </w:r>
      <w:r>
        <w:rPr>
          <w:rFonts w:eastAsia="Times New Roman"/>
          <w:sz w:val="30"/>
          <w:szCs w:val="30"/>
          <w:lang w:val="es-ES"/>
        </w:rPr>
        <w:t xml:space="preserve"> fideicomisos mercantiles BANCO DEL MIGRANTE, PROMUJERES, FICA, y cualquier otro fideicomiso establecido con el propósito de realizar operaciones de crédito a favor de los grupos de atención prioritaria, dar por terminado dichos contratos de fideicomisos y</w:t>
      </w:r>
      <w:r>
        <w:rPr>
          <w:rFonts w:eastAsia="Times New Roman"/>
          <w:sz w:val="30"/>
          <w:szCs w:val="30"/>
          <w:lang w:val="es-ES"/>
        </w:rPr>
        <w:t xml:space="preserve"> la restitución de sus activos a los constituyentes para que éstos a su vez transfieran los recursos resultantes de la liquidación a la Corporación de Finanzas Populares y Solidarias, en el plazo de ciento ochenta (180) días desde la vigencia de este Códig</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Corporación de Finanzas Populares y Solidarias destinará estos recursos, de manera exclusiva, para programas y proyectos orientados a los mismos grupos de atención prioritaria a favor de los cuales se constituyeron los fideicomisos.</w:t>
      </w:r>
      <w:r>
        <w:rPr>
          <w:rFonts w:eastAsia="Times New Roman"/>
          <w:sz w:val="30"/>
          <w:szCs w:val="30"/>
          <w:lang w:val="es-ES"/>
        </w:rPr>
        <w:br/>
      </w:r>
      <w:r>
        <w:rPr>
          <w:rFonts w:eastAsia="Times New Roman"/>
          <w:sz w:val="30"/>
          <w:szCs w:val="30"/>
          <w:lang w:val="es-ES"/>
        </w:rPr>
        <w:br/>
        <w:t>Dentro del mism</w:t>
      </w:r>
      <w:r>
        <w:rPr>
          <w:rFonts w:eastAsia="Times New Roman"/>
          <w:sz w:val="30"/>
          <w:szCs w:val="30"/>
          <w:lang w:val="es-ES"/>
        </w:rPr>
        <w:t>o plazo, asimismo se dispone dar por terminados los fideicomisos mercantiles FONDEPYME Y CREECUADOR. Los activos en dinero de dichos fideicomisos serán transferidos al fondo de capital de riesgo dispuesto en el Código Orgánico de la Producción y el resto d</w:t>
      </w:r>
      <w:r>
        <w:rPr>
          <w:rFonts w:eastAsia="Times New Roman"/>
          <w:sz w:val="30"/>
          <w:szCs w:val="30"/>
          <w:lang w:val="es-ES"/>
        </w:rPr>
        <w:t>e activos a los respectivos constituyentes.</w:t>
      </w:r>
      <w:r>
        <w:rPr>
          <w:rFonts w:eastAsia="Times New Roman"/>
          <w:sz w:val="30"/>
          <w:szCs w:val="30"/>
          <w:lang w:val="es-ES"/>
        </w:rPr>
        <w:br/>
      </w:r>
      <w:r>
        <w:rPr>
          <w:rFonts w:eastAsia="Times New Roman"/>
          <w:sz w:val="30"/>
          <w:szCs w:val="30"/>
          <w:lang w:val="es-ES"/>
        </w:rPr>
        <w:br/>
        <w:t>La inobservancia de esta disposición acarreará las responsabilidades administrativas, civiles y penales a las que hubiere lugar.</w:t>
      </w:r>
    </w:p>
    <w:p w:rsidR="00000000" w:rsidRDefault="0018461E">
      <w:pPr>
        <w:divId w:val="592936023"/>
        <w:rPr>
          <w:rFonts w:eastAsia="Times New Roman"/>
          <w:sz w:val="30"/>
          <w:szCs w:val="30"/>
          <w:lang w:val="es-ES"/>
        </w:rPr>
      </w:pPr>
      <w:r>
        <w:rPr>
          <w:rFonts w:eastAsia="Times New Roman"/>
          <w:sz w:val="30"/>
          <w:szCs w:val="30"/>
          <w:lang w:val="es-ES"/>
        </w:rPr>
        <w:t>Trigésima cuarta.-</w:t>
      </w:r>
      <w:r>
        <w:rPr>
          <w:rFonts w:eastAsia="Times New Roman"/>
          <w:b/>
          <w:bCs/>
          <w:sz w:val="30"/>
          <w:szCs w:val="30"/>
          <w:lang w:val="es-ES"/>
        </w:rPr>
        <w:t xml:space="preserve"> Recursos del Fondo Nacional de Saneamiento Ambiental (FONASA) y</w:t>
      </w:r>
      <w:r>
        <w:rPr>
          <w:rFonts w:eastAsia="Times New Roman"/>
          <w:b/>
          <w:bCs/>
          <w:sz w:val="30"/>
          <w:szCs w:val="30"/>
          <w:lang w:val="es-ES"/>
        </w:rPr>
        <w:t xml:space="preserve"> en el Fondo Nacional de Forestación y Reforestación (FONAFOR): </w:t>
      </w:r>
      <w:r>
        <w:rPr>
          <w:rFonts w:eastAsia="Times New Roman"/>
          <w:sz w:val="30"/>
          <w:szCs w:val="30"/>
          <w:lang w:val="es-ES"/>
        </w:rPr>
        <w:t>En virtud de la derogatoria de la Ley Reformatoria de la Ley de Desarrollo de Vialidad Agropecuaria y de Fomento de Mano de Obra y de Creación del Fondo Nacional de Saneamiento Ambiental, Fond</w:t>
      </w:r>
      <w:r>
        <w:rPr>
          <w:rFonts w:eastAsia="Times New Roman"/>
          <w:sz w:val="30"/>
          <w:szCs w:val="30"/>
          <w:lang w:val="es-ES"/>
        </w:rPr>
        <w:t>o Nacional de Forestación y Reforestación, los recursos del Fondo Nacional de Saneamiento Ambiental (FONASA) y del Fondo Nacional de Forestación y Reforestación (FONAFOR), previa liquidación, serán transferidos a la Cuenta Única del Tesoro Nacional.</w:t>
      </w:r>
    </w:p>
    <w:p w:rsidR="00000000" w:rsidRDefault="0018461E">
      <w:pPr>
        <w:divId w:val="1139422873"/>
        <w:rPr>
          <w:rFonts w:eastAsia="Times New Roman"/>
          <w:sz w:val="30"/>
          <w:szCs w:val="30"/>
          <w:lang w:val="es-ES"/>
        </w:rPr>
      </w:pPr>
      <w:r>
        <w:rPr>
          <w:rFonts w:eastAsia="Times New Roman"/>
          <w:sz w:val="30"/>
          <w:szCs w:val="30"/>
          <w:lang w:val="es-ES"/>
        </w:rPr>
        <w:t>Trigés</w:t>
      </w:r>
      <w:r>
        <w:rPr>
          <w:rFonts w:eastAsia="Times New Roman"/>
          <w:sz w:val="30"/>
          <w:szCs w:val="30"/>
          <w:lang w:val="es-ES"/>
        </w:rPr>
        <w:t>ima quinta.-</w:t>
      </w:r>
      <w:r>
        <w:rPr>
          <w:rFonts w:eastAsia="Times New Roman"/>
          <w:b/>
          <w:bCs/>
          <w:sz w:val="30"/>
          <w:szCs w:val="30"/>
          <w:lang w:val="es-ES"/>
        </w:rPr>
        <w:t xml:space="preserve"> Recursos de la Comisión para el Desarrollo de la Zona Norte de Manabí CEDEM: </w:t>
      </w:r>
      <w:r>
        <w:rPr>
          <w:rFonts w:eastAsia="Times New Roman"/>
          <w:sz w:val="30"/>
          <w:szCs w:val="30"/>
          <w:lang w:val="es-ES"/>
        </w:rPr>
        <w:t>En virtud de la derogatoria de la Ley de Creación de la Comisión para el Desarrollo de la Zona Norte de Manabí CEDEM, los recursos asignados a la comisión, previa liq</w:t>
      </w:r>
      <w:r>
        <w:rPr>
          <w:rFonts w:eastAsia="Times New Roman"/>
          <w:sz w:val="30"/>
          <w:szCs w:val="30"/>
          <w:lang w:val="es-ES"/>
        </w:rPr>
        <w:t>uidación, serán transferidos a la Cuenta Única del Tesoro Nacional.</w:t>
      </w:r>
    </w:p>
    <w:p w:rsidR="00000000" w:rsidRDefault="0018461E">
      <w:pPr>
        <w:divId w:val="495460825"/>
        <w:rPr>
          <w:rFonts w:eastAsia="Times New Roman"/>
          <w:sz w:val="30"/>
          <w:szCs w:val="30"/>
          <w:lang w:val="es-ES"/>
        </w:rPr>
      </w:pPr>
      <w:r>
        <w:rPr>
          <w:rFonts w:eastAsia="Times New Roman"/>
          <w:sz w:val="30"/>
          <w:szCs w:val="30"/>
          <w:lang w:val="es-ES"/>
        </w:rPr>
        <w:t>Trigésima sexta.-</w:t>
      </w:r>
      <w:r>
        <w:rPr>
          <w:rFonts w:eastAsia="Times New Roman"/>
          <w:b/>
          <w:bCs/>
          <w:sz w:val="30"/>
          <w:szCs w:val="30"/>
          <w:lang w:val="es-ES"/>
        </w:rPr>
        <w:t xml:space="preserve"> Jurisdicción coactiva: </w:t>
      </w:r>
      <w:r>
        <w:rPr>
          <w:rFonts w:eastAsia="Times New Roman"/>
          <w:sz w:val="30"/>
          <w:szCs w:val="30"/>
          <w:lang w:val="es-ES"/>
        </w:rPr>
        <w:t>Las entidades financieras y de seguros en las cuales el Estado conserve la propiedad mayoritaria, tendrán jurisdicción coactiva para el cobro de los créditos y cualquier tipo de obligaciones a su favor o de terceros, mientras el Estado conserve dicha parti</w:t>
      </w:r>
      <w:r>
        <w:rPr>
          <w:rFonts w:eastAsia="Times New Roman"/>
          <w:sz w:val="30"/>
          <w:szCs w:val="30"/>
          <w:lang w:val="es-ES"/>
        </w:rPr>
        <w:t>cipación. La jurisdicción coactiva será ejercida conforme lo establece el artículo 10 de este Código.</w:t>
      </w:r>
      <w:r>
        <w:rPr>
          <w:rFonts w:eastAsia="Times New Roman"/>
          <w:sz w:val="30"/>
          <w:szCs w:val="30"/>
          <w:lang w:val="es-ES"/>
        </w:rPr>
        <w:br/>
      </w:r>
      <w:r>
        <w:rPr>
          <w:rFonts w:eastAsia="Times New Roman"/>
          <w:sz w:val="30"/>
          <w:szCs w:val="30"/>
          <w:lang w:val="es-ES"/>
        </w:rPr>
        <w:br/>
        <w:t>La Superintendencia de Bancos continuará ejerciendo la jurisdicción coactiva para el cobro de las pérdidas patrimoniales de las instituciones financieras</w:t>
      </w:r>
      <w:r>
        <w:rPr>
          <w:rFonts w:eastAsia="Times New Roman"/>
          <w:sz w:val="30"/>
          <w:szCs w:val="30"/>
          <w:lang w:val="es-ES"/>
        </w:rPr>
        <w:t xml:space="preserve"> cuyos procesos liquidatorios culminaron hasta diciembre de 2010.</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procesos coactivos se iniciarán contra los accionistas que representaban el seis por ciento (6%) o más del capital accionario al momento de someterse la institución financiera al proces</w:t>
      </w:r>
      <w:r>
        <w:rPr>
          <w:rFonts w:eastAsia="Times New Roman"/>
          <w:sz w:val="30"/>
          <w:szCs w:val="30"/>
          <w:lang w:val="es-ES"/>
        </w:rPr>
        <w:t>o de restructuración, saneamiento o liquidación forzosa, así como contra el principal administrador y representante legal.</w:t>
      </w:r>
      <w:r>
        <w:rPr>
          <w:rFonts w:eastAsia="Times New Roman"/>
          <w:sz w:val="30"/>
          <w:szCs w:val="30"/>
          <w:lang w:val="es-ES"/>
        </w:rPr>
        <w:br/>
      </w:r>
      <w:r>
        <w:rPr>
          <w:rFonts w:eastAsia="Times New Roman"/>
          <w:sz w:val="30"/>
          <w:szCs w:val="30"/>
          <w:lang w:val="es-ES"/>
        </w:rPr>
        <w:br/>
        <w:t>La Superintendencia de Bancos determinará las calidades referidas en el inciso anterior, y podrá dictar medidas cautelares reales, d</w:t>
      </w:r>
      <w:r>
        <w:rPr>
          <w:rFonts w:eastAsia="Times New Roman"/>
          <w:sz w:val="30"/>
          <w:szCs w:val="30"/>
          <w:lang w:val="es-ES"/>
        </w:rPr>
        <w:t>entro de la coactiva, sobre los bienes que de público conocimiento son de propiedad de aquellos accionistas, administradores o representante legal, en su caso.</w:t>
      </w:r>
      <w:r>
        <w:rPr>
          <w:rFonts w:eastAsia="Times New Roman"/>
          <w:sz w:val="30"/>
          <w:szCs w:val="30"/>
          <w:lang w:val="es-ES"/>
        </w:rPr>
        <w:br/>
      </w:r>
      <w:r>
        <w:rPr>
          <w:rFonts w:eastAsia="Times New Roman"/>
          <w:sz w:val="30"/>
          <w:szCs w:val="30"/>
          <w:lang w:val="es-ES"/>
        </w:rPr>
        <w:br/>
        <w:t>Lo anterior, sin perjuicio de las responsabilidades civiles, administrativas y penales a que hu</w:t>
      </w:r>
      <w:r>
        <w:rPr>
          <w:rFonts w:eastAsia="Times New Roman"/>
          <w:sz w:val="30"/>
          <w:szCs w:val="30"/>
          <w:lang w:val="es-ES"/>
        </w:rPr>
        <w:t>biere lugar para quienes administraron las instituciones financieras durante la etapa de saneamiento o restructuración a cargo de la Agencia de Garantía de Depósitos y posterior liquidación.</w:t>
      </w:r>
      <w:r>
        <w:rPr>
          <w:rFonts w:eastAsia="Times New Roman"/>
          <w:sz w:val="30"/>
          <w:szCs w:val="30"/>
          <w:lang w:val="es-ES"/>
        </w:rPr>
        <w:br/>
      </w:r>
      <w:r>
        <w:rPr>
          <w:rFonts w:eastAsia="Times New Roman"/>
          <w:sz w:val="30"/>
          <w:szCs w:val="30"/>
          <w:lang w:val="es-ES"/>
        </w:rPr>
        <w:br/>
        <w:t>En el caso de que las entidades de control determinaren responsa</w:t>
      </w:r>
      <w:r>
        <w:rPr>
          <w:rFonts w:eastAsia="Times New Roman"/>
          <w:sz w:val="30"/>
          <w:szCs w:val="30"/>
          <w:lang w:val="es-ES"/>
        </w:rPr>
        <w:t>bilidades de administradores temporales y liquidadores, otórgase la misma jurisdicción coactiva a la Superintendencia de Bancos para que ejerza en contra de dichos funcionarios”.</w:t>
      </w:r>
    </w:p>
    <w:p w:rsidR="00000000" w:rsidRDefault="0018461E">
      <w:pPr>
        <w:divId w:val="503663494"/>
        <w:rPr>
          <w:rFonts w:eastAsia="Times New Roman"/>
          <w:sz w:val="30"/>
          <w:szCs w:val="30"/>
          <w:lang w:val="es-ES"/>
        </w:rPr>
      </w:pPr>
      <w:r>
        <w:rPr>
          <w:rFonts w:eastAsia="Times New Roman"/>
          <w:b/>
          <w:bCs/>
          <w:sz w:val="30"/>
          <w:szCs w:val="30"/>
          <w:lang w:val="es-ES"/>
        </w:rPr>
        <w:t xml:space="preserve">Trigésima séptima: </w:t>
      </w:r>
      <w:r>
        <w:rPr>
          <w:rFonts w:eastAsia="Times New Roman"/>
          <w:sz w:val="30"/>
          <w:szCs w:val="30"/>
          <w:lang w:val="es-ES"/>
        </w:rPr>
        <w:t>La disposición general vigésima cuarta del Código Orgánico</w:t>
      </w:r>
      <w:r>
        <w:rPr>
          <w:rFonts w:eastAsia="Times New Roman"/>
          <w:sz w:val="30"/>
          <w:szCs w:val="30"/>
          <w:lang w:val="es-ES"/>
        </w:rPr>
        <w:t xml:space="preserve"> de Planificación y Finanzas Públicas introducida por la disposición reformatoria y derogatoria tercera de este Código, regirá a partir del ejercicio presupuestario 2015.</w:t>
      </w:r>
    </w:p>
    <w:p w:rsidR="00000000" w:rsidRDefault="0018461E">
      <w:pPr>
        <w:divId w:val="1692803501"/>
        <w:rPr>
          <w:rFonts w:eastAsia="Times New Roman"/>
          <w:sz w:val="30"/>
          <w:szCs w:val="30"/>
          <w:lang w:val="es-ES"/>
        </w:rPr>
      </w:pPr>
      <w:r>
        <w:rPr>
          <w:rFonts w:eastAsia="Times New Roman"/>
          <w:b/>
          <w:bCs/>
          <w:sz w:val="30"/>
          <w:szCs w:val="30"/>
          <w:lang w:val="es-ES"/>
        </w:rPr>
        <w:t xml:space="preserve">Trigésima octava: </w:t>
      </w:r>
      <w:r>
        <w:rPr>
          <w:rFonts w:eastAsia="Times New Roman"/>
          <w:sz w:val="30"/>
          <w:szCs w:val="30"/>
          <w:lang w:val="es-ES"/>
        </w:rPr>
        <w:t>En el caso del Banco del Estado, en lugar de los titulares señalado</w:t>
      </w:r>
      <w:r>
        <w:rPr>
          <w:rFonts w:eastAsia="Times New Roman"/>
          <w:sz w:val="30"/>
          <w:szCs w:val="30"/>
          <w:lang w:val="es-ES"/>
        </w:rPr>
        <w:t xml:space="preserve">s en el numeral 2 del artículo 373, participarán en el directorio: un representante de los gobiernos regionales, un representante de los gobiernos provinciales, un representante de los gobiernos cantonales, un representante de los gobiernos parroquiales y </w:t>
      </w:r>
      <w:r>
        <w:rPr>
          <w:rFonts w:eastAsia="Times New Roman"/>
          <w:sz w:val="30"/>
          <w:szCs w:val="30"/>
          <w:lang w:val="es-ES"/>
        </w:rPr>
        <w:t>dos titulares de secretarías de Estado cuyo ámbito de acción esté directamente relacionado con las finalidades y objetivos de la respectiva entidad financiera, o sus delegados permanentes. Esta entidad tendrá su capital suscrito y pagado dividido en accion</w:t>
      </w:r>
      <w:r>
        <w:rPr>
          <w:rFonts w:eastAsia="Times New Roman"/>
          <w:sz w:val="30"/>
          <w:szCs w:val="30"/>
          <w:lang w:val="es-ES"/>
        </w:rPr>
        <w:t>es y tendrá una Junta General de Accionistas</w:t>
      </w:r>
    </w:p>
    <w:p w:rsidR="00000000" w:rsidRDefault="0018461E">
      <w:pPr>
        <w:divId w:val="24595943"/>
        <w:rPr>
          <w:rFonts w:eastAsia="Times New Roman"/>
          <w:sz w:val="30"/>
          <w:szCs w:val="30"/>
          <w:lang w:val="es-ES"/>
        </w:rPr>
      </w:pPr>
      <w:r>
        <w:rPr>
          <w:rFonts w:eastAsia="Times New Roman"/>
          <w:b/>
          <w:bCs/>
          <w:sz w:val="30"/>
          <w:szCs w:val="30"/>
          <w:lang w:val="es-ES"/>
        </w:rPr>
        <w:t xml:space="preserve">Trigésima novena: </w:t>
      </w:r>
      <w:r>
        <w:rPr>
          <w:rFonts w:eastAsia="Times New Roman"/>
          <w:sz w:val="30"/>
          <w:szCs w:val="30"/>
          <w:lang w:val="es-ES"/>
        </w:rPr>
        <w:t>La venta de las acciones o de los activos de las compañías adquiridas por la Agencia de Garantía de Depósitos o la Unidad de Gestión y Ejecución del Fideicomiso AGD-CFN No Más Impunidad por dis</w:t>
      </w:r>
      <w:r>
        <w:rPr>
          <w:rFonts w:eastAsia="Times New Roman"/>
          <w:sz w:val="30"/>
          <w:szCs w:val="30"/>
          <w:lang w:val="es-ES"/>
        </w:rPr>
        <w:t xml:space="preserve">posición del artículo 29 de la Ley de </w:t>
      </w:r>
      <w:r>
        <w:rPr>
          <w:rFonts w:eastAsia="Times New Roman"/>
          <w:sz w:val="30"/>
          <w:szCs w:val="30"/>
          <w:lang w:val="es-ES"/>
        </w:rPr>
        <w:lastRenderedPageBreak/>
        <w:t>Reordenamiento en Materia Económica en el Área Tributario-Financiera, instrumentadas con operaciones de crédito o de financiamiento realizadas por la Corporación Financiera Nacional y pagadas, total o parcialmente, con</w:t>
      </w:r>
      <w:r>
        <w:rPr>
          <w:rFonts w:eastAsia="Times New Roman"/>
          <w:sz w:val="30"/>
          <w:szCs w:val="30"/>
          <w:lang w:val="es-ES"/>
        </w:rPr>
        <w:t xml:space="preserve"> Certificados de Pasivos Garantizados (CPG) a favor de trabajadores o empleados de dichas compañías, serán reliquidadas de acuerdo a los siguientes criterios:</w:t>
      </w:r>
      <w:r>
        <w:rPr>
          <w:rFonts w:eastAsia="Times New Roman"/>
          <w:sz w:val="30"/>
          <w:szCs w:val="30"/>
          <w:lang w:val="es-ES"/>
        </w:rPr>
        <w:br/>
      </w:r>
      <w:r>
        <w:rPr>
          <w:rFonts w:eastAsia="Times New Roman"/>
          <w:sz w:val="30"/>
          <w:szCs w:val="30"/>
          <w:lang w:val="es-ES"/>
        </w:rPr>
        <w:br/>
        <w:t xml:space="preserve">a. El precio de los bienes negociados se reliquidará: (i) a su valor en libros a la fecha de la </w:t>
      </w:r>
      <w:r>
        <w:rPr>
          <w:rFonts w:eastAsia="Times New Roman"/>
          <w:sz w:val="30"/>
          <w:szCs w:val="30"/>
          <w:lang w:val="es-ES"/>
        </w:rPr>
        <w:t>venta; (ii) al menor valor al que se vendieron públicamente bienes semejantes de la misma empresa, o (iii) al valor en libros actual, el menor de los tres.</w:t>
      </w:r>
      <w:r>
        <w:rPr>
          <w:rFonts w:eastAsia="Times New Roman"/>
          <w:sz w:val="30"/>
          <w:szCs w:val="30"/>
          <w:lang w:val="es-ES"/>
        </w:rPr>
        <w:br/>
      </w:r>
      <w:r>
        <w:rPr>
          <w:rFonts w:eastAsia="Times New Roman"/>
          <w:sz w:val="30"/>
          <w:szCs w:val="30"/>
          <w:lang w:val="es-ES"/>
        </w:rPr>
        <w:br/>
        <w:t>Estos criterios serán aplicados en futuras ventas que realice el Fideicomiso Mercantil AGD-CFN No M</w:t>
      </w:r>
      <w:r>
        <w:rPr>
          <w:rFonts w:eastAsia="Times New Roman"/>
          <w:sz w:val="30"/>
          <w:szCs w:val="30"/>
          <w:lang w:val="es-ES"/>
        </w:rPr>
        <w:t>ás Impunidad a los trabajadores o empleados de las compañías determinadas en el primer inciso.</w:t>
      </w:r>
      <w:r>
        <w:rPr>
          <w:rFonts w:eastAsia="Times New Roman"/>
          <w:sz w:val="30"/>
          <w:szCs w:val="30"/>
          <w:lang w:val="es-ES"/>
        </w:rPr>
        <w:br/>
      </w:r>
      <w:r>
        <w:rPr>
          <w:rFonts w:eastAsia="Times New Roman"/>
          <w:sz w:val="30"/>
          <w:szCs w:val="30"/>
          <w:lang w:val="es-ES"/>
        </w:rPr>
        <w:br/>
        <w:t>b. Las operaciones de crédito o de financiamiento se reliquidarán de la siguiente forma: (i) El Fideicomiso Mercantil AGD-CFN No Más Impunidad deberá pagar a la</w:t>
      </w:r>
      <w:r>
        <w:rPr>
          <w:rFonts w:eastAsia="Times New Roman"/>
          <w:sz w:val="30"/>
          <w:szCs w:val="30"/>
          <w:lang w:val="es-ES"/>
        </w:rPr>
        <w:t xml:space="preserve"> Corporación Financiera Nacional la diferencia del capital existente entre el crédito concedido y el crédito que corresponda según la valoración determinada en el literal precedente; (ii) las condiciones financieras de las operaciones reliquidadas serán de</w:t>
      </w:r>
      <w:r>
        <w:rPr>
          <w:rFonts w:eastAsia="Times New Roman"/>
          <w:sz w:val="30"/>
          <w:szCs w:val="30"/>
          <w:lang w:val="es-ES"/>
        </w:rPr>
        <w:t xml:space="preserve"> al menos un plazo de quince (15) años y a una tasa no mayor al cinco por ciento (5%), el Fideicomiso Mercantil AGD-CFN No Más Impunidad deberá pagar a la Corporación Financiera Nacional la diferencia por reliquidación de estos intereses; y, (iii) los inte</w:t>
      </w:r>
      <w:r>
        <w:rPr>
          <w:rFonts w:eastAsia="Times New Roman"/>
          <w:sz w:val="30"/>
          <w:szCs w:val="30"/>
          <w:lang w:val="es-ES"/>
        </w:rPr>
        <w:t>reses pagados en exceso por efecto de la reliquidación indicada, se abonarán al capital.</w:t>
      </w:r>
      <w:r>
        <w:rPr>
          <w:rFonts w:eastAsia="Times New Roman"/>
          <w:sz w:val="30"/>
          <w:szCs w:val="30"/>
          <w:lang w:val="es-ES"/>
        </w:rPr>
        <w:br/>
      </w:r>
      <w:r>
        <w:rPr>
          <w:rFonts w:eastAsia="Times New Roman"/>
          <w:sz w:val="30"/>
          <w:szCs w:val="30"/>
          <w:lang w:val="es-ES"/>
        </w:rPr>
        <w:br/>
        <w:t>c. En aquellos casos en que el Fideicomiso Mercantil AGD-CFN No Más Impunidad no posea los recursos suficientes para hacer los pagos previsto en el inciso anterior, l</w:t>
      </w:r>
      <w:r>
        <w:rPr>
          <w:rFonts w:eastAsia="Times New Roman"/>
          <w:sz w:val="30"/>
          <w:szCs w:val="30"/>
          <w:lang w:val="es-ES"/>
        </w:rPr>
        <w:t>a diferencia, total o parcial, será asumida por la Unidad de Gestión y Ejecución del Fideicomiso AGD-CFN No Más Impunidad, para lo cual el Ministerio de Finanzas asignará los recursos que correspondan.</w:t>
      </w:r>
    </w:p>
    <w:p w:rsidR="00000000" w:rsidRDefault="0018461E">
      <w:pPr>
        <w:divId w:val="908996752"/>
        <w:rPr>
          <w:rFonts w:eastAsia="Times New Roman"/>
          <w:sz w:val="30"/>
          <w:szCs w:val="30"/>
          <w:lang w:val="es-ES"/>
        </w:rPr>
      </w:pPr>
      <w:r>
        <w:rPr>
          <w:rFonts w:eastAsia="Times New Roman"/>
          <w:b/>
          <w:bCs/>
          <w:sz w:val="30"/>
          <w:szCs w:val="30"/>
          <w:lang w:val="es-ES"/>
        </w:rPr>
        <w:t xml:space="preserve">Cuadragésima: </w:t>
      </w:r>
      <w:r>
        <w:rPr>
          <w:rFonts w:eastAsia="Times New Roman"/>
          <w:sz w:val="30"/>
          <w:szCs w:val="30"/>
          <w:lang w:val="es-ES"/>
        </w:rPr>
        <w:t xml:space="preserve">A partir de la publicación del presente </w:t>
      </w:r>
      <w:r>
        <w:rPr>
          <w:rFonts w:eastAsia="Times New Roman"/>
          <w:sz w:val="30"/>
          <w:szCs w:val="30"/>
          <w:lang w:val="es-ES"/>
        </w:rPr>
        <w:t>Código, la Superintendencia de Bancos dispondrá, en el plazo máximo de 180 días, la realización de auditorías externas a los Fondos Complementarios Previsionales Cerrados.</w:t>
      </w:r>
    </w:p>
    <w:p w:rsidR="00000000" w:rsidRDefault="0018461E">
      <w:pPr>
        <w:divId w:val="728115388"/>
        <w:rPr>
          <w:rFonts w:eastAsia="Times New Roman"/>
          <w:sz w:val="30"/>
          <w:szCs w:val="30"/>
          <w:lang w:val="es-ES"/>
        </w:rPr>
      </w:pPr>
      <w:r>
        <w:rPr>
          <w:rFonts w:eastAsia="Times New Roman"/>
          <w:b/>
          <w:bCs/>
          <w:sz w:val="30"/>
          <w:szCs w:val="30"/>
          <w:lang w:val="es-ES"/>
        </w:rPr>
        <w:lastRenderedPageBreak/>
        <w:t xml:space="preserve">Cuadragésima primera: </w:t>
      </w:r>
      <w:r>
        <w:rPr>
          <w:rFonts w:eastAsia="Times New Roman"/>
          <w:sz w:val="30"/>
          <w:szCs w:val="30"/>
          <w:lang w:val="es-ES"/>
        </w:rPr>
        <w:t>Hasta que se emitan los decretos respectivos que viabilicen la</w:t>
      </w:r>
      <w:r>
        <w:rPr>
          <w:rFonts w:eastAsia="Times New Roman"/>
          <w:sz w:val="30"/>
          <w:szCs w:val="30"/>
          <w:lang w:val="es-ES"/>
        </w:rPr>
        <w:t xml:space="preserve"> operación de la banca pública, la Junta de Regulación de Política Monetaria y Financiera determinará, mediante regulación, considerando segmentos, actividades económicas y otros criterios, todos los casos en los cuales los pagos se imputen primeramente al</w:t>
      </w:r>
      <w:r>
        <w:rPr>
          <w:rFonts w:eastAsia="Times New Roman"/>
          <w:sz w:val="30"/>
          <w:szCs w:val="30"/>
          <w:lang w:val="es-ES"/>
        </w:rPr>
        <w:t xml:space="preserve"> capital, para las operaciones de créditos vigente o vencidas de las entidades del sector financiero público, que hubieren sido otorgadas antes o después de la expedición de este Código.</w:t>
      </w:r>
    </w:p>
    <w:p w:rsidR="00000000" w:rsidRDefault="0018461E">
      <w:pPr>
        <w:divId w:val="931163327"/>
        <w:rPr>
          <w:rFonts w:eastAsia="Times New Roman"/>
          <w:sz w:val="30"/>
          <w:szCs w:val="30"/>
          <w:lang w:val="es-ES"/>
        </w:rPr>
      </w:pPr>
      <w:r>
        <w:rPr>
          <w:rFonts w:eastAsia="Times New Roman"/>
          <w:b/>
          <w:bCs/>
          <w:sz w:val="30"/>
          <w:szCs w:val="30"/>
          <w:lang w:val="es-ES"/>
        </w:rPr>
        <w:t xml:space="preserve">Cuadragésima segunda: </w:t>
      </w:r>
      <w:r>
        <w:rPr>
          <w:rFonts w:eastAsia="Times New Roman"/>
          <w:sz w:val="30"/>
          <w:szCs w:val="30"/>
          <w:lang w:val="es-ES"/>
        </w:rPr>
        <w:t>La transmisibilidad y endoso de cheques, y la e</w:t>
      </w:r>
      <w:r>
        <w:rPr>
          <w:rFonts w:eastAsia="Times New Roman"/>
          <w:sz w:val="30"/>
          <w:szCs w:val="30"/>
          <w:lang w:val="es-ES"/>
        </w:rPr>
        <w:t>misión de cheques cruzados, seguirán realizándose de acuerdo con la Ley de Cheques, hasta que la Junta de Política y Regulación Monetaria y Financiera dicte las regulaciones determinadas en este Código.</w:t>
      </w:r>
    </w:p>
    <w:p w:rsidR="00000000" w:rsidRDefault="0018461E">
      <w:pPr>
        <w:divId w:val="1990748333"/>
        <w:rPr>
          <w:rFonts w:eastAsia="Times New Roman"/>
          <w:sz w:val="30"/>
          <w:szCs w:val="30"/>
          <w:lang w:val="es-ES"/>
        </w:rPr>
      </w:pPr>
      <w:r>
        <w:rPr>
          <w:rFonts w:eastAsia="Times New Roman"/>
          <w:b/>
          <w:bCs/>
          <w:sz w:val="30"/>
          <w:szCs w:val="30"/>
          <w:lang w:val="es-ES"/>
        </w:rPr>
        <w:t>Cuadragésima tercera.-</w:t>
      </w:r>
      <w:r>
        <w:rPr>
          <w:rFonts w:eastAsia="Times New Roman"/>
          <w:sz w:val="30"/>
          <w:szCs w:val="30"/>
          <w:lang w:val="es-ES"/>
        </w:rPr>
        <w:t xml:space="preserve"> (Agregada por el num. 12 de la</w:t>
      </w:r>
      <w:r>
        <w:rPr>
          <w:rFonts w:eastAsia="Times New Roman"/>
          <w:sz w:val="30"/>
          <w:szCs w:val="30"/>
          <w:lang w:val="es-ES"/>
        </w:rPr>
        <w:t xml:space="preserve"> Disposición Reformatoria Segunda de la Ley s/n, R.O. 986-S, 18-IV-2017).- En el plazo de treinta (30) días contados a partir de la vigencia de esta transitoria, los constituyentes de los fideicomisos creados para dar cumplimiento con las desinversiones or</w:t>
      </w:r>
      <w:r>
        <w:rPr>
          <w:rFonts w:eastAsia="Times New Roman"/>
          <w:sz w:val="30"/>
          <w:szCs w:val="30"/>
          <w:lang w:val="es-ES"/>
        </w:rPr>
        <w:t>denadas en las Disposiciones Transitorias Vigésima Quinta y Vigésima Sexta de este Código deberán reformar dichos contratos de fideicomiso de conformidad con las instrucciones que expida la Superintendencia de Bancos mediante la correspondiente norma de co</w:t>
      </w:r>
      <w:r>
        <w:rPr>
          <w:rFonts w:eastAsia="Times New Roman"/>
          <w:sz w:val="30"/>
          <w:szCs w:val="30"/>
          <w:lang w:val="es-ES"/>
        </w:rPr>
        <w:t>ntrol, la cual deberá considerar de forma obligatoria la facultad para que dicha Superintendencia pueda disponer al fi duciario la venta de las acciones aportadas al fi deicomiso, bajo cualquier modalidad, en el plazo y condiciones que ésta determine. La e</w:t>
      </w:r>
      <w:r>
        <w:rPr>
          <w:rFonts w:eastAsia="Times New Roman"/>
          <w:sz w:val="30"/>
          <w:szCs w:val="30"/>
          <w:lang w:val="es-ES"/>
        </w:rPr>
        <w:t>najenación de las acciones deberá cumplir de forma obligatoria con las formalidades legales y otras que se expresen en el respectivo contrato de fideicomiso.</w:t>
      </w:r>
      <w:r>
        <w:rPr>
          <w:rFonts w:eastAsia="Times New Roman"/>
          <w:sz w:val="30"/>
          <w:szCs w:val="30"/>
          <w:lang w:val="es-ES"/>
        </w:rPr>
        <w:br/>
      </w:r>
      <w:r>
        <w:rPr>
          <w:rFonts w:eastAsia="Times New Roman"/>
          <w:sz w:val="30"/>
          <w:szCs w:val="30"/>
          <w:lang w:val="es-ES"/>
        </w:rPr>
        <w:br/>
        <w:t>El incumplimiento de lo dispuesto en el inciso precedente dará lugar a que la Superintendencia de</w:t>
      </w:r>
      <w:r>
        <w:rPr>
          <w:rFonts w:eastAsia="Times New Roman"/>
          <w:sz w:val="30"/>
          <w:szCs w:val="30"/>
          <w:lang w:val="es-ES"/>
        </w:rPr>
        <w:t xml:space="preserve"> Bancos disponga al constituyente la terminación inmediata del respectivo contrato de fideicomiso, y la enajenación en pública subasta de las acciones aportadas al patrimonio de dicho fideicomiso.</w:t>
      </w:r>
    </w:p>
    <w:p w:rsidR="00000000" w:rsidRDefault="0018461E">
      <w:pPr>
        <w:divId w:val="1798176779"/>
        <w:rPr>
          <w:rFonts w:eastAsia="Times New Roman"/>
          <w:sz w:val="30"/>
          <w:szCs w:val="30"/>
          <w:lang w:val="es-ES"/>
        </w:rPr>
      </w:pPr>
      <w:r>
        <w:rPr>
          <w:rFonts w:eastAsia="Times New Roman"/>
          <w:b/>
          <w:bCs/>
          <w:sz w:val="30"/>
          <w:szCs w:val="30"/>
          <w:lang w:val="es-ES"/>
        </w:rPr>
        <w:t>Cuadragésima cuarta.-</w:t>
      </w:r>
      <w:r>
        <w:rPr>
          <w:rFonts w:eastAsia="Times New Roman"/>
          <w:sz w:val="30"/>
          <w:szCs w:val="30"/>
          <w:lang w:val="es-ES"/>
        </w:rPr>
        <w:t xml:space="preserve"> (Agregada por el num. 12 de la Dispos</w:t>
      </w:r>
      <w:r>
        <w:rPr>
          <w:rFonts w:eastAsia="Times New Roman"/>
          <w:sz w:val="30"/>
          <w:szCs w:val="30"/>
          <w:lang w:val="es-ES"/>
        </w:rPr>
        <w:t>ición Reformatoria Segunda de la Ley s/n, R.O. 986-S, 18-IV-2017).- Sin perjuicio de la prohibición contenida en el numeral 4 del artículo 399 de este Código, la Superintendencia de Bancos podrá aprobar la conversión de las sociedades fi nancieras que teng</w:t>
      </w:r>
      <w:r>
        <w:rPr>
          <w:rFonts w:eastAsia="Times New Roman"/>
          <w:sz w:val="30"/>
          <w:szCs w:val="30"/>
          <w:lang w:val="es-ES"/>
        </w:rPr>
        <w:t xml:space="preserve">an entre sus accionistas a personas con propiedad patrimonial con influencia, y que </w:t>
      </w:r>
      <w:r>
        <w:rPr>
          <w:rFonts w:eastAsia="Times New Roman"/>
          <w:sz w:val="30"/>
          <w:szCs w:val="30"/>
          <w:lang w:val="es-ES"/>
        </w:rPr>
        <w:lastRenderedPageBreak/>
        <w:t>a su vez, posean acciones de la misma calidad en un banco, siempre que en el mismo acto administrativo se disponga que en el plazo de treinta (30) días contados a partir de</w:t>
      </w:r>
      <w:r>
        <w:rPr>
          <w:rFonts w:eastAsia="Times New Roman"/>
          <w:sz w:val="30"/>
          <w:szCs w:val="30"/>
          <w:lang w:val="es-ES"/>
        </w:rPr>
        <w:t xml:space="preserve"> la conversión, los accionistas constituyan un fideicomiso aportando las acciones que tengan en ambas entidades, cuyo objeto será la enajenación de las acciones de cualquiera de ellas que se venda primero, de conformidad con las instrucciones que expida la</w:t>
      </w:r>
      <w:r>
        <w:rPr>
          <w:rFonts w:eastAsia="Times New Roman"/>
          <w:sz w:val="30"/>
          <w:szCs w:val="30"/>
          <w:lang w:val="es-ES"/>
        </w:rPr>
        <w:t xml:space="preserve"> Superintendencia de Bancos mediante la correspondiente norma de control, la cual deberá considerar de forma obligatoria la facultad para que dicha Superintendencia pueda disponer al fiduciario la venta de las acciones aportadas al fideicomiso, bajo cualqu</w:t>
      </w:r>
      <w:r>
        <w:rPr>
          <w:rFonts w:eastAsia="Times New Roman"/>
          <w:sz w:val="30"/>
          <w:szCs w:val="30"/>
          <w:lang w:val="es-ES"/>
        </w:rPr>
        <w:t>ier modalidad, en el plazo y condiciones que ésta determine. La enajenación de las acciones deberá cumplir de forma obligatoria con las formalidades y otras que se expresen en el respectivo contrato de fideicomiso.</w:t>
      </w:r>
      <w:r>
        <w:rPr>
          <w:rFonts w:eastAsia="Times New Roman"/>
          <w:sz w:val="30"/>
          <w:szCs w:val="30"/>
          <w:lang w:val="es-ES"/>
        </w:rPr>
        <w:br/>
      </w:r>
      <w:r>
        <w:rPr>
          <w:rFonts w:eastAsia="Times New Roman"/>
          <w:sz w:val="30"/>
          <w:szCs w:val="30"/>
          <w:lang w:val="es-ES"/>
        </w:rPr>
        <w:br/>
        <w:t>En el caso de que no se constituya el fi</w:t>
      </w:r>
      <w:r>
        <w:rPr>
          <w:rFonts w:eastAsia="Times New Roman"/>
          <w:sz w:val="30"/>
          <w:szCs w:val="30"/>
          <w:lang w:val="es-ES"/>
        </w:rPr>
        <w:t>deicomiso señalado en el inciso precedente, o que una vez constituido no se cumplan con las instrucciones del fideicomiso en concordancia con la norma expedida por la Superintendencia de Bancos, dicho organismo de control enajenará en pública subasta las a</w:t>
      </w:r>
      <w:r>
        <w:rPr>
          <w:rFonts w:eastAsia="Times New Roman"/>
          <w:sz w:val="30"/>
          <w:szCs w:val="30"/>
          <w:lang w:val="es-ES"/>
        </w:rPr>
        <w:t>cciones de cualquiera de ellas que se venda primero.</w:t>
      </w:r>
    </w:p>
    <w:p w:rsidR="00000000" w:rsidRDefault="0018461E">
      <w:pPr>
        <w:divId w:val="778649814"/>
        <w:rPr>
          <w:rFonts w:eastAsia="Times New Roman"/>
          <w:sz w:val="30"/>
          <w:szCs w:val="30"/>
          <w:lang w:val="es-ES"/>
        </w:rPr>
      </w:pPr>
      <w:r>
        <w:rPr>
          <w:rFonts w:eastAsia="Times New Roman"/>
          <w:b/>
          <w:bCs/>
          <w:sz w:val="30"/>
          <w:szCs w:val="30"/>
          <w:lang w:val="es-ES"/>
        </w:rPr>
        <w:t>Cuadragésima quinta.-</w:t>
      </w:r>
      <w:r>
        <w:rPr>
          <w:rFonts w:eastAsia="Times New Roman"/>
          <w:sz w:val="30"/>
          <w:szCs w:val="30"/>
          <w:lang w:val="es-ES"/>
        </w:rPr>
        <w:t xml:space="preserve"> (Agregada por el num. 12 de la Disposición Reformatoria Segunda de la Ley s/n, R.O. 986-S, 18-IV-2017).- Los accionistas de los bancos que a la fecha de expedición de la presente tr</w:t>
      </w:r>
      <w:r>
        <w:rPr>
          <w:rFonts w:eastAsia="Times New Roman"/>
          <w:sz w:val="30"/>
          <w:szCs w:val="30"/>
          <w:lang w:val="es-ES"/>
        </w:rPr>
        <w:t>ansitoria no cumplan con el requerimiento mínimo de capital establecido en el Código Orgánico Monetario y Financiero, deberán constituir un fideicomiso cuyo objeto será el cumplimiento del requerimiento mínimo de capital, para lo cual aportarán la totalida</w:t>
      </w:r>
      <w:r>
        <w:rPr>
          <w:rFonts w:eastAsia="Times New Roman"/>
          <w:sz w:val="30"/>
          <w:szCs w:val="30"/>
          <w:lang w:val="es-ES"/>
        </w:rPr>
        <w:t>d de acciones que posean en la entidad, con el objeto que las mismas puedan ser o no enajenadas a un inversor que realice el aumento de capital necesario. Dicho fideicomiso deberá instrumentarse de acuerdo con las instrucciones que expida la Superintendenc</w:t>
      </w:r>
      <w:r>
        <w:rPr>
          <w:rFonts w:eastAsia="Times New Roman"/>
          <w:sz w:val="30"/>
          <w:szCs w:val="30"/>
          <w:lang w:val="es-ES"/>
        </w:rPr>
        <w:t>ia de Bancos mediante la correspondiente norma de control, el cual deberá considerar de forma obligatoria la facultad para que dicha Superintendencia pueda disponer al fiduciario el cumplimento del objeto del fideicomiso, incluyendo la venta de las accione</w:t>
      </w:r>
      <w:r>
        <w:rPr>
          <w:rFonts w:eastAsia="Times New Roman"/>
          <w:sz w:val="30"/>
          <w:szCs w:val="30"/>
          <w:lang w:val="es-ES"/>
        </w:rPr>
        <w:t>s aportadas, bajo cualquier modalidad, en el plazo y condiciones que esta determine. El aporte de capital y/o la enajenación de las acciones deberán cumplir de forma obligatoria con las formalidades legales y otras que se expresen en el respectivo contrato</w:t>
      </w:r>
      <w:r>
        <w:rPr>
          <w:rFonts w:eastAsia="Times New Roman"/>
          <w:sz w:val="30"/>
          <w:szCs w:val="30"/>
          <w:lang w:val="es-ES"/>
        </w:rPr>
        <w:t xml:space="preserve"> de fideicomiso.</w:t>
      </w:r>
      <w:r>
        <w:rPr>
          <w:rFonts w:eastAsia="Times New Roman"/>
          <w:sz w:val="30"/>
          <w:szCs w:val="30"/>
          <w:lang w:val="es-ES"/>
        </w:rPr>
        <w:br/>
      </w:r>
      <w:r>
        <w:rPr>
          <w:rFonts w:eastAsia="Times New Roman"/>
          <w:sz w:val="30"/>
          <w:szCs w:val="30"/>
          <w:lang w:val="es-ES"/>
        </w:rPr>
        <w:lastRenderedPageBreak/>
        <w:br/>
        <w:t xml:space="preserve">En el caso de no constituirse el fideicomiso o que su objeto no se cumpla en el plazo de dos años de emitida la presente disposición, el banco podrá fusionarse o dejará de operar e iniciará un proceso de liquidación en apego a las normas </w:t>
      </w:r>
      <w:r>
        <w:rPr>
          <w:rFonts w:eastAsia="Times New Roman"/>
          <w:sz w:val="30"/>
          <w:szCs w:val="30"/>
          <w:lang w:val="es-ES"/>
        </w:rPr>
        <w:t>que dicte la Superintendencia de Bancos.</w:t>
      </w:r>
    </w:p>
    <w:p w:rsidR="00000000" w:rsidRDefault="0018461E">
      <w:pPr>
        <w:jc w:val="center"/>
        <w:rPr>
          <w:rFonts w:eastAsia="Times New Roman"/>
          <w:sz w:val="36"/>
          <w:szCs w:val="36"/>
          <w:lang w:val="es-ES"/>
        </w:rPr>
      </w:pPr>
      <w:r>
        <w:rPr>
          <w:rFonts w:eastAsia="Times New Roman"/>
          <w:b/>
          <w:bCs/>
          <w:sz w:val="36"/>
          <w:szCs w:val="36"/>
          <w:lang w:val="es-ES"/>
        </w:rPr>
        <w:br/>
        <w:t>DISPOSICIÓN FINAL</w:t>
      </w:r>
    </w:p>
    <w:p w:rsidR="00000000" w:rsidRDefault="0018461E">
      <w:pPr>
        <w:divId w:val="1511944520"/>
        <w:rPr>
          <w:rFonts w:eastAsia="Times New Roman"/>
          <w:sz w:val="30"/>
          <w:szCs w:val="30"/>
          <w:lang w:val="es-ES"/>
        </w:rPr>
      </w:pPr>
      <w:r>
        <w:rPr>
          <w:rFonts w:eastAsia="Times New Roman"/>
          <w:sz w:val="30"/>
          <w:szCs w:val="30"/>
          <w:lang w:val="es-ES"/>
        </w:rPr>
        <w:t>El presente Código entrará en vigencia desde la fecha de su publicación en el Registro Oficial.</w:t>
      </w:r>
    </w:p>
    <w:p w:rsidR="00000000" w:rsidRDefault="0018461E">
      <w:pPr>
        <w:divId w:val="36859225"/>
        <w:rPr>
          <w:rFonts w:eastAsia="Times New Roman"/>
          <w:sz w:val="30"/>
          <w:szCs w:val="30"/>
          <w:lang w:val="es-ES"/>
        </w:rPr>
      </w:pPr>
      <w:r>
        <w:rPr>
          <w:rFonts w:eastAsia="Times New Roman"/>
          <w:sz w:val="30"/>
          <w:szCs w:val="30"/>
          <w:lang w:val="es-ES"/>
        </w:rPr>
        <w:br/>
        <w:t xml:space="preserve">Dado y suscrito, en la sede de la Asamblea Nacional ubicada en el Distrito Metropolitano de Quito, </w:t>
      </w:r>
      <w:r>
        <w:rPr>
          <w:rFonts w:eastAsia="Times New Roman"/>
          <w:sz w:val="30"/>
          <w:szCs w:val="30"/>
          <w:lang w:val="es-ES"/>
        </w:rPr>
        <w:t>Provincia de Pichincha, a los dos días del mes de septiembre de dos mil catorce.</w:t>
      </w:r>
    </w:p>
    <w:p w:rsidR="00000000"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LIBRO II</w:t>
      </w:r>
      <w:r>
        <w:rPr>
          <w:rFonts w:eastAsia="Times New Roman"/>
          <w:b/>
          <w:bCs/>
          <w:sz w:val="36"/>
          <w:szCs w:val="36"/>
          <w:lang w:val="es-ES"/>
        </w:rPr>
        <w:br/>
      </w:r>
      <w:r>
        <w:rPr>
          <w:rFonts w:eastAsia="Times New Roman"/>
          <w:b/>
          <w:bCs/>
          <w:sz w:val="36"/>
          <w:szCs w:val="36"/>
          <w:lang w:val="es-ES"/>
        </w:rPr>
        <w:br/>
        <w:t>LEY DE MERCADO DE VALORES</w:t>
      </w:r>
      <w:r>
        <w:rPr>
          <w:rFonts w:eastAsia="Times New Roman"/>
          <w:b/>
          <w:bCs/>
          <w:sz w:val="36"/>
          <w:szCs w:val="36"/>
          <w:lang w:val="es-ES"/>
        </w:rPr>
        <w:br/>
        <w:t>(Codificación No. 2006-001)</w:t>
      </w:r>
    </w:p>
    <w:p w:rsidR="00000000" w:rsidRDefault="0018461E">
      <w:pPr>
        <w:divId w:val="295533155"/>
        <w:rPr>
          <w:rFonts w:eastAsia="Times New Roman"/>
          <w:sz w:val="30"/>
          <w:szCs w:val="30"/>
          <w:lang w:val="es-ES"/>
        </w:rPr>
      </w:pP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versión de la</w:t>
      </w:r>
      <w:r>
        <w:rPr>
          <w:rFonts w:eastAsia="Times New Roman"/>
          <w:i/>
          <w:iCs/>
          <w:sz w:val="30"/>
          <w:szCs w:val="30"/>
          <w:lang w:val="es-ES"/>
        </w:rPr>
        <w:t xml:space="preserve"> </w:t>
      </w:r>
      <w:r>
        <w:rPr>
          <w:rFonts w:eastAsia="Times New Roman"/>
          <w:i/>
          <w:iCs/>
          <w:sz w:val="30"/>
          <w:szCs w:val="30"/>
          <w:lang w:val="es-ES"/>
        </w:rPr>
        <w:t>Ley de Mercado de Valores previa a la codificación, puede ser consultada en la secc</w:t>
      </w:r>
      <w:r>
        <w:rPr>
          <w:rFonts w:eastAsia="Times New Roman"/>
          <w:i/>
          <w:iCs/>
          <w:sz w:val="30"/>
          <w:szCs w:val="30"/>
          <w:lang w:val="es-ES"/>
        </w:rPr>
        <w:t>ión 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xml:space="preserve">- En aplicación a la reforma establecida en la Disposición Reformatoria Primera del Código Orgánico Integral Penal (R.O.-S 180, 10-II-2014), la denominación del "Código Penal" y del "Código de Procedimiento Penal" fue sustituida por "Código </w:t>
      </w:r>
      <w:r>
        <w:rPr>
          <w:rFonts w:eastAsia="Times New Roman"/>
          <w:i/>
          <w:iCs/>
          <w:sz w:val="30"/>
          <w:szCs w:val="30"/>
          <w:lang w:val="es-ES"/>
        </w:rPr>
        <w:t>Orgánico Integral Penal".</w:t>
      </w:r>
      <w:r>
        <w:rPr>
          <w:rFonts w:eastAsia="Times New Roman"/>
          <w:i/>
          <w:iCs/>
          <w:sz w:val="30"/>
          <w:szCs w:val="30"/>
          <w:lang w:val="es-ES"/>
        </w:rPr>
        <w:br/>
        <w:t>- En aplicación a la reforma establecida en la Disposición General Décima Novena de la LEY DE MERCADO DE VALORES y la Disposición General Décima Segunda de la LEY DE COMPAÑÍAS la denominación "Consejo Nacional de Valores" o "C.N.V</w:t>
      </w:r>
      <w:r>
        <w:rPr>
          <w:rFonts w:eastAsia="Times New Roman"/>
          <w:i/>
          <w:iCs/>
          <w:sz w:val="30"/>
          <w:szCs w:val="30"/>
          <w:lang w:val="es-ES"/>
        </w:rPr>
        <w:t>." fue sustituida por "Junta de Regulación del Mercado de Valores".</w:t>
      </w:r>
      <w:r>
        <w:rPr>
          <w:rFonts w:eastAsia="Times New Roman"/>
          <w:b/>
          <w:bCs/>
          <w:sz w:val="30"/>
          <w:szCs w:val="30"/>
          <w:lang w:val="es-ES"/>
        </w:rPr>
        <w:br/>
      </w:r>
      <w:r>
        <w:rPr>
          <w:rFonts w:eastAsia="Times New Roman"/>
          <w:i/>
          <w:iCs/>
          <w:sz w:val="30"/>
          <w:szCs w:val="30"/>
          <w:lang w:val="es-ES"/>
        </w:rPr>
        <w:t xml:space="preserve">- En aplicación a la reforma establecida en la Disposición General Décima Novena de la LEY DE MERCADO DE VALORES (R.O. 215-S, 22-II-2006) y la Disposición General Décima Segunda de la LEY </w:t>
      </w:r>
      <w:r>
        <w:rPr>
          <w:rFonts w:eastAsia="Times New Roman"/>
          <w:i/>
          <w:iCs/>
          <w:sz w:val="30"/>
          <w:szCs w:val="30"/>
          <w:lang w:val="es-ES"/>
        </w:rPr>
        <w:t xml:space="preserve">DE COMPAÑÍAS (R.O. 312, 5-XI-1999), la denominación "Superintendencia de Compañías" fue sustituida por </w:t>
      </w:r>
      <w:r>
        <w:rPr>
          <w:rFonts w:eastAsia="Times New Roman"/>
          <w:i/>
          <w:iCs/>
          <w:sz w:val="30"/>
          <w:szCs w:val="30"/>
          <w:lang w:val="es-ES"/>
        </w:rPr>
        <w:lastRenderedPageBreak/>
        <w:t>"Superintendencia de Compañías y Valores".</w:t>
      </w:r>
      <w:r>
        <w:rPr>
          <w:rFonts w:eastAsia="Times New Roman"/>
          <w:i/>
          <w:iCs/>
          <w:sz w:val="30"/>
          <w:szCs w:val="30"/>
          <w:lang w:val="es-ES"/>
        </w:rPr>
        <w:br/>
        <w:t>- En aplicación a la reforma establecida en la Disposición General Décima Segunda de la LEY DE COMPAÑÍAS (R.O.</w:t>
      </w:r>
      <w:r>
        <w:rPr>
          <w:rFonts w:eastAsia="Times New Roman"/>
          <w:i/>
          <w:iCs/>
          <w:sz w:val="30"/>
          <w:szCs w:val="30"/>
          <w:lang w:val="es-ES"/>
        </w:rPr>
        <w:t xml:space="preserve"> 312, 5-XI-1999), la denominación "Superintendente de Compañías" fue sustituida por "Superintendente de Compañías y Valores".</w:t>
      </w:r>
      <w:r>
        <w:rPr>
          <w:rFonts w:eastAsia="Times New Roman"/>
          <w:i/>
          <w:iCs/>
          <w:sz w:val="30"/>
          <w:szCs w:val="30"/>
          <w:lang w:val="es-ES"/>
        </w:rPr>
        <w:br/>
      </w:r>
      <w:r>
        <w:rPr>
          <w:rFonts w:eastAsia="Times New Roman"/>
          <w:b/>
          <w:bCs/>
          <w:sz w:val="30"/>
          <w:szCs w:val="30"/>
          <w:lang w:val="es-ES"/>
        </w:rPr>
        <w:t xml:space="preserve">- </w:t>
      </w:r>
      <w:r>
        <w:rPr>
          <w:rFonts w:eastAsia="Times New Roman"/>
          <w:i/>
          <w:iCs/>
          <w:sz w:val="30"/>
          <w:szCs w:val="30"/>
          <w:lang w:val="es-ES"/>
        </w:rPr>
        <w:t>De conformidad con la Disposición General Décima Octava del</w:t>
      </w:r>
      <w:r>
        <w:rPr>
          <w:rFonts w:eastAsia="Times New Roman"/>
          <w:i/>
          <w:iCs/>
          <w:sz w:val="30"/>
          <w:szCs w:val="30"/>
          <w:lang w:val="es-ES"/>
        </w:rPr>
        <w:t xml:space="preserve"> </w:t>
      </w:r>
      <w:r>
        <w:rPr>
          <w:rFonts w:eastAsia="Times New Roman"/>
          <w:i/>
          <w:iCs/>
          <w:sz w:val="30"/>
          <w:szCs w:val="30"/>
          <w:lang w:val="es-ES"/>
        </w:rPr>
        <w:t>Código Orgánico Monetario y Financiero,</w:t>
      </w:r>
      <w:r>
        <w:rPr>
          <w:rFonts w:eastAsia="Times New Roman"/>
          <w:b/>
          <w:bCs/>
          <w:i/>
          <w:iCs/>
          <w:sz w:val="30"/>
          <w:szCs w:val="30"/>
          <w:lang w:val="es-ES"/>
        </w:rPr>
        <w:t xml:space="preserve"> </w:t>
      </w:r>
      <w:r>
        <w:rPr>
          <w:rFonts w:eastAsia="Times New Roman"/>
          <w:i/>
          <w:iCs/>
          <w:sz w:val="30"/>
          <w:szCs w:val="30"/>
          <w:lang w:val="es-ES"/>
        </w:rPr>
        <w:t>las disposiciones correspond</w:t>
      </w:r>
      <w:r>
        <w:rPr>
          <w:rFonts w:eastAsia="Times New Roman"/>
          <w:i/>
          <w:iCs/>
          <w:sz w:val="30"/>
          <w:szCs w:val="30"/>
          <w:lang w:val="es-ES"/>
        </w:rPr>
        <w:t>ientes al Sistema Monetario y Financiero contenidos en los Títulos I, II y III constituyen el Libro I, la Ley de Mercado de Valores con sus reformas se incorpora como Libro II y la Ley General de Seguros con sus reformas se agrega como Libro III del Código</w:t>
      </w:r>
      <w:r>
        <w:rPr>
          <w:rFonts w:eastAsia="Times New Roman"/>
          <w:i/>
          <w:iCs/>
          <w:sz w:val="30"/>
          <w:szCs w:val="30"/>
          <w:lang w:val="es-ES"/>
        </w:rPr>
        <w:t xml:space="preserve"> Orgánico Monetario y Financiero.</w:t>
      </w:r>
      <w:r>
        <w:rPr>
          <w:rFonts w:eastAsia="Times New Roman"/>
          <w:i/>
          <w:iCs/>
          <w:sz w:val="30"/>
          <w:szCs w:val="30"/>
          <w:lang w:val="es-ES"/>
        </w:rPr>
        <w:br/>
        <w:t>- De conformidad con las Disposición Reformatoria Primera del Código s/n publicada en el Suplemento del Registro Oficial 506 de 22 de mayo de 2015 dispone que: "En todas las disposiciones legales o reglamentarias vigentes,</w:t>
      </w:r>
      <w:r>
        <w:rPr>
          <w:rFonts w:eastAsia="Times New Roman"/>
          <w:i/>
          <w:iCs/>
          <w:sz w:val="30"/>
          <w:szCs w:val="30"/>
          <w:lang w:val="es-ES"/>
        </w:rPr>
        <w:t xml:space="preserve"> sustitúyase en lo que diga: 1. “Código de Procedimiento Civil"; “Ley de la Jurisdicción Contencioso Administrativa" y “Ley de Casación", por “Código Orgánico General de Procesos”; y, 2. “Juicio verbal sumario" por “procedimiento sumario”.</w:t>
      </w:r>
      <w:r>
        <w:rPr>
          <w:rFonts w:eastAsia="Times New Roman"/>
          <w:sz w:val="30"/>
          <w:szCs w:val="30"/>
          <w:lang w:val="es-ES"/>
        </w:rPr>
        <w:br/>
      </w:r>
      <w:r>
        <w:rPr>
          <w:rFonts w:eastAsia="Times New Roman"/>
          <w:sz w:val="30"/>
          <w:szCs w:val="30"/>
          <w:lang w:val="es-ES"/>
        </w:rPr>
        <w:br/>
        <w:t>H. Congreso Nac</w:t>
      </w:r>
      <w:r>
        <w:rPr>
          <w:rFonts w:eastAsia="Times New Roman"/>
          <w:sz w:val="30"/>
          <w:szCs w:val="30"/>
          <w:lang w:val="es-ES"/>
        </w:rPr>
        <w:t>ional</w:t>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CODIFICACIÓN DE LA LEY DE MERCADO DE VALORES</w:t>
      </w:r>
    </w:p>
    <w:p w:rsidR="00000000" w:rsidRDefault="0018461E">
      <w:pPr>
        <w:jc w:val="center"/>
        <w:rPr>
          <w:rFonts w:eastAsia="Times New Roman"/>
          <w:sz w:val="36"/>
          <w:szCs w:val="36"/>
          <w:lang w:val="es-ES"/>
        </w:rPr>
      </w:pPr>
      <w:r>
        <w:rPr>
          <w:rFonts w:eastAsia="Times New Roman"/>
          <w:b/>
          <w:bCs/>
          <w:sz w:val="36"/>
          <w:szCs w:val="36"/>
          <w:lang w:val="es-ES"/>
        </w:rPr>
        <w:br/>
        <w:t>INTRODUCCIÓN</w:t>
      </w:r>
    </w:p>
    <w:p w:rsidR="00000000" w:rsidRDefault="0018461E">
      <w:pPr>
        <w:divId w:val="1325401178"/>
        <w:rPr>
          <w:rFonts w:eastAsia="Times New Roman"/>
          <w:sz w:val="30"/>
          <w:szCs w:val="30"/>
          <w:lang w:val="es-ES"/>
        </w:rPr>
      </w:pPr>
      <w:r>
        <w:rPr>
          <w:rFonts w:eastAsia="Times New Roman"/>
          <w:sz w:val="30"/>
          <w:szCs w:val="30"/>
          <w:lang w:val="es-ES"/>
        </w:rPr>
        <w:br/>
        <w:t>La Comisión de Legislación y Codificación del H. Congreso Nacional de conformidad con la Constitución Política de l</w:t>
      </w:r>
      <w:r>
        <w:rPr>
          <w:rFonts w:eastAsia="Times New Roman"/>
          <w:sz w:val="30"/>
          <w:szCs w:val="30"/>
          <w:lang w:val="es-ES"/>
        </w:rPr>
        <w:t xml:space="preserve">a República, consideró realizar la presente Codificación de la Ley de Mercado de Valores, observando las disposiciones de la Constitución Política de la República; así como las reformas expresas y tácitas, que se han producido en las leyes reformatorias a </w:t>
      </w:r>
      <w:r>
        <w:rPr>
          <w:rFonts w:eastAsia="Times New Roman"/>
          <w:sz w:val="30"/>
          <w:szCs w:val="30"/>
          <w:lang w:val="es-ES"/>
        </w:rPr>
        <w:t xml:space="preserve">esta Ley; Ley Reformatoria a la Ley Orgánica de Régimen Monetario y Banco del Estado, Ley para la Reforma de las Finanzas Públicas, Ley para la Transformación Económica del Ecuador, Ley de Seguridad Social, Ley Reformatoria a </w:t>
      </w:r>
      <w:r>
        <w:rPr>
          <w:rFonts w:eastAsia="Times New Roman"/>
          <w:sz w:val="30"/>
          <w:szCs w:val="30"/>
          <w:lang w:val="es-ES"/>
        </w:rPr>
        <w:lastRenderedPageBreak/>
        <w:t>la Ley de Régimen Tributario I</w:t>
      </w:r>
      <w:r>
        <w:rPr>
          <w:rFonts w:eastAsia="Times New Roman"/>
          <w:sz w:val="30"/>
          <w:szCs w:val="30"/>
          <w:lang w:val="es-ES"/>
        </w:rPr>
        <w:t>nterno, Código de Procedimiento Penal y observaciones formuladas por el H. Diego Monsalve Vintimilla, Diputado de la República.</w:t>
      </w:r>
      <w:r>
        <w:rPr>
          <w:rFonts w:eastAsia="Times New Roman"/>
          <w:sz w:val="30"/>
          <w:szCs w:val="30"/>
          <w:lang w:val="es-ES"/>
        </w:rPr>
        <w:br/>
      </w:r>
      <w:r>
        <w:rPr>
          <w:rFonts w:eastAsia="Times New Roman"/>
          <w:sz w:val="30"/>
          <w:szCs w:val="30"/>
          <w:lang w:val="es-ES"/>
        </w:rPr>
        <w:br/>
        <w:t>Con estos antecedentes, la Comisión de Legislación y Codificación codificó las disposiciones de esta Ley, resaltando lo siguien</w:t>
      </w:r>
      <w:r>
        <w:rPr>
          <w:rFonts w:eastAsia="Times New Roman"/>
          <w:sz w:val="30"/>
          <w:szCs w:val="30"/>
          <w:lang w:val="es-ES"/>
        </w:rPr>
        <w:t>te: las referencias de UVC´s, se reemplazan por dólares, en atención a lo dispuesto en el Art. 12 de la Ley para la Transformación Económica del Ecuador, que establece que en todas las normas vigentes, en que se haga mención a UVC´s se entenderá que cada U</w:t>
      </w:r>
      <w:r>
        <w:rPr>
          <w:rFonts w:eastAsia="Times New Roman"/>
          <w:sz w:val="30"/>
          <w:szCs w:val="30"/>
          <w:lang w:val="es-ES"/>
        </w:rPr>
        <w:t>VC, tendrá un valor fijo e invariable de dos coma seis dos ocho nueve (2,6289) dólares de los Estados Unidos de América; se incorpora el Consejo Nacional de Valores, creado por el Art. 1 de la Ley No. 99-34, publicada en el Registro Oficial No. 224, de 1 d</w:t>
      </w:r>
      <w:r>
        <w:rPr>
          <w:rFonts w:eastAsia="Times New Roman"/>
          <w:sz w:val="30"/>
          <w:szCs w:val="30"/>
          <w:lang w:val="es-ES"/>
        </w:rPr>
        <w:t>e julio de 1999; luego de las frases “Superintendencia de Bancos” y “Superintendente de Bancos” se agrega “y Seguros”, por lo dispuesto en la Ley de Seguridad Social, promulgada en el Suplemento del Registro Oficial No. 465 de 30 de noviembre de 2001; se r</w:t>
      </w:r>
      <w:r>
        <w:rPr>
          <w:rFonts w:eastAsia="Times New Roman"/>
          <w:sz w:val="30"/>
          <w:szCs w:val="30"/>
          <w:lang w:val="es-ES"/>
        </w:rPr>
        <w:t>eemplaza “la Junta Monetaria” por “el Directorio del Banco Central del Ecuador”, en atención a la reforma contenida en la Disposición General de la Ley No. 98-12, publicada en el Suplemento del Registro Oficial No. 20, de 7 de septiembre de 1998.</w:t>
      </w:r>
    </w:p>
    <w:p w:rsidR="00000000" w:rsidRDefault="0018461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OBJETO Y ÁMBITO DE APLICACIÓN DE LA LEY</w:t>
      </w:r>
    </w:p>
    <w:p w:rsidR="00000000" w:rsidRDefault="0018461E">
      <w:pPr>
        <w:divId w:val="1985305825"/>
        <w:rPr>
          <w:rFonts w:eastAsia="Times New Roman"/>
          <w:sz w:val="30"/>
          <w:szCs w:val="30"/>
          <w:lang w:val="es-ES"/>
        </w:rPr>
      </w:pPr>
      <w:r>
        <w:rPr>
          <w:rFonts w:eastAsia="Times New Roman"/>
          <w:b/>
          <w:bCs/>
          <w:sz w:val="30"/>
          <w:szCs w:val="30"/>
          <w:lang w:val="es-ES"/>
        </w:rPr>
        <w:t xml:space="preserve">Art. 1.- Del objeto y ámbito de la Ley.- </w:t>
      </w:r>
      <w:r>
        <w:rPr>
          <w:rFonts w:eastAsia="Times New Roman"/>
          <w:sz w:val="30"/>
          <w:szCs w:val="30"/>
          <w:lang w:val="es-ES"/>
        </w:rPr>
        <w:t>La presente Ley tiene por objeto promover un mercado de valores organizado, integrado, eficaz y transparente, en el que la intermediación de valores sea competitiva, orde</w:t>
      </w:r>
      <w:r>
        <w:rPr>
          <w:rFonts w:eastAsia="Times New Roman"/>
          <w:sz w:val="30"/>
          <w:szCs w:val="30"/>
          <w:lang w:val="es-ES"/>
        </w:rPr>
        <w:t>nada, equitativa y continua, como resultado de una información veraz, completa y oportuna.</w:t>
      </w:r>
      <w:r>
        <w:rPr>
          <w:rFonts w:eastAsia="Times New Roman"/>
          <w:sz w:val="30"/>
          <w:szCs w:val="30"/>
          <w:lang w:val="es-ES"/>
        </w:rPr>
        <w:br/>
      </w:r>
      <w:r>
        <w:rPr>
          <w:rFonts w:eastAsia="Times New Roman"/>
          <w:sz w:val="30"/>
          <w:szCs w:val="30"/>
          <w:lang w:val="es-ES"/>
        </w:rPr>
        <w:br/>
        <w:t>El ámbito de aplicación de esta Ley abarca el mercado de valores en sus segmentos bursátil y extrabursátil, las bolsas de valores, las asociaciones gremiales, las c</w:t>
      </w:r>
      <w:r>
        <w:rPr>
          <w:rFonts w:eastAsia="Times New Roman"/>
          <w:sz w:val="30"/>
          <w:szCs w:val="30"/>
          <w:lang w:val="es-ES"/>
        </w:rPr>
        <w:t>asas de valores, las administradoras de fondos y fideicomisos, las calificadoras de riesgo, los emisores, las auditoras externas y demás participantes que de cualquier manera actúen en el mercado de valores.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También son sujetos de aplicación de esta Ley, </w:t>
      </w:r>
      <w:r>
        <w:rPr>
          <w:rFonts w:eastAsia="Times New Roman"/>
          <w:sz w:val="30"/>
          <w:szCs w:val="30"/>
          <w:lang w:val="es-ES"/>
        </w:rPr>
        <w:t>el Consejo Nacional de Valores y la Superintendencia de Compañías, como organismos regulador y de control, respectivamente.</w:t>
      </w:r>
    </w:p>
    <w:p w:rsidR="00000000" w:rsidRDefault="0018461E">
      <w:pPr>
        <w:divId w:val="98377891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Principios rectores del mercado de valores.-</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14" name="Imagen 14"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(Agregado por el </w:t>
      </w:r>
      <w:r>
        <w:rPr>
          <w:rFonts w:eastAsia="Times New Roman"/>
          <w:sz w:val="30"/>
          <w:szCs w:val="30"/>
          <w:lang w:val="es-ES"/>
        </w:rPr>
        <w:t>Art. 1 de la Ley s/n, R.O. 249-S, 20-V-2014; y, reformado por la Disposición Reformatoria Décima Séptima, nums. 2 y 3 del Código Orgánico Monetario y Financiero; R.O. 332-2S, 12-IX-2014) Los principios rectores del mercado de valores que orientan la actuac</w:t>
      </w:r>
      <w:r>
        <w:rPr>
          <w:rFonts w:eastAsia="Times New Roman"/>
          <w:sz w:val="30"/>
          <w:szCs w:val="30"/>
          <w:lang w:val="es-ES"/>
        </w:rPr>
        <w:t>ión de la Junta de Política y Regulación Monetaria y Financiera, de la Superintendencia de Compañías, Valores y Seguros y de los participantes son:</w:t>
      </w:r>
      <w:r>
        <w:rPr>
          <w:rFonts w:eastAsia="Times New Roman"/>
          <w:sz w:val="30"/>
          <w:szCs w:val="30"/>
          <w:lang w:val="es-ES"/>
        </w:rPr>
        <w:br/>
      </w:r>
      <w:r>
        <w:rPr>
          <w:rFonts w:eastAsia="Times New Roman"/>
          <w:sz w:val="30"/>
          <w:szCs w:val="30"/>
          <w:lang w:val="es-ES"/>
        </w:rPr>
        <w:br/>
        <w:t>1. La fe pública;</w:t>
      </w:r>
      <w:r>
        <w:rPr>
          <w:rFonts w:eastAsia="Times New Roman"/>
          <w:sz w:val="30"/>
          <w:szCs w:val="30"/>
          <w:lang w:val="es-ES"/>
        </w:rPr>
        <w:br/>
      </w:r>
      <w:r>
        <w:rPr>
          <w:rFonts w:eastAsia="Times New Roman"/>
          <w:sz w:val="30"/>
          <w:szCs w:val="30"/>
          <w:lang w:val="es-ES"/>
        </w:rPr>
        <w:br/>
        <w:t>2. Protección del inversionista;</w:t>
      </w:r>
      <w:r>
        <w:rPr>
          <w:rFonts w:eastAsia="Times New Roman"/>
          <w:sz w:val="30"/>
          <w:szCs w:val="30"/>
          <w:lang w:val="es-ES"/>
        </w:rPr>
        <w:br/>
      </w:r>
      <w:r>
        <w:rPr>
          <w:rFonts w:eastAsia="Times New Roman"/>
          <w:sz w:val="30"/>
          <w:szCs w:val="30"/>
          <w:lang w:val="es-ES"/>
        </w:rPr>
        <w:br/>
        <w:t>3. Transparencia y publicidad;</w:t>
      </w:r>
      <w:r>
        <w:rPr>
          <w:rFonts w:eastAsia="Times New Roman"/>
          <w:sz w:val="30"/>
          <w:szCs w:val="30"/>
          <w:lang w:val="es-ES"/>
        </w:rPr>
        <w:br/>
      </w:r>
      <w:r>
        <w:rPr>
          <w:rFonts w:eastAsia="Times New Roman"/>
          <w:sz w:val="30"/>
          <w:szCs w:val="30"/>
          <w:lang w:val="es-ES"/>
        </w:rPr>
        <w:br/>
        <w:t>4. Información simétri</w:t>
      </w:r>
      <w:r>
        <w:rPr>
          <w:rFonts w:eastAsia="Times New Roman"/>
          <w:sz w:val="30"/>
          <w:szCs w:val="30"/>
          <w:lang w:val="es-ES"/>
        </w:rPr>
        <w:t>ca, clara, veraz, completa y oportuna;</w:t>
      </w:r>
      <w:r>
        <w:rPr>
          <w:rFonts w:eastAsia="Times New Roman"/>
          <w:sz w:val="30"/>
          <w:szCs w:val="30"/>
          <w:lang w:val="es-ES"/>
        </w:rPr>
        <w:br/>
      </w:r>
      <w:r>
        <w:rPr>
          <w:rFonts w:eastAsia="Times New Roman"/>
          <w:sz w:val="30"/>
          <w:szCs w:val="30"/>
          <w:lang w:val="es-ES"/>
        </w:rPr>
        <w:br/>
        <w:t>5. La libre competencia;</w:t>
      </w:r>
      <w:r>
        <w:rPr>
          <w:rFonts w:eastAsia="Times New Roman"/>
          <w:sz w:val="30"/>
          <w:szCs w:val="30"/>
          <w:lang w:val="es-ES"/>
        </w:rPr>
        <w:br/>
      </w:r>
      <w:r>
        <w:rPr>
          <w:rFonts w:eastAsia="Times New Roman"/>
          <w:sz w:val="30"/>
          <w:szCs w:val="30"/>
          <w:lang w:val="es-ES"/>
        </w:rPr>
        <w:br/>
        <w:t>6. Tratamiento igualitario a los participantes del mercado de valores;</w:t>
      </w:r>
      <w:r>
        <w:rPr>
          <w:rFonts w:eastAsia="Times New Roman"/>
          <w:sz w:val="30"/>
          <w:szCs w:val="30"/>
          <w:lang w:val="es-ES"/>
        </w:rPr>
        <w:br/>
      </w:r>
      <w:r>
        <w:rPr>
          <w:rFonts w:eastAsia="Times New Roman"/>
          <w:sz w:val="30"/>
          <w:szCs w:val="30"/>
          <w:lang w:val="es-ES"/>
        </w:rPr>
        <w:br/>
        <w:t>7. La aplicación de buenas prácticas corporativas.</w:t>
      </w:r>
      <w:r>
        <w:rPr>
          <w:rFonts w:eastAsia="Times New Roman"/>
          <w:sz w:val="30"/>
          <w:szCs w:val="30"/>
          <w:lang w:val="es-ES"/>
        </w:rPr>
        <w:br/>
      </w:r>
      <w:r>
        <w:rPr>
          <w:rFonts w:eastAsia="Times New Roman"/>
          <w:sz w:val="30"/>
          <w:szCs w:val="30"/>
          <w:lang w:val="es-ES"/>
        </w:rPr>
        <w:br/>
        <w:t>8. (Reformado por la Disposición Reformatoria Décima Séptima, num.</w:t>
      </w:r>
      <w:r>
        <w:rPr>
          <w:rFonts w:eastAsia="Times New Roman"/>
          <w:sz w:val="30"/>
          <w:szCs w:val="30"/>
          <w:lang w:val="es-ES"/>
        </w:rPr>
        <w:t xml:space="preserve"> 2 del Código Orgánico Monetario y Financiero; R.O. 332-2S, 12-IX-2014) .- Respeto y fortalecimiento de la potestad normativa de la Junta de Política y Regulación Monetaria y Financiera, con sujeción a la Constitución de la República, las políticas pública</w:t>
      </w:r>
      <w:r>
        <w:rPr>
          <w:rFonts w:eastAsia="Times New Roman"/>
          <w:sz w:val="30"/>
          <w:szCs w:val="30"/>
          <w:lang w:val="es-ES"/>
        </w:rPr>
        <w:t>s del Mercado de Valores y la Ley; y,</w:t>
      </w:r>
      <w:r>
        <w:rPr>
          <w:rFonts w:eastAsia="Times New Roman"/>
          <w:sz w:val="30"/>
          <w:szCs w:val="30"/>
          <w:lang w:val="es-ES"/>
        </w:rPr>
        <w:br/>
      </w:r>
      <w:r>
        <w:rPr>
          <w:rFonts w:eastAsia="Times New Roman"/>
          <w:sz w:val="30"/>
          <w:szCs w:val="30"/>
          <w:lang w:val="es-ES"/>
        </w:rPr>
        <w:br/>
        <w:t>9. Promover el financiamiento e inversión en el régimen de desarrollo nacional y un mercado democrático, productivo, eficiente y solidario.</w:t>
      </w:r>
      <w:r>
        <w:rPr>
          <w:rFonts w:eastAsia="Times New Roman"/>
          <w:sz w:val="30"/>
          <w:szCs w:val="30"/>
          <w:lang w:val="es-ES"/>
        </w:rPr>
        <w:br/>
      </w:r>
      <w:r>
        <w:rPr>
          <w:rFonts w:eastAsia="Times New Roman"/>
          <w:sz w:val="30"/>
          <w:szCs w:val="30"/>
          <w:lang w:val="es-ES"/>
        </w:rPr>
        <w:br/>
        <w:t xml:space="preserve">Los principios expresados en este artículo deberán interpretarse siempre en </w:t>
      </w:r>
      <w:r>
        <w:rPr>
          <w:rFonts w:eastAsia="Times New Roman"/>
          <w:sz w:val="30"/>
          <w:szCs w:val="30"/>
          <w:lang w:val="es-ES"/>
        </w:rPr>
        <w:t>el sentido que más favorezca al inversionista.</w:t>
      </w:r>
    </w:p>
    <w:p w:rsidR="00000000" w:rsidRDefault="0018461E">
      <w:pPr>
        <w:divId w:val="2091928358"/>
        <w:rPr>
          <w:rFonts w:eastAsia="Times New Roman"/>
          <w:sz w:val="30"/>
          <w:szCs w:val="30"/>
          <w:lang w:val="es-ES"/>
        </w:rPr>
      </w:pPr>
      <w:r>
        <w:rPr>
          <w:rFonts w:eastAsia="Times New Roman"/>
          <w:b/>
          <w:bCs/>
          <w:sz w:val="30"/>
          <w:szCs w:val="30"/>
          <w:lang w:val="es-ES"/>
        </w:rPr>
        <w:lastRenderedPageBreak/>
        <w:t>Art. 2.-</w:t>
      </w:r>
      <w:r>
        <w:rPr>
          <w:rFonts w:eastAsia="Times New Roman"/>
          <w:sz w:val="30"/>
          <w:szCs w:val="30"/>
          <w:lang w:val="es-ES"/>
        </w:rPr>
        <w:t xml:space="preserve"> </w:t>
      </w:r>
      <w:r>
        <w:rPr>
          <w:rFonts w:eastAsia="Times New Roman"/>
          <w:b/>
          <w:bCs/>
          <w:sz w:val="30"/>
          <w:szCs w:val="30"/>
          <w:lang w:val="es-ES"/>
        </w:rPr>
        <w:t>Concepto de valor.-</w:t>
      </w:r>
      <w:r>
        <w:rPr>
          <w:rFonts w:eastAsia="Times New Roman"/>
          <w:b/>
          <w:bCs/>
          <w:sz w:val="30"/>
          <w:szCs w:val="30"/>
          <w:lang w:val="es-ES"/>
        </w:rPr>
        <w:t xml:space="preserve"> </w:t>
      </w:r>
      <w:r>
        <w:rPr>
          <w:rFonts w:eastAsia="Times New Roman"/>
          <w:b/>
          <w:bCs/>
          <w:noProof/>
          <w:sz w:val="30"/>
          <w:szCs w:val="30"/>
        </w:rPr>
        <w:drawing>
          <wp:inline distT="0" distB="0" distL="0" distR="0">
            <wp:extent cx="243840" cy="243840"/>
            <wp:effectExtent l="0" t="0" r="3810" b="3810"/>
            <wp:docPr id="15" name="Imagen 15"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2 de la Ley s/n, R.O. 249-S, 20-V-2014 y por la Disposición Reformatoria Décima Séptima, num. 5 del Código Orgánico Monetario y Financiero; R.O. 332-2S, 12-IX-2014).- Para efectos de esta Ley, se considera valor al derecho o conjunto</w:t>
      </w:r>
      <w:r>
        <w:rPr>
          <w:rFonts w:eastAsia="Times New Roman"/>
          <w:sz w:val="30"/>
          <w:szCs w:val="30"/>
          <w:lang w:val="es-ES"/>
        </w:rPr>
        <w:t xml:space="preserve"> de derechos de contenido esencialmente económico, negociables en el mercado de valores, incluyendo, entre otros, acciones, obligaciones, bonos, cédulas, cuotas de fondos de inversión colectivos, contratos de negociación a futuro o a término, permutas fina</w:t>
      </w:r>
      <w:r>
        <w:rPr>
          <w:rFonts w:eastAsia="Times New Roman"/>
          <w:sz w:val="30"/>
          <w:szCs w:val="30"/>
          <w:lang w:val="es-ES"/>
        </w:rPr>
        <w:t>ncieras, opciones de compra o venta, valores de contenido crediticio de participación y mixto que provengan de procesos de titularización y otros que determine el Consejo Nacional de Valores.</w:t>
      </w:r>
      <w:r>
        <w:rPr>
          <w:rFonts w:eastAsia="Times New Roman"/>
          <w:sz w:val="30"/>
          <w:szCs w:val="30"/>
          <w:lang w:val="es-ES"/>
        </w:rPr>
        <w:br/>
      </w:r>
      <w:r>
        <w:rPr>
          <w:rFonts w:eastAsia="Times New Roman"/>
          <w:sz w:val="30"/>
          <w:szCs w:val="30"/>
          <w:lang w:val="es-ES"/>
        </w:rPr>
        <w:br/>
        <w:t>Si los valores constan en un soporte cartular pueden emitirse n</w:t>
      </w:r>
      <w:r>
        <w:rPr>
          <w:rFonts w:eastAsia="Times New Roman"/>
          <w:sz w:val="30"/>
          <w:szCs w:val="30"/>
          <w:lang w:val="es-ES"/>
        </w:rPr>
        <w:t>ominativos, a la orden o al portador. Si son nominativos circularán por cesión cambiaria inscrita en el registro del emisor; si son a la orden por endoso; si son al portador por su simple entrega.</w:t>
      </w:r>
      <w:r>
        <w:rPr>
          <w:rFonts w:eastAsia="Times New Roman"/>
          <w:sz w:val="30"/>
          <w:szCs w:val="30"/>
          <w:lang w:val="es-ES"/>
        </w:rPr>
        <w:br/>
      </w:r>
      <w:r>
        <w:rPr>
          <w:rFonts w:eastAsia="Times New Roman"/>
          <w:sz w:val="30"/>
          <w:szCs w:val="30"/>
          <w:lang w:val="es-ES"/>
        </w:rPr>
        <w:br/>
        <w:t>Si los valores constan en anotaciones en cuenta, dentro de</w:t>
      </w:r>
      <w:r>
        <w:rPr>
          <w:rFonts w:eastAsia="Times New Roman"/>
          <w:sz w:val="30"/>
          <w:szCs w:val="30"/>
          <w:lang w:val="es-ES"/>
        </w:rPr>
        <w:t xml:space="preserve"> una misma emisión, se consideran fungibles entre sí y la transferencia de su dominio se perfecciona por el respectivo registro contable dentro de un sistema de anotaciones en cuenta, llevado a cabo por un depósito de compensación y liquidación de valores </w:t>
      </w:r>
      <w:r>
        <w:rPr>
          <w:rFonts w:eastAsia="Times New Roman"/>
          <w:sz w:val="30"/>
          <w:szCs w:val="30"/>
          <w:lang w:val="es-ES"/>
        </w:rPr>
        <w:t>conforme esta Ley. Tal inscripción de la transferencia a favor del adquirente producirá los mismos efectos que la tradición de los valores, legitimándolo así para el ejercicio de sus derechos.</w:t>
      </w:r>
      <w:r>
        <w:rPr>
          <w:rFonts w:eastAsia="Times New Roman"/>
          <w:sz w:val="30"/>
          <w:szCs w:val="30"/>
          <w:lang w:val="es-ES"/>
        </w:rPr>
        <w:br/>
      </w:r>
      <w:r>
        <w:rPr>
          <w:rFonts w:eastAsia="Times New Roman"/>
          <w:sz w:val="30"/>
          <w:szCs w:val="30"/>
          <w:lang w:val="es-ES"/>
        </w:rPr>
        <w:br/>
        <w:t>Cualquier limitación a la libre negociación y circulación de v</w:t>
      </w:r>
      <w:r>
        <w:rPr>
          <w:rFonts w:eastAsia="Times New Roman"/>
          <w:sz w:val="30"/>
          <w:szCs w:val="30"/>
          <w:lang w:val="es-ES"/>
        </w:rPr>
        <w:t>alores no establecida por Ley, no surtirá efectos jurídicos y se tendrá por no escrita. Para la negociación y circulación de los valores emitidos por las entidades e instituciones del sector público de deberá observar en lo que fuere aplicable lo estableci</w:t>
      </w:r>
      <w:r>
        <w:rPr>
          <w:rFonts w:eastAsia="Times New Roman"/>
          <w:sz w:val="30"/>
          <w:szCs w:val="30"/>
          <w:lang w:val="es-ES"/>
        </w:rPr>
        <w:t>do en el Código Orgánico de Planificación y Finanzas Públicas.</w:t>
      </w:r>
    </w:p>
    <w:p w:rsidR="00000000" w:rsidRDefault="0018461E">
      <w:pPr>
        <w:divId w:val="180439942"/>
        <w:rPr>
          <w:rFonts w:eastAsia="Times New Roman"/>
          <w:sz w:val="30"/>
          <w:szCs w:val="30"/>
          <w:lang w:val="es-ES"/>
        </w:rPr>
      </w:pPr>
      <w:r>
        <w:rPr>
          <w:rFonts w:eastAsia="Times New Roman"/>
          <w:b/>
          <w:bCs/>
          <w:sz w:val="30"/>
          <w:szCs w:val="30"/>
          <w:lang w:val="es-ES"/>
        </w:rPr>
        <w:t>Art. 3.- Del mercado de valores: bursátil, extrabursátil y privado</w:t>
      </w:r>
      <w:r>
        <w:rPr>
          <w:rFonts w:eastAsia="Times New Roman"/>
          <w:sz w:val="30"/>
          <w:szCs w:val="30"/>
          <w:lang w:val="es-ES"/>
        </w:rPr>
        <w:t>.-</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16" name="Imagen 16"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3 de la Ley s/n, R.O. 249-S, 20-V-2014; y, reformado por la Disposición Ref</w:t>
      </w:r>
      <w:r>
        <w:rPr>
          <w:rFonts w:eastAsia="Times New Roman"/>
          <w:sz w:val="30"/>
          <w:szCs w:val="30"/>
          <w:lang w:val="es-ES"/>
        </w:rPr>
        <w:t xml:space="preserve">ormatoria Décima Séptima, nums. 1 y 2 del Código Orgánico Monetario y Financiero; R.O. 332-2S, 12-IX-2014).- ).- El mercado de valores utiliza los mecanismos previstos en esta Ley para canalizar los recursos financieros hacia las </w:t>
      </w:r>
      <w:r>
        <w:rPr>
          <w:rFonts w:eastAsia="Times New Roman"/>
          <w:sz w:val="30"/>
          <w:szCs w:val="30"/>
          <w:lang w:val="es-ES"/>
        </w:rPr>
        <w:lastRenderedPageBreak/>
        <w:t>actividades productivas, a</w:t>
      </w:r>
      <w:r>
        <w:rPr>
          <w:rFonts w:eastAsia="Times New Roman"/>
          <w:sz w:val="30"/>
          <w:szCs w:val="30"/>
          <w:lang w:val="es-ES"/>
        </w:rPr>
        <w:t xml:space="preserve"> través de la negociación de valores en los segmentos bursátil y extrabursátil.</w:t>
      </w:r>
      <w:r>
        <w:rPr>
          <w:rFonts w:eastAsia="Times New Roman"/>
          <w:sz w:val="30"/>
          <w:szCs w:val="30"/>
          <w:lang w:val="es-ES"/>
        </w:rPr>
        <w:br/>
      </w:r>
      <w:r>
        <w:rPr>
          <w:rFonts w:eastAsia="Times New Roman"/>
          <w:sz w:val="30"/>
          <w:szCs w:val="30"/>
          <w:lang w:val="es-ES"/>
        </w:rPr>
        <w:br/>
        <w:t>Mercado bursátil es el conformado por ofertas, demandas y negociaciones de valores inscritos en el Catastro Público del Mercado de Valores, en las bolsas de valores y en el Re</w:t>
      </w:r>
      <w:r>
        <w:rPr>
          <w:rFonts w:eastAsia="Times New Roman"/>
          <w:sz w:val="30"/>
          <w:szCs w:val="30"/>
          <w:lang w:val="es-ES"/>
        </w:rPr>
        <w:t>gistro Especial Bursátil (REB), realizadas por los intermediarios de valores autorizados, de acuerdo con lo establecido en la presente Ley.</w:t>
      </w:r>
      <w:r>
        <w:rPr>
          <w:rFonts w:eastAsia="Times New Roman"/>
          <w:sz w:val="30"/>
          <w:szCs w:val="30"/>
          <w:lang w:val="es-ES"/>
        </w:rPr>
        <w:br/>
      </w:r>
      <w:r>
        <w:rPr>
          <w:rFonts w:eastAsia="Times New Roman"/>
          <w:sz w:val="30"/>
          <w:szCs w:val="30"/>
          <w:lang w:val="es-ES"/>
        </w:rPr>
        <w:br/>
        <w:t>Mercado extrabursátil es el mercado primario que se genera entre la institución financiera y el inversor sin la int</w:t>
      </w:r>
      <w:r>
        <w:rPr>
          <w:rFonts w:eastAsia="Times New Roman"/>
          <w:sz w:val="30"/>
          <w:szCs w:val="30"/>
          <w:lang w:val="es-ES"/>
        </w:rPr>
        <w:t>ervención de un intermediario de valores, con valores genéricos o de giro ordinario de su negocio, emitidos por instituciones financieras, inscritos en el Catastro Público del Mercado de Valores y en las bolsas de valores.</w:t>
      </w:r>
      <w:r>
        <w:rPr>
          <w:rFonts w:eastAsia="Times New Roman"/>
          <w:sz w:val="30"/>
          <w:szCs w:val="30"/>
          <w:lang w:val="es-ES"/>
        </w:rPr>
        <w:br/>
      </w:r>
      <w:r>
        <w:rPr>
          <w:rFonts w:eastAsia="Times New Roman"/>
          <w:sz w:val="30"/>
          <w:szCs w:val="30"/>
          <w:lang w:val="es-ES"/>
        </w:rPr>
        <w:br/>
        <w:t xml:space="preserve">Se entenderá como negociaciones </w:t>
      </w:r>
      <w:r>
        <w:rPr>
          <w:rFonts w:eastAsia="Times New Roman"/>
          <w:sz w:val="30"/>
          <w:szCs w:val="30"/>
          <w:lang w:val="es-ES"/>
        </w:rPr>
        <w:t>de mercado privado aquellas que se realizan en forma directa entre comprador y vendedor sin la intervención de intermediarios de valores o inversionistas institucionales, sobre valores no inscritos en el Catastro Público del Mercado de Valores o que estand</w:t>
      </w:r>
      <w:r>
        <w:rPr>
          <w:rFonts w:eastAsia="Times New Roman"/>
          <w:sz w:val="30"/>
          <w:szCs w:val="30"/>
          <w:lang w:val="es-ES"/>
        </w:rPr>
        <w:t>o inscritos sean producto de transferencias de acciones originadas en fusiones, escisiones, herencias, legados, donaciones y liquidaciones de sociedades conyugales y de hecho.</w:t>
      </w:r>
      <w:r>
        <w:rPr>
          <w:rFonts w:eastAsia="Times New Roman"/>
          <w:sz w:val="30"/>
          <w:szCs w:val="30"/>
          <w:lang w:val="es-ES"/>
        </w:rPr>
        <w:br/>
      </w:r>
      <w:r>
        <w:rPr>
          <w:rFonts w:eastAsia="Times New Roman"/>
          <w:sz w:val="30"/>
          <w:szCs w:val="30"/>
          <w:lang w:val="es-ES"/>
        </w:rPr>
        <w:br/>
        <w:t>Las operaciones con valores que efectúen los intermediarios de valores autoriza</w:t>
      </w:r>
      <w:r>
        <w:rPr>
          <w:rFonts w:eastAsia="Times New Roman"/>
          <w:sz w:val="30"/>
          <w:szCs w:val="30"/>
          <w:lang w:val="es-ES"/>
        </w:rPr>
        <w:t>dos, e inversionistas institucionales en los mercados bursátil y extrabursátil, serán puestas en conocimiento de la Superintendencia de Compañías, Seguros y Valores para fines de procesamiento y difusión, en la forma y periodicidad que determine la Junta d</w:t>
      </w:r>
      <w:r>
        <w:rPr>
          <w:rFonts w:eastAsia="Times New Roman"/>
          <w:sz w:val="30"/>
          <w:szCs w:val="30"/>
          <w:lang w:val="es-ES"/>
        </w:rPr>
        <w:t>e Política y Regulación Monetaria y Financiera</w:t>
      </w:r>
    </w:p>
    <w:p w:rsidR="00000000" w:rsidRDefault="0018461E">
      <w:pPr>
        <w:divId w:val="1727491899"/>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r>
        <w:rPr>
          <w:rFonts w:eastAsia="Times New Roman"/>
          <w:b/>
          <w:bCs/>
          <w:sz w:val="30"/>
          <w:szCs w:val="30"/>
          <w:lang w:val="es-ES"/>
        </w:rPr>
        <w:t>De la intermediación de valores y de los intermediarios.-</w:t>
      </w:r>
      <w:r>
        <w:rPr>
          <w:rFonts w:eastAsia="Times New Roman"/>
          <w:b/>
          <w:bCs/>
          <w:sz w:val="30"/>
          <w:szCs w:val="30"/>
          <w:lang w:val="es-ES"/>
        </w:rPr>
        <w:t xml:space="preserve"> </w:t>
      </w:r>
      <w:r>
        <w:rPr>
          <w:rFonts w:eastAsia="Times New Roman"/>
          <w:b/>
          <w:bCs/>
          <w:noProof/>
          <w:sz w:val="30"/>
          <w:szCs w:val="30"/>
        </w:rPr>
        <w:drawing>
          <wp:inline distT="0" distB="0" distL="0" distR="0">
            <wp:extent cx="243840" cy="243840"/>
            <wp:effectExtent l="0" t="0" r="3810" b="3810"/>
            <wp:docPr id="17" name="Imagen 17"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la Disposición Reformatoria Décima Séptima, num. 6 del Código Orgánico Monetario y</w:t>
      </w:r>
      <w:r>
        <w:rPr>
          <w:rFonts w:eastAsia="Times New Roman"/>
          <w:sz w:val="30"/>
          <w:szCs w:val="30"/>
          <w:lang w:val="es-ES"/>
        </w:rPr>
        <w:t xml:space="preserve"> Financiero; R.O. 332-2S, 12-IX-2014).- La intermediación de valores es el conjunto de actividades, actos y contratos que se los realiza en los mercados bursátil y extrabursátil, con el objeto de vincular las ofertas y las demandas para efectuar la compra </w:t>
      </w:r>
      <w:r>
        <w:rPr>
          <w:rFonts w:eastAsia="Times New Roman"/>
          <w:sz w:val="30"/>
          <w:szCs w:val="30"/>
          <w:lang w:val="es-ES"/>
        </w:rPr>
        <w:t>o venta de valores.</w:t>
      </w:r>
      <w:r>
        <w:rPr>
          <w:rFonts w:eastAsia="Times New Roman"/>
          <w:sz w:val="30"/>
          <w:szCs w:val="30"/>
          <w:lang w:val="es-ES"/>
        </w:rPr>
        <w:br/>
      </w:r>
      <w:r>
        <w:rPr>
          <w:rFonts w:eastAsia="Times New Roman"/>
          <w:sz w:val="30"/>
          <w:szCs w:val="30"/>
          <w:lang w:val="es-ES"/>
        </w:rPr>
        <w:br/>
        <w:t xml:space="preserve">Son intermediarios de valores únicamente las casas de valores, las que podrán negociar en dichos mercados por cuenta de terceros o por </w:t>
      </w:r>
      <w:r>
        <w:rPr>
          <w:rFonts w:eastAsia="Times New Roman"/>
          <w:sz w:val="30"/>
          <w:szCs w:val="30"/>
          <w:lang w:val="es-ES"/>
        </w:rPr>
        <w:lastRenderedPageBreak/>
        <w:t>cuenta propia, de acuerdo a las normas que expida el Consejo Nacional de Valores (C.N.V.).</w:t>
      </w:r>
    </w:p>
    <w:p w:rsidR="00000000" w:rsidRDefault="0018461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t>I</w:t>
      </w:r>
      <w:r>
        <w:rPr>
          <w:rFonts w:eastAsia="Times New Roman"/>
          <w:b/>
          <w:bCs/>
          <w:sz w:val="36"/>
          <w:szCs w:val="36"/>
          <w:lang w:val="es-ES"/>
        </w:rPr>
        <w:br/>
        <w:t>DE LA DE POLÍTICA Y REGULACIÓN MONETARIA Y FINANCIERA</w:t>
      </w:r>
    </w:p>
    <w:p w:rsidR="00000000" w:rsidRDefault="0018461E">
      <w:pPr>
        <w:jc w:val="center"/>
        <w:divId w:val="1585258792"/>
        <w:rPr>
          <w:rFonts w:eastAsia="Times New Roman"/>
          <w:sz w:val="30"/>
          <w:szCs w:val="30"/>
          <w:lang w:val="es-ES"/>
        </w:rPr>
      </w:pPr>
      <w:r>
        <w:rPr>
          <w:rFonts w:eastAsia="Times New Roman"/>
          <w:b/>
          <w:bCs/>
          <w:sz w:val="30"/>
          <w:szCs w:val="30"/>
          <w:lang w:val="es-ES"/>
        </w:rPr>
        <w:t>(Sustituido por el Art. 4 de la Ley s/n, R.O. 249-S, 20-V-2014; y, reformado por la Disposición Reformatoria Décima Séptima, num. 2 del Código Orgánico Monetario y Financiero; R.O. 332-2S, 12-IX-2014)</w:t>
      </w:r>
      <w:r>
        <w:rPr>
          <w:rFonts w:eastAsia="Times New Roman"/>
          <w:b/>
          <w:bCs/>
          <w:sz w:val="30"/>
          <w:szCs w:val="30"/>
          <w:lang w:val="es-ES"/>
        </w:rPr>
        <w:t xml:space="preserve"> )</w:t>
      </w:r>
    </w:p>
    <w:p w:rsidR="00000000" w:rsidRDefault="0018461E">
      <w:pPr>
        <w:divId w:val="2118406969"/>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18" name="Imagen 18"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(Derogado por la Disposición Reformatoria Décima Séptima, num. 7 del Código Orgánico Monetario y Financiero; R.O. 332-2S, 12-IX-2014).</w:t>
      </w:r>
    </w:p>
    <w:p w:rsidR="00000000" w:rsidRDefault="0018461E">
      <w:pPr>
        <w:divId w:val="1682320067"/>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w:t>
      </w:r>
      <w:r>
        <w:rPr>
          <w:rFonts w:eastAsia="Times New Roman"/>
          <w:b/>
          <w:bCs/>
          <w:noProof/>
          <w:sz w:val="30"/>
          <w:szCs w:val="30"/>
        </w:rPr>
        <w:drawing>
          <wp:inline distT="0" distB="0" distL="0" distR="0">
            <wp:extent cx="243840" cy="243840"/>
            <wp:effectExtent l="0" t="0" r="3810" b="3810"/>
            <wp:docPr id="19" name="Imagen 19" descr="https://www.fielweb.com/App_Themes/Infobases/ImagenesGeneral/img18092017151732_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18092017151732_31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(Derogado por la Disposición Reformatoria Décima Séptima, num. 7 del Código Orgánico Monetario y Financiero; R.O. 332-2S, 12-IX-2014).</w:t>
      </w:r>
    </w:p>
    <w:p w:rsidR="00000000" w:rsidRDefault="0018461E">
      <w:pPr>
        <w:divId w:val="89863175"/>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(Derogado por la Disposición Reformatoria Décima Séptima, num. 7 del Código Orgánico Mo</w:t>
      </w:r>
      <w:r>
        <w:rPr>
          <w:rFonts w:eastAsia="Times New Roman"/>
          <w:sz w:val="30"/>
          <w:szCs w:val="30"/>
          <w:lang w:val="es-ES"/>
        </w:rPr>
        <w:t>netario y Financiero; R.O. 332-2S, 12-IX-2014).</w:t>
      </w:r>
    </w:p>
    <w:p w:rsidR="00000000" w:rsidRDefault="0018461E">
      <w:pPr>
        <w:divId w:val="252474698"/>
        <w:rPr>
          <w:rFonts w:eastAsia="Times New Roman"/>
          <w:sz w:val="30"/>
          <w:szCs w:val="30"/>
          <w:lang w:val="es-ES"/>
        </w:rPr>
      </w:pPr>
      <w:r>
        <w:rPr>
          <w:rFonts w:eastAsia="Times New Roman"/>
          <w:sz w:val="30"/>
          <w:szCs w:val="30"/>
          <w:lang w:val="es-ES"/>
        </w:rPr>
        <w:t>Art. 8.- (Derogado por la Disposición Reformatoria Décima Séptima, num. 7 del Código Orgánico Monetario y Financiero; R.O. 332-2S, 12-IX-2014).</w:t>
      </w:r>
    </w:p>
    <w:p w:rsidR="00000000" w:rsidRDefault="0018461E">
      <w:pPr>
        <w:divId w:val="1094977092"/>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 xml:space="preserve">De las atribuciones del Consejo Nacional de Valores.- </w:t>
      </w:r>
      <w:r>
        <w:rPr>
          <w:rFonts w:eastAsia="Times New Roman"/>
          <w:sz w:val="30"/>
          <w:szCs w:val="30"/>
          <w:lang w:val="es-ES"/>
        </w:rPr>
        <w:t>(</w:t>
      </w:r>
      <w:r>
        <w:rPr>
          <w:rFonts w:eastAsia="Times New Roman"/>
          <w:sz w:val="30"/>
          <w:szCs w:val="30"/>
          <w:lang w:val="es-ES"/>
        </w:rPr>
        <w:t>Reformado por la Disposición Reformatoria Décima Séptima, num. 1 del Código Orgánico Monetario y Financiero; R.O. 332-2S, 12-IX-2014).-</w:t>
      </w:r>
      <w:r>
        <w:rPr>
          <w:rFonts w:eastAsia="Times New Roman"/>
          <w:b/>
          <w:bCs/>
          <w:sz w:val="30"/>
          <w:szCs w:val="30"/>
          <w:lang w:val="es-ES"/>
        </w:rPr>
        <w:t xml:space="preserve"> </w:t>
      </w:r>
      <w:r>
        <w:rPr>
          <w:rFonts w:eastAsia="Times New Roman"/>
          <w:sz w:val="30"/>
          <w:szCs w:val="30"/>
          <w:lang w:val="es-ES"/>
        </w:rPr>
        <w:t>El Consejo Nacional de Valores deberá:</w:t>
      </w:r>
      <w:r>
        <w:rPr>
          <w:rFonts w:eastAsia="Times New Roman"/>
          <w:sz w:val="30"/>
          <w:szCs w:val="30"/>
          <w:lang w:val="es-ES"/>
        </w:rPr>
        <w:br/>
      </w:r>
      <w:r>
        <w:rPr>
          <w:rFonts w:eastAsia="Times New Roman"/>
          <w:sz w:val="30"/>
          <w:szCs w:val="30"/>
          <w:lang w:val="es-ES"/>
        </w:rPr>
        <w:br/>
        <w:t>1. Establecer la política general del mercado de valores y regular su funcionami</w:t>
      </w:r>
      <w:r>
        <w:rPr>
          <w:rFonts w:eastAsia="Times New Roman"/>
          <w:sz w:val="30"/>
          <w:szCs w:val="30"/>
          <w:lang w:val="es-ES"/>
        </w:rPr>
        <w:t>ento;</w:t>
      </w:r>
      <w:r>
        <w:rPr>
          <w:rFonts w:eastAsia="Times New Roman"/>
          <w:sz w:val="30"/>
          <w:szCs w:val="30"/>
          <w:lang w:val="es-ES"/>
        </w:rPr>
        <w:br/>
      </w:r>
      <w:r>
        <w:rPr>
          <w:rFonts w:eastAsia="Times New Roman"/>
          <w:sz w:val="30"/>
          <w:szCs w:val="30"/>
          <w:lang w:val="es-ES"/>
        </w:rPr>
        <w:br/>
        <w:t xml:space="preserve">2. Impulsar el desarrollo del mercado de valores, mediante el establecimiento de políticas y mecanismos de fomento y capacitación sobre el mismo; </w:t>
      </w:r>
      <w:r>
        <w:rPr>
          <w:rFonts w:eastAsia="Times New Roman"/>
          <w:sz w:val="30"/>
          <w:szCs w:val="30"/>
          <w:lang w:val="es-ES"/>
        </w:rPr>
        <w:br/>
      </w:r>
      <w:r>
        <w:rPr>
          <w:rFonts w:eastAsia="Times New Roman"/>
          <w:sz w:val="30"/>
          <w:szCs w:val="30"/>
          <w:lang w:val="es-ES"/>
        </w:rPr>
        <w:br/>
        <w:t>3. Promocionar la apertura de capitales y de financiamiento a través del mercado de valores, así como</w:t>
      </w:r>
      <w:r>
        <w:rPr>
          <w:rFonts w:eastAsia="Times New Roman"/>
          <w:sz w:val="30"/>
          <w:szCs w:val="30"/>
          <w:lang w:val="es-ES"/>
        </w:rPr>
        <w:t xml:space="preserve"> la utilización de nuevos instrumentos que se puedan negociar en este mercado; </w:t>
      </w:r>
      <w:r>
        <w:rPr>
          <w:rFonts w:eastAsia="Times New Roman"/>
          <w:sz w:val="30"/>
          <w:szCs w:val="30"/>
          <w:lang w:val="es-ES"/>
        </w:rPr>
        <w:br/>
      </w:r>
      <w:r>
        <w:rPr>
          <w:rFonts w:eastAsia="Times New Roman"/>
          <w:sz w:val="30"/>
          <w:szCs w:val="30"/>
          <w:lang w:val="es-ES"/>
        </w:rPr>
        <w:br/>
        <w:t xml:space="preserve">4. (Sustituido por el lit. a) num. 13 de la Disposición Reformatoria </w:t>
      </w:r>
      <w:r>
        <w:rPr>
          <w:rFonts w:eastAsia="Times New Roman"/>
          <w:sz w:val="30"/>
          <w:szCs w:val="30"/>
          <w:lang w:val="es-ES"/>
        </w:rPr>
        <w:lastRenderedPageBreak/>
        <w:t>Segunda de la Ley s/n, R.O. 986-S, 18-IV-2017).- Expedir las resoluciones necesarias para la aplicación de</w:t>
      </w:r>
      <w:r>
        <w:rPr>
          <w:rFonts w:eastAsia="Times New Roman"/>
          <w:sz w:val="30"/>
          <w:szCs w:val="30"/>
          <w:lang w:val="es-ES"/>
        </w:rPr>
        <w:t xml:space="preserve"> la presente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0" name="Imagen 20"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5. Expedir las normas generales en base a las cuales las bolsas de valores y las asociaciones gremiales creadas </w:t>
      </w:r>
      <w:r>
        <w:rPr>
          <w:rFonts w:eastAsia="Times New Roman"/>
          <w:sz w:val="30"/>
          <w:szCs w:val="30"/>
          <w:lang w:val="es-ES"/>
        </w:rPr>
        <w:t xml:space="preserve">al amparo de esta Ley podrán dictar sus normas de autorregulación; </w:t>
      </w:r>
      <w:r>
        <w:rPr>
          <w:rFonts w:eastAsia="Times New Roman"/>
          <w:sz w:val="30"/>
          <w:szCs w:val="30"/>
          <w:lang w:val="es-ES"/>
        </w:rPr>
        <w:br/>
      </w:r>
      <w:r>
        <w:rPr>
          <w:rFonts w:eastAsia="Times New Roman"/>
          <w:sz w:val="30"/>
          <w:szCs w:val="30"/>
          <w:lang w:val="es-ES"/>
        </w:rPr>
        <w:br/>
        <w:t xml:space="preserve">6. (Sustituido por el lit. a del Art. 8 de la Ley s/n, R.O. 249-S, 20-V-2014).- Regular la creación y funcionamiento de las casas de valores, calificadoras de riesgos, bolsas de valores, </w:t>
      </w:r>
      <w:r>
        <w:rPr>
          <w:rFonts w:eastAsia="Times New Roman"/>
          <w:sz w:val="30"/>
          <w:szCs w:val="30"/>
          <w:lang w:val="es-ES"/>
        </w:rPr>
        <w:t xml:space="preserve">la sociedad proveedora y administradora del sistema único bursátil SIUB, los depósitos de compensación y liquidación de valores, las administradoras de fondos y fideicomisos, así como los servicios que éstas presten; </w:t>
      </w:r>
      <w:r>
        <w:rPr>
          <w:rFonts w:eastAsia="Times New Roman"/>
          <w:sz w:val="30"/>
          <w:szCs w:val="30"/>
          <w:lang w:val="es-ES"/>
        </w:rPr>
        <w:br/>
      </w:r>
      <w:r>
        <w:rPr>
          <w:rFonts w:eastAsia="Times New Roman"/>
          <w:sz w:val="30"/>
          <w:szCs w:val="30"/>
          <w:lang w:val="es-ES"/>
        </w:rPr>
        <w:br/>
        <w:t>7. Establecer los parámetros, índices</w:t>
      </w:r>
      <w:r>
        <w:rPr>
          <w:rFonts w:eastAsia="Times New Roman"/>
          <w:sz w:val="30"/>
          <w:szCs w:val="30"/>
          <w:lang w:val="es-ES"/>
        </w:rPr>
        <w:t>, relaciones y demás normas de solvencia y prudencia financiera y control para las entidades reguladas en esta Ley y acoger, para los emisores del sector financiero, aquellos parámetros determinados por la Junta Bancaria y la Superintendencia de Bancos y S</w:t>
      </w:r>
      <w:r>
        <w:rPr>
          <w:rFonts w:eastAsia="Times New Roman"/>
          <w:sz w:val="30"/>
          <w:szCs w:val="30"/>
          <w:lang w:val="es-ES"/>
        </w:rPr>
        <w:t xml:space="preserve">eguros; </w:t>
      </w:r>
      <w:r>
        <w:rPr>
          <w:rFonts w:eastAsia="Times New Roman"/>
          <w:sz w:val="30"/>
          <w:szCs w:val="30"/>
          <w:lang w:val="es-ES"/>
        </w:rPr>
        <w:br/>
      </w:r>
      <w:r>
        <w:rPr>
          <w:rFonts w:eastAsia="Times New Roman"/>
          <w:sz w:val="30"/>
          <w:szCs w:val="30"/>
          <w:lang w:val="es-ES"/>
        </w:rPr>
        <w:br/>
        <w:t xml:space="preserve">8. Establecer normas de control y de constitución de resguardos para los emisores; </w:t>
      </w:r>
      <w:r>
        <w:rPr>
          <w:rFonts w:eastAsia="Times New Roman"/>
          <w:sz w:val="30"/>
          <w:szCs w:val="30"/>
          <w:lang w:val="es-ES"/>
        </w:rPr>
        <w:br/>
      </w:r>
      <w:r>
        <w:rPr>
          <w:rFonts w:eastAsia="Times New Roman"/>
          <w:sz w:val="30"/>
          <w:szCs w:val="30"/>
          <w:lang w:val="es-ES"/>
        </w:rPr>
        <w:br/>
        <w:t xml:space="preserve">9. (Derogado por la Disposición Reformatoria Décima Séptima, num. 8 del Código Orgánico Monetario y Financiero; R.O. 332-2S, 12-IX-2014); </w:t>
      </w:r>
      <w:r>
        <w:rPr>
          <w:rFonts w:eastAsia="Times New Roman"/>
          <w:sz w:val="30"/>
          <w:szCs w:val="30"/>
          <w:lang w:val="es-ES"/>
        </w:rPr>
        <w:br/>
      </w:r>
      <w:r>
        <w:rPr>
          <w:rFonts w:eastAsia="Times New Roman"/>
          <w:sz w:val="30"/>
          <w:szCs w:val="30"/>
          <w:lang w:val="es-ES"/>
        </w:rPr>
        <w:br/>
        <w:t>10. Regular la oferta</w:t>
      </w:r>
      <w:r>
        <w:rPr>
          <w:rFonts w:eastAsia="Times New Roman"/>
          <w:sz w:val="30"/>
          <w:szCs w:val="30"/>
          <w:lang w:val="es-ES"/>
        </w:rPr>
        <w:t xml:space="preserve"> pública de valores, estableciendo los requisitos mínimos que deberán tener los valores que se oferten públicamente; así como el procedimiento para que la información que deba ser difundida al público revele adecuadamente la situación financiera de los emi</w:t>
      </w:r>
      <w:r>
        <w:rPr>
          <w:rFonts w:eastAsia="Times New Roman"/>
          <w:sz w:val="30"/>
          <w:szCs w:val="30"/>
          <w:lang w:val="es-ES"/>
        </w:rPr>
        <w:t xml:space="preserve">sores; </w:t>
      </w:r>
      <w:r>
        <w:rPr>
          <w:rFonts w:eastAsia="Times New Roman"/>
          <w:sz w:val="30"/>
          <w:szCs w:val="30"/>
          <w:lang w:val="es-ES"/>
        </w:rPr>
        <w:br/>
      </w:r>
      <w:r>
        <w:rPr>
          <w:rFonts w:eastAsia="Times New Roman"/>
          <w:sz w:val="30"/>
          <w:szCs w:val="30"/>
          <w:lang w:val="es-ES"/>
        </w:rPr>
        <w:br/>
        <w:t xml:space="preserve">11. Regular los procesos de titularización, su oferta pública, así como la información que debe provenir de éstos, para la difusión al público; </w:t>
      </w:r>
      <w:r>
        <w:rPr>
          <w:rFonts w:eastAsia="Times New Roman"/>
          <w:sz w:val="30"/>
          <w:szCs w:val="30"/>
          <w:lang w:val="es-ES"/>
        </w:rPr>
        <w:br/>
      </w:r>
      <w:r>
        <w:rPr>
          <w:rFonts w:eastAsia="Times New Roman"/>
          <w:sz w:val="30"/>
          <w:szCs w:val="30"/>
          <w:lang w:val="es-ES"/>
        </w:rPr>
        <w:br/>
        <w:t>12. (Reformado por la Disposición Reformatoria Décima Séptima, num. 8 del Código Orgánico Monetario y</w:t>
      </w:r>
      <w:r>
        <w:rPr>
          <w:rFonts w:eastAsia="Times New Roman"/>
          <w:sz w:val="30"/>
          <w:szCs w:val="30"/>
          <w:lang w:val="es-ES"/>
        </w:rPr>
        <w:t xml:space="preserve"> Financiero; R.O. 332-2S, 12-IX-2014).- Expedir normas para que las entidades integrantes del sector público no financiero, puedan intervenir en todos los procesos </w:t>
      </w:r>
      <w:r>
        <w:rPr>
          <w:rFonts w:eastAsia="Times New Roman"/>
          <w:sz w:val="30"/>
          <w:szCs w:val="30"/>
          <w:lang w:val="es-ES"/>
        </w:rPr>
        <w:lastRenderedPageBreak/>
        <w:t xml:space="preserve">previstos en esta Ley; </w:t>
      </w:r>
      <w:r>
        <w:rPr>
          <w:rFonts w:eastAsia="Times New Roman"/>
          <w:sz w:val="30"/>
          <w:szCs w:val="30"/>
          <w:lang w:val="es-ES"/>
        </w:rPr>
        <w:br/>
      </w:r>
      <w:r>
        <w:rPr>
          <w:rFonts w:eastAsia="Times New Roman"/>
          <w:sz w:val="30"/>
          <w:szCs w:val="30"/>
          <w:lang w:val="es-ES"/>
        </w:rPr>
        <w:br/>
        <w:t>13. Regular las inscripciones en el Catastro Público del Mercado de</w:t>
      </w:r>
      <w:r>
        <w:rPr>
          <w:rFonts w:eastAsia="Times New Roman"/>
          <w:sz w:val="30"/>
          <w:szCs w:val="30"/>
          <w:lang w:val="es-ES"/>
        </w:rPr>
        <w:t xml:space="preserve"> Valores y su mantenimiento; </w:t>
      </w:r>
      <w:r>
        <w:rPr>
          <w:rFonts w:eastAsia="Times New Roman"/>
          <w:sz w:val="30"/>
          <w:szCs w:val="30"/>
          <w:lang w:val="es-ES"/>
        </w:rPr>
        <w:br/>
      </w:r>
      <w:r>
        <w:rPr>
          <w:rFonts w:eastAsia="Times New Roman"/>
          <w:sz w:val="30"/>
          <w:szCs w:val="30"/>
          <w:lang w:val="es-ES"/>
        </w:rPr>
        <w:br/>
        <w:t xml:space="preserve">14. Establecer las reglas generales de la garantía de ejecución; </w:t>
      </w:r>
      <w:r>
        <w:rPr>
          <w:rFonts w:eastAsia="Times New Roman"/>
          <w:sz w:val="30"/>
          <w:szCs w:val="30"/>
          <w:lang w:val="es-ES"/>
        </w:rPr>
        <w:br/>
      </w:r>
      <w:r>
        <w:rPr>
          <w:rFonts w:eastAsia="Times New Roman"/>
          <w:sz w:val="30"/>
          <w:szCs w:val="30"/>
          <w:lang w:val="es-ES"/>
        </w:rPr>
        <w:br/>
        <w:t>15. Regular la forma en que serán efectuadas las convocatorias a asambleas de obligacionistas, asambleas de partícipes de fondos administrados y colectivos, c</w:t>
      </w:r>
      <w:r>
        <w:rPr>
          <w:rFonts w:eastAsia="Times New Roman"/>
          <w:sz w:val="30"/>
          <w:szCs w:val="30"/>
          <w:lang w:val="es-ES"/>
        </w:rPr>
        <w:t xml:space="preserve">omités de vigilancia y demás órganos de decisión de las instituciones reguladas por esta Ley; </w:t>
      </w:r>
      <w:r>
        <w:rPr>
          <w:rFonts w:eastAsia="Times New Roman"/>
          <w:sz w:val="30"/>
          <w:szCs w:val="30"/>
          <w:lang w:val="es-ES"/>
        </w:rPr>
        <w:br/>
      </w:r>
      <w:r>
        <w:rPr>
          <w:rFonts w:eastAsia="Times New Roman"/>
          <w:sz w:val="30"/>
          <w:szCs w:val="30"/>
          <w:lang w:val="es-ES"/>
        </w:rPr>
        <w:br/>
        <w:t>16. (Sustituido por el lit. b del Art. 8 de la Ley s/n, R.O. 249-S, 20-V-2014).- Dictar las normas necesarias para la administración de riesgos de las entidades</w:t>
      </w:r>
      <w:r>
        <w:rPr>
          <w:rFonts w:eastAsia="Times New Roman"/>
          <w:sz w:val="30"/>
          <w:szCs w:val="30"/>
          <w:lang w:val="es-ES"/>
        </w:rPr>
        <w:t xml:space="preserve"> reguladas por esta Ley; </w:t>
      </w:r>
      <w:r>
        <w:rPr>
          <w:rFonts w:eastAsia="Times New Roman"/>
          <w:sz w:val="30"/>
          <w:szCs w:val="30"/>
          <w:lang w:val="es-ES"/>
        </w:rPr>
        <w:br/>
      </w:r>
      <w:r>
        <w:rPr>
          <w:rFonts w:eastAsia="Times New Roman"/>
          <w:sz w:val="30"/>
          <w:szCs w:val="30"/>
          <w:lang w:val="es-ES"/>
        </w:rPr>
        <w:br/>
        <w:t xml:space="preserve">17. Establecer las políticas generales para la supervisión y control del mercado, así como los mecanismos de fomento y capacitación; </w:t>
      </w:r>
      <w:r>
        <w:rPr>
          <w:rFonts w:eastAsia="Times New Roman"/>
          <w:sz w:val="30"/>
          <w:szCs w:val="30"/>
          <w:lang w:val="es-ES"/>
        </w:rPr>
        <w:br/>
      </w:r>
      <w:r>
        <w:rPr>
          <w:rFonts w:eastAsia="Times New Roman"/>
          <w:sz w:val="30"/>
          <w:szCs w:val="30"/>
          <w:lang w:val="es-ES"/>
        </w:rPr>
        <w:br/>
        <w:t>18. (Sustituido por el lit. c del Art. 8 de la Ley s/n, R.O. 249-S, 20-V-2014).- Determinar me</w:t>
      </w:r>
      <w:r>
        <w:rPr>
          <w:rFonts w:eastAsia="Times New Roman"/>
          <w:sz w:val="30"/>
          <w:szCs w:val="30"/>
          <w:lang w:val="es-ES"/>
        </w:rPr>
        <w:t>diante norma de carácter general la información que se considerará como reservada;</w:t>
      </w:r>
      <w:r>
        <w:rPr>
          <w:rFonts w:eastAsia="Times New Roman"/>
          <w:sz w:val="30"/>
          <w:szCs w:val="30"/>
          <w:lang w:val="es-ES"/>
        </w:rPr>
        <w:br/>
      </w:r>
      <w:r>
        <w:rPr>
          <w:rFonts w:eastAsia="Times New Roman"/>
          <w:sz w:val="30"/>
          <w:szCs w:val="30"/>
          <w:lang w:val="es-ES"/>
        </w:rPr>
        <w:br/>
        <w:t>19. (Sustituido por el lit. d del Art. 8 de la Ley s/n, R.O. 249-S, 20-V-2014).- Autorizar las actividades conexas de las bolsas de valores, casas de valores, banca de inve</w:t>
      </w:r>
      <w:r>
        <w:rPr>
          <w:rFonts w:eastAsia="Times New Roman"/>
          <w:sz w:val="30"/>
          <w:szCs w:val="30"/>
          <w:lang w:val="es-ES"/>
        </w:rPr>
        <w:t>rsión, administradoras de fondos y fideicomisos y, calificadoras de riesgo, que sean necesarias para el adecuado desarrollo del mercado de valores;</w:t>
      </w:r>
      <w:r>
        <w:rPr>
          <w:rFonts w:eastAsia="Times New Roman"/>
          <w:sz w:val="30"/>
          <w:szCs w:val="30"/>
          <w:lang w:val="es-ES"/>
        </w:rPr>
        <w:br/>
      </w:r>
      <w:r>
        <w:rPr>
          <w:rFonts w:eastAsia="Times New Roman"/>
          <w:sz w:val="30"/>
          <w:szCs w:val="30"/>
          <w:lang w:val="es-ES"/>
        </w:rPr>
        <w:br/>
        <w:t xml:space="preserve">20. Velar por la observancia y cumplimiento de las normas que rigen el mercado de valores; </w:t>
      </w:r>
      <w:r>
        <w:rPr>
          <w:rFonts w:eastAsia="Times New Roman"/>
          <w:sz w:val="30"/>
          <w:szCs w:val="30"/>
          <w:lang w:val="es-ES"/>
        </w:rPr>
        <w:br/>
      </w:r>
      <w:r>
        <w:rPr>
          <w:rFonts w:eastAsia="Times New Roman"/>
          <w:sz w:val="30"/>
          <w:szCs w:val="30"/>
          <w:lang w:val="es-ES"/>
        </w:rPr>
        <w:br/>
        <w:t xml:space="preserve">21. Normar en </w:t>
      </w:r>
      <w:r>
        <w:rPr>
          <w:rFonts w:eastAsia="Times New Roman"/>
          <w:sz w:val="30"/>
          <w:szCs w:val="30"/>
          <w:lang w:val="es-ES"/>
        </w:rPr>
        <w:t xml:space="preserve">lo concerniente a actividades y operaciones del mercado de valores, los sistemas contables y de registro de operaciones y, otros aspectos de la actuación de los participantes en el mercado; </w:t>
      </w:r>
      <w:r>
        <w:rPr>
          <w:rFonts w:eastAsia="Times New Roman"/>
          <w:sz w:val="30"/>
          <w:szCs w:val="30"/>
          <w:lang w:val="es-ES"/>
        </w:rPr>
        <w:br/>
      </w:r>
      <w:r>
        <w:rPr>
          <w:rFonts w:eastAsia="Times New Roman"/>
          <w:sz w:val="30"/>
          <w:szCs w:val="30"/>
          <w:lang w:val="es-ES"/>
        </w:rPr>
        <w:br/>
        <w:t>22. Emitir el plan de cuentas y normas contables para los partíc</w:t>
      </w:r>
      <w:r>
        <w:rPr>
          <w:rFonts w:eastAsia="Times New Roman"/>
          <w:sz w:val="30"/>
          <w:szCs w:val="30"/>
          <w:lang w:val="es-ES"/>
        </w:rPr>
        <w:t xml:space="preserve">ipes del mercado;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23. Fijar anualmente las contribuciones que deben pagar las personas y los entes que intervengan en el mercado de valores de acuerdo al reglamento que expedirá para el efecto el Superintendente de Compañías. En dicho reglamento, se dete</w:t>
      </w:r>
      <w:r>
        <w:rPr>
          <w:rFonts w:eastAsia="Times New Roman"/>
          <w:sz w:val="30"/>
          <w:szCs w:val="30"/>
          <w:lang w:val="es-ES"/>
        </w:rPr>
        <w:t xml:space="preserve">rminará la tabla con los montos de contribución que pagarán dichas personas y entes; </w:t>
      </w:r>
      <w:r>
        <w:rPr>
          <w:rFonts w:eastAsia="Times New Roman"/>
          <w:sz w:val="30"/>
          <w:szCs w:val="30"/>
          <w:lang w:val="es-ES"/>
        </w:rPr>
        <w:br/>
      </w:r>
      <w:r>
        <w:rPr>
          <w:rFonts w:eastAsia="Times New Roman"/>
          <w:sz w:val="30"/>
          <w:szCs w:val="30"/>
          <w:lang w:val="es-ES"/>
        </w:rPr>
        <w:br/>
        <w:t xml:space="preserve">24. Definir, cuando no lo haya hecho la presente Ley, los términos de uso general en materia de mercado de valores; </w:t>
      </w:r>
      <w:r>
        <w:rPr>
          <w:rFonts w:eastAsia="Times New Roman"/>
          <w:sz w:val="30"/>
          <w:szCs w:val="30"/>
          <w:lang w:val="es-ES"/>
        </w:rPr>
        <w:br/>
      </w:r>
      <w:r>
        <w:rPr>
          <w:rFonts w:eastAsia="Times New Roman"/>
          <w:sz w:val="30"/>
          <w:szCs w:val="30"/>
          <w:lang w:val="es-ES"/>
        </w:rPr>
        <w:br/>
        <w:t>25. Establecer las normas que sean necesarias a fin</w:t>
      </w:r>
      <w:r>
        <w:rPr>
          <w:rFonts w:eastAsia="Times New Roman"/>
          <w:sz w:val="30"/>
          <w:szCs w:val="30"/>
          <w:lang w:val="es-ES"/>
        </w:rPr>
        <w:t xml:space="preserve"> de prevenir los casos de conflictos de interés y vinculación de los partícipes del mercado; </w:t>
      </w:r>
      <w:r>
        <w:rPr>
          <w:rFonts w:eastAsia="Times New Roman"/>
          <w:sz w:val="30"/>
          <w:szCs w:val="30"/>
          <w:lang w:val="es-ES"/>
        </w:rPr>
        <w:br/>
      </w:r>
      <w:r>
        <w:rPr>
          <w:rFonts w:eastAsia="Times New Roman"/>
          <w:sz w:val="30"/>
          <w:szCs w:val="30"/>
          <w:lang w:val="es-ES"/>
        </w:rPr>
        <w:br/>
        <w:t>26. (Sustituido por el lit. e del Art. 8 de la Ley s/n, R.O. 249-S, 20-V-2014).- Establecer los requisitos de estandarización, numeración e identificación de los</w:t>
      </w:r>
      <w:r>
        <w:rPr>
          <w:rFonts w:eastAsia="Times New Roman"/>
          <w:sz w:val="30"/>
          <w:szCs w:val="30"/>
          <w:lang w:val="es-ES"/>
        </w:rPr>
        <w:t xml:space="preserve"> valores;</w:t>
      </w:r>
      <w:r>
        <w:rPr>
          <w:rFonts w:eastAsia="Times New Roman"/>
          <w:sz w:val="30"/>
          <w:szCs w:val="30"/>
          <w:lang w:val="es-ES"/>
        </w:rPr>
        <w:br/>
      </w:r>
      <w:r>
        <w:rPr>
          <w:rFonts w:eastAsia="Times New Roman"/>
          <w:sz w:val="30"/>
          <w:szCs w:val="30"/>
          <w:lang w:val="es-ES"/>
        </w:rPr>
        <w:br/>
        <w:t xml:space="preserve">27. Expedir normas de carácter general para los procesos de fiducia que lleven a cabo las entidades y organismos del sector público en los que se observarán las disposiciones previstas en esta Ley; y, </w:t>
      </w:r>
      <w:r>
        <w:rPr>
          <w:rFonts w:eastAsia="Times New Roman"/>
          <w:sz w:val="30"/>
          <w:szCs w:val="30"/>
          <w:lang w:val="es-ES"/>
        </w:rPr>
        <w:br/>
      </w:r>
      <w:r>
        <w:rPr>
          <w:rFonts w:eastAsia="Times New Roman"/>
          <w:sz w:val="30"/>
          <w:szCs w:val="30"/>
          <w:lang w:val="es-ES"/>
        </w:rPr>
        <w:br/>
        <w:t>28. (Sustituido por el lit. f del Art. 8 d</w:t>
      </w:r>
      <w:r>
        <w:rPr>
          <w:rFonts w:eastAsia="Times New Roman"/>
          <w:sz w:val="30"/>
          <w:szCs w:val="30"/>
          <w:lang w:val="es-ES"/>
        </w:rPr>
        <w:t>e la Ley s/n, R.O. 249-S, 20-V-2014).- Regular los procesos y requisitos para la certificación, inscripción y homologación de los operadores de valores bajo los criterios de capacitación, conocimiento, profesionalismo, experiencia, ética y actualización.</w:t>
      </w:r>
    </w:p>
    <w:p w:rsidR="00000000"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Título III</w:t>
      </w:r>
      <w:r>
        <w:rPr>
          <w:rFonts w:eastAsia="Times New Roman"/>
          <w:b/>
          <w:bCs/>
          <w:sz w:val="36"/>
          <w:szCs w:val="36"/>
          <w:lang w:val="es-ES"/>
        </w:rPr>
        <w:br/>
        <w:t>DE LAS ATRIBUCIONES Y FUNCIONES DE LA SUPERINTENDENCIA DE COMPAÑÍAS EN EL MERCADO DE VALORES</w:t>
      </w:r>
    </w:p>
    <w:p w:rsidR="00000000" w:rsidRDefault="0018461E">
      <w:pPr>
        <w:divId w:val="1469010996"/>
        <w:rPr>
          <w:rFonts w:eastAsia="Times New Roman"/>
          <w:sz w:val="30"/>
          <w:szCs w:val="30"/>
          <w:lang w:val="es-ES"/>
        </w:rPr>
      </w:pPr>
      <w:r>
        <w:rPr>
          <w:rFonts w:eastAsia="Times New Roman"/>
          <w:b/>
          <w:bCs/>
          <w:sz w:val="30"/>
          <w:szCs w:val="30"/>
          <w:lang w:val="es-ES"/>
        </w:rPr>
        <w:t xml:space="preserve">Art. 10.- De las atribuciones y funciones de la Superintendencia de Compañías, Seguros y Valores.- </w:t>
      </w:r>
      <w:r>
        <w:rPr>
          <w:rFonts w:eastAsia="Times New Roman"/>
          <w:sz w:val="30"/>
          <w:szCs w:val="30"/>
          <w:lang w:val="es-ES"/>
        </w:rPr>
        <w:t>(Reformado por el lit. a del Art. 9 de la Ley s/n, R.</w:t>
      </w:r>
      <w:r>
        <w:rPr>
          <w:rFonts w:eastAsia="Times New Roman"/>
          <w:sz w:val="30"/>
          <w:szCs w:val="30"/>
          <w:lang w:val="es-ES"/>
        </w:rPr>
        <w:t>O. 249-S, 20-V-2014; y, reformado por la Disposición Reformatoria Décima Séptima, nums. 1, 2 y 3 del Código Orgánico Monetario y Financiero; R.O. 332-2S, 12-IX-2014; y, por el lit. b) num. 13 de la Disposición Reformatoria Segunda de la Ley s/n, R.O. 986-S</w:t>
      </w:r>
      <w:r>
        <w:rPr>
          <w:rFonts w:eastAsia="Times New Roman"/>
          <w:sz w:val="30"/>
          <w:szCs w:val="30"/>
          <w:lang w:val="es-ES"/>
        </w:rPr>
        <w:t xml:space="preserve">, 18-IV-2017).- Además de las funciones señaladas en la Ley de Compañías, la Superintendencia de Compañías, Valores y Seguros </w:t>
      </w:r>
      <w:r>
        <w:rPr>
          <w:rFonts w:eastAsia="Times New Roman"/>
          <w:sz w:val="30"/>
          <w:szCs w:val="30"/>
          <w:lang w:val="es-ES"/>
        </w:rPr>
        <w:lastRenderedPageBreak/>
        <w:t>para efectos de esta Ley, ejercerá las funciones de vigilancia, auditoría, intervención y control del mercado de valores con el pr</w:t>
      </w:r>
      <w:r>
        <w:rPr>
          <w:rFonts w:eastAsia="Times New Roman"/>
          <w:sz w:val="30"/>
          <w:szCs w:val="30"/>
          <w:lang w:val="es-ES"/>
        </w:rPr>
        <w:t>opósito de que las actividades de este mercado se sujeten al ordenamiento jurídico y atiendan al interés general, y tendrá las siguientes atribuciones:</w:t>
      </w:r>
      <w:r>
        <w:rPr>
          <w:rFonts w:eastAsia="Times New Roman"/>
          <w:sz w:val="30"/>
          <w:szCs w:val="30"/>
          <w:lang w:val="es-ES"/>
        </w:rPr>
        <w:br/>
      </w:r>
      <w:r>
        <w:rPr>
          <w:rFonts w:eastAsia="Times New Roman"/>
          <w:sz w:val="30"/>
          <w:szCs w:val="30"/>
          <w:lang w:val="es-ES"/>
        </w:rPr>
        <w:br/>
        <w:t xml:space="preserve">1. Ejecutar la política general del mercado de valores dictada por el C.N.V.; </w:t>
      </w:r>
      <w:r>
        <w:rPr>
          <w:rFonts w:eastAsia="Times New Roman"/>
          <w:sz w:val="30"/>
          <w:szCs w:val="30"/>
          <w:lang w:val="es-ES"/>
        </w:rPr>
        <w:br/>
      </w:r>
      <w:r>
        <w:rPr>
          <w:rFonts w:eastAsia="Times New Roman"/>
          <w:sz w:val="30"/>
          <w:szCs w:val="30"/>
          <w:lang w:val="es-ES"/>
        </w:rPr>
        <w:br/>
        <w:t>2. (Sustituido por el l</w:t>
      </w:r>
      <w:r>
        <w:rPr>
          <w:rFonts w:eastAsia="Times New Roman"/>
          <w:sz w:val="30"/>
          <w:szCs w:val="30"/>
          <w:lang w:val="es-ES"/>
        </w:rPr>
        <w:t>it. b del Art. 9 de la Ley s/n, R.O. 249-S, 20-V-2014).- Inspeccionar, en cualquier tiempo a las compañías, entidades y demás personas que intervengan en el mercado de valores, con amplias facultades de verificación de sus operaciones, libros contables, in</w:t>
      </w:r>
      <w:r>
        <w:rPr>
          <w:rFonts w:eastAsia="Times New Roman"/>
          <w:sz w:val="30"/>
          <w:szCs w:val="30"/>
          <w:lang w:val="es-ES"/>
        </w:rPr>
        <w:t>formación y cuanto documento o instrumento sea necesario examinar, sin que se le pueda oponer el sigilo bancario o bursátil, de acuerdo con las normas que expida la Junta de de Política y Regulación Monetaria y Financiera, exigiendo que las instituciones c</w:t>
      </w:r>
      <w:r>
        <w:rPr>
          <w:rFonts w:eastAsia="Times New Roman"/>
          <w:sz w:val="30"/>
          <w:szCs w:val="30"/>
          <w:lang w:val="es-ES"/>
        </w:rPr>
        <w:t>ontroladas cumplan con las medidas correctivas y de saneamiento en los casos que se dispongan;</w:t>
      </w:r>
      <w:r>
        <w:rPr>
          <w:rFonts w:eastAsia="Times New Roman"/>
          <w:sz w:val="30"/>
          <w:szCs w:val="30"/>
          <w:lang w:val="es-ES"/>
        </w:rPr>
        <w:br/>
      </w:r>
      <w:r>
        <w:rPr>
          <w:rFonts w:eastAsia="Times New Roman"/>
          <w:sz w:val="30"/>
          <w:szCs w:val="30"/>
          <w:lang w:val="es-ES"/>
        </w:rPr>
        <w:br/>
        <w:t>3. (Sustituido por el lit. c del Art. 9 de la Ley s/n, R.O. 249-S, 20-V-2014).- Investigar de oficio o a petición de parte las infracciones a la presente Ley, a</w:t>
      </w:r>
      <w:r>
        <w:rPr>
          <w:rFonts w:eastAsia="Times New Roman"/>
          <w:sz w:val="30"/>
          <w:szCs w:val="30"/>
          <w:lang w:val="es-ES"/>
        </w:rPr>
        <w:t xml:space="preserve"> sus reglamentos, a los reglamentos internos y regulaciones de las instituciones que se rigen por esta Ley, así como las cometidas por cualquier persona, que directa o indirectamente, participe en el mercado de valores imponiendo las sanciones pertinentes,</w:t>
      </w:r>
      <w:r>
        <w:rPr>
          <w:rFonts w:eastAsia="Times New Roman"/>
          <w:sz w:val="30"/>
          <w:szCs w:val="30"/>
          <w:lang w:val="es-ES"/>
        </w:rPr>
        <w:t xml:space="preserve"> así como poner en conocimiento de la autoridad competente para que se inicien las acciones penales correspondientes, y presentarse como acusador particular u ofendido, de ser el caso; </w:t>
      </w:r>
      <w:r>
        <w:rPr>
          <w:rFonts w:eastAsia="Times New Roman"/>
          <w:sz w:val="30"/>
          <w:szCs w:val="30"/>
          <w:lang w:val="es-ES"/>
        </w:rPr>
        <w:br/>
      </w:r>
      <w:r>
        <w:rPr>
          <w:rFonts w:eastAsia="Times New Roman"/>
          <w:sz w:val="30"/>
          <w:szCs w:val="30"/>
          <w:lang w:val="es-ES"/>
        </w:rPr>
        <w:br/>
        <w:t>4. Velar por la observancia y cumplimiento de las normas que rigen el</w:t>
      </w:r>
      <w:r>
        <w:rPr>
          <w:rFonts w:eastAsia="Times New Roman"/>
          <w:sz w:val="30"/>
          <w:szCs w:val="30"/>
          <w:lang w:val="es-ES"/>
        </w:rPr>
        <w:t xml:space="preserve"> mercado de valores; </w:t>
      </w:r>
      <w:r>
        <w:rPr>
          <w:rFonts w:eastAsia="Times New Roman"/>
          <w:sz w:val="30"/>
          <w:szCs w:val="30"/>
          <w:lang w:val="es-ES"/>
        </w:rPr>
        <w:br/>
      </w:r>
      <w:r>
        <w:rPr>
          <w:rFonts w:eastAsia="Times New Roman"/>
          <w:sz w:val="30"/>
          <w:szCs w:val="30"/>
          <w:lang w:val="es-ES"/>
        </w:rPr>
        <w:br/>
        <w:t xml:space="preserve">5. Requerir o suministrar directa o indirectamente información pública en los términos previstos en esta Ley, referente a la actividad de personas naturales o jurídicas sujetas a su control; </w:t>
      </w:r>
      <w:r>
        <w:rPr>
          <w:rFonts w:eastAsia="Times New Roman"/>
          <w:sz w:val="30"/>
          <w:szCs w:val="30"/>
          <w:lang w:val="es-ES"/>
        </w:rPr>
        <w:br/>
      </w:r>
      <w:r>
        <w:rPr>
          <w:rFonts w:eastAsia="Times New Roman"/>
          <w:sz w:val="30"/>
          <w:szCs w:val="30"/>
          <w:lang w:val="es-ES"/>
        </w:rPr>
        <w:br/>
        <w:t xml:space="preserve">6. (Sustituido por el lit. d del Art. 9 </w:t>
      </w:r>
      <w:r>
        <w:rPr>
          <w:rFonts w:eastAsia="Times New Roman"/>
          <w:sz w:val="30"/>
          <w:szCs w:val="30"/>
          <w:lang w:val="es-ES"/>
        </w:rPr>
        <w:t>de la Ley s/n, R.O. 249-S, 20-V-2014).- Conocer y sancionar las infracciones a la presente Ley, a sus reglamentos, resoluciones y demás normas secundarias;</w:t>
      </w:r>
      <w:r>
        <w:rPr>
          <w:rFonts w:eastAsia="Times New Roman"/>
          <w:sz w:val="30"/>
          <w:szCs w:val="30"/>
          <w:lang w:val="es-ES"/>
        </w:rPr>
        <w:br/>
      </w:r>
      <w:r>
        <w:rPr>
          <w:rFonts w:eastAsia="Times New Roman"/>
          <w:sz w:val="30"/>
          <w:szCs w:val="30"/>
          <w:lang w:val="es-ES"/>
        </w:rPr>
        <w:lastRenderedPageBreak/>
        <w:br/>
        <w:t>7. Autorizar, previo el cumplimiento de los requisitos establecidos, la realización de una oferta p</w:t>
      </w:r>
      <w:r>
        <w:rPr>
          <w:rFonts w:eastAsia="Times New Roman"/>
          <w:sz w:val="30"/>
          <w:szCs w:val="30"/>
          <w:lang w:val="es-ES"/>
        </w:rPr>
        <w:t xml:space="preserve">ública de valores; así como suspender o cancelar una oferta pública cuando se presentaren indicios de que la información proporcionada no refleja adecuadamente la situación financiera, patrimonial o económica de la empresa sujeta a su control; </w:t>
      </w:r>
      <w:r>
        <w:rPr>
          <w:rFonts w:eastAsia="Times New Roman"/>
          <w:sz w:val="30"/>
          <w:szCs w:val="30"/>
          <w:lang w:val="es-ES"/>
        </w:rPr>
        <w:br/>
      </w:r>
      <w:r>
        <w:rPr>
          <w:rFonts w:eastAsia="Times New Roman"/>
          <w:sz w:val="30"/>
          <w:szCs w:val="30"/>
          <w:lang w:val="es-ES"/>
        </w:rPr>
        <w:br/>
        <w:t>8. (Sustit</w:t>
      </w:r>
      <w:r>
        <w:rPr>
          <w:rFonts w:eastAsia="Times New Roman"/>
          <w:sz w:val="30"/>
          <w:szCs w:val="30"/>
          <w:lang w:val="es-ES"/>
        </w:rPr>
        <w:t>uido por el lit. e del Art. 9 de la Ley s/n, R.O. 249-S, 20-V-2014).- Autorizar el funcionamiento en el mercado de valores de: bolsas de valores, de la sociedad proveedora y administradora del Sistema Único Bursátil, casas de valores, compañías calificador</w:t>
      </w:r>
      <w:r>
        <w:rPr>
          <w:rFonts w:eastAsia="Times New Roman"/>
          <w:sz w:val="30"/>
          <w:szCs w:val="30"/>
          <w:lang w:val="es-ES"/>
        </w:rPr>
        <w:t xml:space="preserve">as de riesgo, depósitos centralizados de compensación y liquidación de valores, sociedades administradoras de fondos y fideicomisos, auditoras externas y demás personas o entidades que actúen o intervengan en dicho mercado, de acuerdo con las regulaciones </w:t>
      </w:r>
      <w:r>
        <w:rPr>
          <w:rFonts w:eastAsia="Times New Roman"/>
          <w:sz w:val="30"/>
          <w:szCs w:val="30"/>
          <w:lang w:val="es-ES"/>
        </w:rPr>
        <w:t>de carácter general que se dicten para el efecto;</w:t>
      </w:r>
      <w:r>
        <w:rPr>
          <w:rFonts w:eastAsia="Times New Roman"/>
          <w:sz w:val="30"/>
          <w:szCs w:val="30"/>
          <w:lang w:val="es-ES"/>
        </w:rPr>
        <w:br/>
      </w:r>
      <w:r>
        <w:rPr>
          <w:rFonts w:eastAsia="Times New Roman"/>
          <w:sz w:val="30"/>
          <w:szCs w:val="30"/>
          <w:lang w:val="es-ES"/>
        </w:rPr>
        <w:br/>
        <w:t xml:space="preserve">9. Organizar y mantener el Catastro Público del Mercado de Valores; </w:t>
      </w:r>
      <w:r>
        <w:rPr>
          <w:rFonts w:eastAsia="Times New Roman"/>
          <w:sz w:val="30"/>
          <w:szCs w:val="30"/>
          <w:lang w:val="es-ES"/>
        </w:rPr>
        <w:br/>
      </w:r>
      <w:r>
        <w:rPr>
          <w:rFonts w:eastAsia="Times New Roman"/>
          <w:sz w:val="30"/>
          <w:szCs w:val="30"/>
          <w:lang w:val="es-ES"/>
        </w:rPr>
        <w:br/>
        <w:t>10. Disponer mediante resolución fundamentada, la suspensión o modificación de las normas de autorregulación expedidas por las bolsas d</w:t>
      </w:r>
      <w:r>
        <w:rPr>
          <w:rFonts w:eastAsia="Times New Roman"/>
          <w:sz w:val="30"/>
          <w:szCs w:val="30"/>
          <w:lang w:val="es-ES"/>
        </w:rPr>
        <w:t xml:space="preserve">e valores o las asociaciones gremiales creadas al amparo de esta Ley, cuando tales normas pudieran inferir perjuicios al desarrollo del mercado o contraríen expresas normas legales o complementarias; </w:t>
      </w:r>
      <w:r>
        <w:rPr>
          <w:rFonts w:eastAsia="Times New Roman"/>
          <w:sz w:val="30"/>
          <w:szCs w:val="30"/>
          <w:lang w:val="es-ES"/>
        </w:rPr>
        <w:br/>
      </w:r>
      <w:r>
        <w:rPr>
          <w:rFonts w:eastAsia="Times New Roman"/>
          <w:sz w:val="30"/>
          <w:szCs w:val="30"/>
          <w:lang w:val="es-ES"/>
        </w:rPr>
        <w:br/>
        <w:t>11. Aprobar el Reglamento Interno y el formato de cont</w:t>
      </w:r>
      <w:r>
        <w:rPr>
          <w:rFonts w:eastAsia="Times New Roman"/>
          <w:sz w:val="30"/>
          <w:szCs w:val="30"/>
          <w:lang w:val="es-ES"/>
        </w:rPr>
        <w:t xml:space="preserve">rato de incorporación de los fondos de inversión; </w:t>
      </w:r>
      <w:r>
        <w:rPr>
          <w:rFonts w:eastAsia="Times New Roman"/>
          <w:sz w:val="30"/>
          <w:szCs w:val="30"/>
          <w:lang w:val="es-ES"/>
        </w:rPr>
        <w:br/>
      </w:r>
      <w:r>
        <w:rPr>
          <w:rFonts w:eastAsia="Times New Roman"/>
          <w:sz w:val="30"/>
          <w:szCs w:val="30"/>
          <w:lang w:val="es-ES"/>
        </w:rPr>
        <w:br/>
        <w:t xml:space="preserve">12. Velar por la estabilidad, solidez y correcto funcionamiento de las instituciones sujetas a su control y, en general, que cumplan las normas que rigen su funcionamiento; </w:t>
      </w:r>
      <w:r>
        <w:rPr>
          <w:rFonts w:eastAsia="Times New Roman"/>
          <w:sz w:val="30"/>
          <w:szCs w:val="30"/>
          <w:lang w:val="es-ES"/>
        </w:rPr>
        <w:br/>
      </w:r>
      <w:r>
        <w:rPr>
          <w:rFonts w:eastAsia="Times New Roman"/>
          <w:sz w:val="30"/>
          <w:szCs w:val="30"/>
          <w:lang w:val="es-ES"/>
        </w:rPr>
        <w:br/>
        <w:t>13. Vigilar que la publicidad</w:t>
      </w:r>
      <w:r>
        <w:rPr>
          <w:rFonts w:eastAsia="Times New Roman"/>
          <w:sz w:val="30"/>
          <w:szCs w:val="30"/>
          <w:lang w:val="es-ES"/>
        </w:rPr>
        <w:t xml:space="preserve"> de las instituciones controladas se ajuste a la realidad jurídica y económica del producto o servicio que se promueve, para evitar la desinformación y la competencia desleal; se exceptúa aquella publicidad que no tenga relación con el mercado de valores; </w:t>
      </w:r>
      <w:r>
        <w:rPr>
          <w:rFonts w:eastAsia="Times New Roman"/>
          <w:sz w:val="30"/>
          <w:szCs w:val="30"/>
          <w:lang w:val="es-ES"/>
        </w:rPr>
        <w:br/>
      </w:r>
      <w:r>
        <w:rPr>
          <w:rFonts w:eastAsia="Times New Roman"/>
          <w:sz w:val="30"/>
          <w:szCs w:val="30"/>
          <w:lang w:val="es-ES"/>
        </w:rPr>
        <w:br/>
        <w:t xml:space="preserve">14. Mantener con fines de difusión, un centro de información conforme a las normas de carácter general que expida el C.N.V.; </w:t>
      </w:r>
      <w:r>
        <w:rPr>
          <w:rFonts w:eastAsia="Times New Roman"/>
          <w:sz w:val="30"/>
          <w:szCs w:val="30"/>
          <w:lang w:val="es-ES"/>
        </w:rPr>
        <w:br/>
      </w:r>
      <w:r>
        <w:rPr>
          <w:rFonts w:eastAsia="Times New Roman"/>
          <w:sz w:val="30"/>
          <w:szCs w:val="30"/>
          <w:lang w:val="es-ES"/>
        </w:rPr>
        <w:lastRenderedPageBreak/>
        <w:br/>
        <w:t xml:space="preserve">15. Registrar las asociaciones gremiales de autorregulación que se creen al amparo de esta Ley; </w:t>
      </w:r>
      <w:r>
        <w:rPr>
          <w:rFonts w:eastAsia="Times New Roman"/>
          <w:sz w:val="30"/>
          <w:szCs w:val="30"/>
          <w:lang w:val="es-ES"/>
        </w:rPr>
        <w:br/>
      </w:r>
      <w:r>
        <w:rPr>
          <w:rFonts w:eastAsia="Times New Roman"/>
          <w:sz w:val="30"/>
          <w:szCs w:val="30"/>
          <w:lang w:val="es-ES"/>
        </w:rPr>
        <w:br/>
        <w:t xml:space="preserve">16. Disponer la suspensión o </w:t>
      </w:r>
      <w:r>
        <w:rPr>
          <w:rFonts w:eastAsia="Times New Roman"/>
          <w:sz w:val="30"/>
          <w:szCs w:val="30"/>
          <w:lang w:val="es-ES"/>
        </w:rPr>
        <w:t xml:space="preserve">cancelación de la inscripción en el Catastro Público del Mercado de Valores de las instituciones o valores sujetos a esta Ley o sus normas complementarias, debiéndose poner tal hecho en conocimiento del C.N.V. en la sesión inmediatamente posterior; </w:t>
      </w:r>
      <w:r>
        <w:rPr>
          <w:rFonts w:eastAsia="Times New Roman"/>
          <w:sz w:val="30"/>
          <w:szCs w:val="30"/>
          <w:lang w:val="es-ES"/>
        </w:rPr>
        <w:br/>
      </w:r>
      <w:r>
        <w:rPr>
          <w:rFonts w:eastAsia="Times New Roman"/>
          <w:sz w:val="30"/>
          <w:szCs w:val="30"/>
          <w:lang w:val="es-ES"/>
        </w:rPr>
        <w:br/>
        <w:t>17. E</w:t>
      </w:r>
      <w:r>
        <w:rPr>
          <w:rFonts w:eastAsia="Times New Roman"/>
          <w:sz w:val="30"/>
          <w:szCs w:val="30"/>
          <w:lang w:val="es-ES"/>
        </w:rPr>
        <w:t xml:space="preserve">stablecer los planes y programas de ajustes para el cumplimiento de las normas previstas en esta Ley; </w:t>
      </w:r>
      <w:r>
        <w:rPr>
          <w:rFonts w:eastAsia="Times New Roman"/>
          <w:sz w:val="30"/>
          <w:szCs w:val="30"/>
          <w:lang w:val="es-ES"/>
        </w:rPr>
        <w:br/>
      </w:r>
      <w:r>
        <w:rPr>
          <w:rFonts w:eastAsia="Times New Roman"/>
          <w:sz w:val="30"/>
          <w:szCs w:val="30"/>
          <w:lang w:val="es-ES"/>
        </w:rPr>
        <w:br/>
        <w:t>18. (Sustituido por el lit. f del Art. 9 de la Ley s/n, R.O. 249-S, 20-V-2014).- Aprobar las normas de autorregulación y disponer mediante resolución fu</w:t>
      </w:r>
      <w:r>
        <w:rPr>
          <w:rFonts w:eastAsia="Times New Roman"/>
          <w:sz w:val="30"/>
          <w:szCs w:val="30"/>
          <w:lang w:val="es-ES"/>
        </w:rPr>
        <w:t>ndamentada, la suspensión o modificación de las normas de autorregulación expedidas por las bolsas de valores;</w:t>
      </w:r>
      <w:r>
        <w:rPr>
          <w:rFonts w:eastAsia="Times New Roman"/>
          <w:sz w:val="30"/>
          <w:szCs w:val="30"/>
          <w:lang w:val="es-ES"/>
        </w:rPr>
        <w:br/>
      </w:r>
      <w:r>
        <w:rPr>
          <w:rFonts w:eastAsia="Times New Roman"/>
          <w:sz w:val="30"/>
          <w:szCs w:val="30"/>
          <w:lang w:val="es-ES"/>
        </w:rPr>
        <w:br/>
        <w:t xml:space="preserve">19. Brindar a las entidades del sector público no financiero la asesoría técnica que requieran para efectos de la aplicación de esta Ley; </w:t>
      </w:r>
      <w:r>
        <w:rPr>
          <w:rFonts w:eastAsia="Times New Roman"/>
          <w:sz w:val="30"/>
          <w:szCs w:val="30"/>
          <w:lang w:val="es-ES"/>
        </w:rPr>
        <w:br/>
      </w:r>
      <w:r>
        <w:rPr>
          <w:rFonts w:eastAsia="Times New Roman"/>
          <w:sz w:val="30"/>
          <w:szCs w:val="30"/>
          <w:lang w:val="es-ES"/>
        </w:rPr>
        <w:br/>
        <w:t xml:space="preserve">20. </w:t>
      </w:r>
      <w:r>
        <w:rPr>
          <w:rFonts w:eastAsia="Times New Roman"/>
          <w:sz w:val="30"/>
          <w:szCs w:val="30"/>
          <w:lang w:val="es-ES"/>
        </w:rPr>
        <w:t xml:space="preserve">Ejercer las demás atribuciones previstas en la presente Ley y en sus reglamentos, en base a las normas que para el efecto expida el C.N.V.; y, </w:t>
      </w:r>
      <w:r>
        <w:rPr>
          <w:rFonts w:eastAsia="Times New Roman"/>
          <w:sz w:val="30"/>
          <w:szCs w:val="30"/>
          <w:lang w:val="es-ES"/>
        </w:rPr>
        <w:br/>
      </w:r>
      <w:r>
        <w:rPr>
          <w:rFonts w:eastAsia="Times New Roman"/>
          <w:sz w:val="30"/>
          <w:szCs w:val="30"/>
          <w:lang w:val="es-ES"/>
        </w:rPr>
        <w:br/>
        <w:t>21. Previa consulta urgente con el Ministro de Economía y Finanzas, Superintendente de Bancos y Seguros, Gerent</w:t>
      </w:r>
      <w:r>
        <w:rPr>
          <w:rFonts w:eastAsia="Times New Roman"/>
          <w:sz w:val="30"/>
          <w:szCs w:val="30"/>
          <w:lang w:val="es-ES"/>
        </w:rPr>
        <w:t>e del Banco Central del Ecuador y presidentes de las bolsas de valores del país, la Superintendencia de Compañías, a fin de preservar el interés público del mercado así como brindar protección a los inversionistas, podrá suspender temporalmente hasta por u</w:t>
      </w:r>
      <w:r>
        <w:rPr>
          <w:rFonts w:eastAsia="Times New Roman"/>
          <w:sz w:val="30"/>
          <w:szCs w:val="30"/>
          <w:lang w:val="es-ES"/>
        </w:rPr>
        <w:t>n término de siete días, las operaciones de mercado de valores en caso de presentarse situaciones de emergencia que perturbaren o que ocasionaren graves distorsiones que produzcan bruscas fluctuaciones de precios.</w:t>
      </w:r>
      <w:r>
        <w:rPr>
          <w:rFonts w:eastAsia="Times New Roman"/>
          <w:sz w:val="30"/>
          <w:szCs w:val="30"/>
          <w:lang w:val="es-ES"/>
        </w:rPr>
        <w:br/>
      </w:r>
      <w:r>
        <w:rPr>
          <w:rFonts w:eastAsia="Times New Roman"/>
          <w:sz w:val="30"/>
          <w:szCs w:val="30"/>
          <w:lang w:val="es-ES"/>
        </w:rPr>
        <w:br/>
        <w:t>22. (Agregado por el lit. g del Art. 9 de</w:t>
      </w:r>
      <w:r>
        <w:rPr>
          <w:rFonts w:eastAsia="Times New Roman"/>
          <w:sz w:val="30"/>
          <w:szCs w:val="30"/>
          <w:lang w:val="es-ES"/>
        </w:rPr>
        <w:t xml:space="preserve"> la Ley s/n, R.O. 249-S, 20-V-2014).- Suscribir de acuerdo con la Constitución y la Ley convenios de cooperación con otros organismos nacionales e internacionales.</w:t>
      </w:r>
      <w:r>
        <w:rPr>
          <w:rFonts w:eastAsia="Times New Roman"/>
          <w:sz w:val="30"/>
          <w:szCs w:val="30"/>
          <w:lang w:val="es-ES"/>
        </w:rPr>
        <w:br/>
      </w:r>
      <w:r>
        <w:rPr>
          <w:rFonts w:eastAsia="Times New Roman"/>
          <w:sz w:val="30"/>
          <w:szCs w:val="30"/>
          <w:lang w:val="es-ES"/>
        </w:rPr>
        <w:br/>
        <w:t>23.- (Agregado por el lit. g del Art. 9 de la Ley s/n, R.O. 249-S, 20-V-</w:t>
      </w:r>
      <w:r>
        <w:rPr>
          <w:rFonts w:eastAsia="Times New Roman"/>
          <w:sz w:val="30"/>
          <w:szCs w:val="30"/>
          <w:lang w:val="es-ES"/>
        </w:rPr>
        <w:lastRenderedPageBreak/>
        <w:t>2014).- Requerir, d</w:t>
      </w:r>
      <w:r>
        <w:rPr>
          <w:rFonts w:eastAsia="Times New Roman"/>
          <w:sz w:val="30"/>
          <w:szCs w:val="30"/>
          <w:lang w:val="es-ES"/>
        </w:rPr>
        <w:t>entro del ámbito de sus competencias, información a cualquier persona natural o jurídica pública o privada, con excepción de la información declarada reservada por razones de seguridad nacional.</w:t>
      </w:r>
      <w:r>
        <w:rPr>
          <w:rFonts w:eastAsia="Times New Roman"/>
          <w:sz w:val="30"/>
          <w:szCs w:val="30"/>
          <w:lang w:val="es-ES"/>
        </w:rPr>
        <w:br/>
      </w:r>
      <w:r>
        <w:rPr>
          <w:rFonts w:eastAsia="Times New Roman"/>
          <w:sz w:val="30"/>
          <w:szCs w:val="30"/>
          <w:lang w:val="es-ES"/>
        </w:rPr>
        <w:br/>
        <w:t xml:space="preserve">24.- (Agregado por el lit. g del Art. 9 de la Ley s/n, R.O. </w:t>
      </w:r>
      <w:r>
        <w:rPr>
          <w:rFonts w:eastAsia="Times New Roman"/>
          <w:sz w:val="30"/>
          <w:szCs w:val="30"/>
          <w:lang w:val="es-ES"/>
        </w:rPr>
        <w:t>249-S, 20-V-2014).- Durante el desarrollo de sus funciones de inspección y de investigación, recibir la versión libre y voluntaria de aquellas personas que puedan aportar con información útil para el esclarecimiento de los hechos.</w:t>
      </w:r>
      <w:r>
        <w:rPr>
          <w:rFonts w:eastAsia="Times New Roman"/>
          <w:sz w:val="30"/>
          <w:szCs w:val="30"/>
          <w:lang w:val="es-ES"/>
        </w:rPr>
        <w:br/>
      </w:r>
      <w:r>
        <w:rPr>
          <w:rFonts w:eastAsia="Times New Roman"/>
          <w:sz w:val="30"/>
          <w:szCs w:val="30"/>
          <w:lang w:val="es-ES"/>
        </w:rPr>
        <w:br/>
        <w:t>25.- (Agregado por el li</w:t>
      </w:r>
      <w:r>
        <w:rPr>
          <w:rFonts w:eastAsia="Times New Roman"/>
          <w:sz w:val="30"/>
          <w:szCs w:val="30"/>
          <w:lang w:val="es-ES"/>
        </w:rPr>
        <w:t>t. g del Art. 9 de la Ley s/n, R.O. 249-S, 20-V-2014).- Entregar a autoridades nacionales o extranjeras información recabada en el marco del ejercicio de su atribución de vigilancia y control, incluida aquella sujeta a sigilo bursátil o bancario.</w:t>
      </w:r>
      <w:r>
        <w:rPr>
          <w:rFonts w:eastAsia="Times New Roman"/>
          <w:sz w:val="30"/>
          <w:szCs w:val="30"/>
          <w:lang w:val="es-ES"/>
        </w:rPr>
        <w:br/>
      </w:r>
      <w:r>
        <w:rPr>
          <w:rFonts w:eastAsia="Times New Roman"/>
          <w:sz w:val="30"/>
          <w:szCs w:val="30"/>
          <w:lang w:val="es-ES"/>
        </w:rPr>
        <w:br/>
        <w:t>La infor</w:t>
      </w:r>
      <w:r>
        <w:rPr>
          <w:rFonts w:eastAsia="Times New Roman"/>
          <w:sz w:val="30"/>
          <w:szCs w:val="30"/>
          <w:lang w:val="es-ES"/>
        </w:rPr>
        <w:t>mación a autoridades extranjeras solo podrá entregarse de conformidad con los términos de usos autorizados y de confidencialidad señalados en los convenios de cooperación bilaterales o multilaterales y en ningún caso incluirá información declarada reservad</w:t>
      </w:r>
      <w:r>
        <w:rPr>
          <w:rFonts w:eastAsia="Times New Roman"/>
          <w:sz w:val="30"/>
          <w:szCs w:val="30"/>
          <w:lang w:val="es-ES"/>
        </w:rPr>
        <w:t>a por razones de seguridad nacional."</w:t>
      </w:r>
      <w:r>
        <w:rPr>
          <w:rFonts w:eastAsia="Times New Roman"/>
          <w:sz w:val="30"/>
          <w:szCs w:val="30"/>
          <w:lang w:val="es-ES"/>
        </w:rPr>
        <w:br/>
      </w:r>
      <w:r>
        <w:rPr>
          <w:rFonts w:eastAsia="Times New Roman"/>
          <w:sz w:val="30"/>
          <w:szCs w:val="30"/>
          <w:lang w:val="es-ES"/>
        </w:rPr>
        <w:br/>
        <w:t>La Superintendencia, para el cumplimiento de estas atribuciones y funciones, podrá expedir todos los actos que fueren necesarios. Asimismo, podrá expedir los actos administrativos de control en las materias propias de</w:t>
      </w:r>
      <w:r>
        <w:rPr>
          <w:rFonts w:eastAsia="Times New Roman"/>
          <w:sz w:val="30"/>
          <w:szCs w:val="30"/>
          <w:lang w:val="es-ES"/>
        </w:rPr>
        <w:t xml:space="preserve"> su competencia, sin que puedan alterar o innovar las disposiciones legales ni las regulaciones que expida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del</w:t>
      </w:r>
      <w:r>
        <w:rPr>
          <w:rFonts w:eastAsia="Times New Roman"/>
          <w:i/>
          <w:iCs/>
          <w:sz w:val="30"/>
          <w:szCs w:val="30"/>
          <w:lang w:val="es-ES"/>
        </w:rPr>
        <w:t xml:space="preserve"> Estatuto del Régimen Jurídico Administrativo de la Función Ejecutiva, la denominación del Ministerio de Economía y Finanzas fue sustituida por la de Ministerio de Finanzas.</w:t>
      </w:r>
    </w:p>
    <w:p w:rsidR="00000000" w:rsidRDefault="0018461E">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OFERTA PÚBLICA</w:t>
      </w:r>
    </w:p>
    <w:p w:rsidR="00000000" w:rsidRDefault="0018461E">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DISPOSICIONES GENERALES</w:t>
      </w:r>
    </w:p>
    <w:p w:rsidR="00000000" w:rsidRDefault="0018461E">
      <w:pPr>
        <w:jc w:val="center"/>
        <w:divId w:val="2055427336"/>
        <w:rPr>
          <w:rFonts w:eastAsia="Times New Roman"/>
          <w:sz w:val="30"/>
          <w:szCs w:val="30"/>
          <w:lang w:val="es-ES"/>
        </w:rPr>
      </w:pPr>
      <w:r>
        <w:rPr>
          <w:rFonts w:eastAsia="Times New Roman"/>
          <w:b/>
          <w:bCs/>
          <w:sz w:val="30"/>
          <w:szCs w:val="30"/>
          <w:lang w:val="es-ES"/>
        </w:rPr>
        <w:t xml:space="preserve">(Agregado por </w:t>
      </w:r>
      <w:r>
        <w:rPr>
          <w:rFonts w:eastAsia="Times New Roman"/>
          <w:b/>
          <w:bCs/>
          <w:sz w:val="30"/>
          <w:szCs w:val="30"/>
          <w:lang w:val="es-ES"/>
        </w:rPr>
        <w:t>el Art. 10 de la Ley s/n, R.O. 249-S, 20-V-2014)</w:t>
      </w:r>
    </w:p>
    <w:p w:rsidR="00000000" w:rsidRDefault="0018461E">
      <w:pPr>
        <w:divId w:val="883558644"/>
        <w:rPr>
          <w:rFonts w:eastAsia="Times New Roman"/>
          <w:sz w:val="30"/>
          <w:szCs w:val="30"/>
          <w:lang w:val="es-ES"/>
        </w:rPr>
      </w:pPr>
      <w:r>
        <w:rPr>
          <w:rFonts w:eastAsia="Times New Roman"/>
          <w:b/>
          <w:bCs/>
          <w:sz w:val="30"/>
          <w:szCs w:val="30"/>
          <w:lang w:val="es-ES"/>
        </w:rPr>
        <w:t>Art. 11.- Concepto y alcance.-</w:t>
      </w:r>
      <w:r>
        <w:rPr>
          <w:rFonts w:eastAsia="Times New Roman"/>
          <w:sz w:val="30"/>
          <w:szCs w:val="30"/>
          <w:lang w:val="es-ES"/>
        </w:rPr>
        <w:t xml:space="preserve"> (Reformado por el Art. 11 de la Ley s/n, R.O. 249-S, 20-V-2014; y, por la Disposición Reformatoria Décima Séptima, nums. 3 y 9 del Código Orgánico Monetario y Financiero; R.O. </w:t>
      </w:r>
      <w:r>
        <w:rPr>
          <w:rFonts w:eastAsia="Times New Roman"/>
          <w:sz w:val="30"/>
          <w:szCs w:val="30"/>
          <w:lang w:val="es-ES"/>
        </w:rPr>
        <w:t>332-2S, 12-IX-2014; y, por el lit. c) num. 13 de la Disposición Reformatoria Segunda de la Ley s/n, R.O. 986-S, 18-IV-2017).- Oferta pública de valores es la propuesta dirigida al público en general, o a sectores específicos de éste, de acuerdo a las norma</w:t>
      </w:r>
      <w:r>
        <w:rPr>
          <w:rFonts w:eastAsia="Times New Roman"/>
          <w:sz w:val="30"/>
          <w:szCs w:val="30"/>
          <w:lang w:val="es-ES"/>
        </w:rPr>
        <w:t>s de carácter general que para el efecto dicte el C.N.V., con el propósito de negociar valores en el mercado. Tal oferta puede ser primaria o secundaria.</w:t>
      </w:r>
      <w:r>
        <w:rPr>
          <w:rFonts w:eastAsia="Times New Roman"/>
          <w:sz w:val="30"/>
          <w:szCs w:val="30"/>
          <w:lang w:val="es-ES"/>
        </w:rPr>
        <w:br/>
      </w:r>
      <w:r>
        <w:rPr>
          <w:rFonts w:eastAsia="Times New Roman"/>
          <w:sz w:val="30"/>
          <w:szCs w:val="30"/>
          <w:lang w:val="es-ES"/>
        </w:rPr>
        <w:br/>
        <w:t xml:space="preserve">Oferta pública primaria de valores, es la que se efectúa con el objeto de negociar, por primera vez, </w:t>
      </w:r>
      <w:r>
        <w:rPr>
          <w:rFonts w:eastAsia="Times New Roman"/>
          <w:sz w:val="30"/>
          <w:szCs w:val="30"/>
          <w:lang w:val="es-ES"/>
        </w:rPr>
        <w:t>en el mercado, valores emitidos para tal fin.</w:t>
      </w:r>
      <w:r>
        <w:rPr>
          <w:rFonts w:eastAsia="Times New Roman"/>
          <w:sz w:val="30"/>
          <w:szCs w:val="30"/>
          <w:lang w:val="es-ES"/>
        </w:rPr>
        <w:br/>
      </w:r>
      <w:r>
        <w:rPr>
          <w:rFonts w:eastAsia="Times New Roman"/>
          <w:sz w:val="30"/>
          <w:szCs w:val="30"/>
          <w:lang w:val="es-ES"/>
        </w:rPr>
        <w:br/>
        <w:t>Oferta pública secundaria de valores, es la que se efectúa con el objeto de negociar en el mercado, aquellos valores emitidos y colocados previamente.</w:t>
      </w:r>
      <w:r>
        <w:rPr>
          <w:rFonts w:eastAsia="Times New Roman"/>
          <w:sz w:val="30"/>
          <w:szCs w:val="30"/>
          <w:lang w:val="es-ES"/>
        </w:rPr>
        <w:br/>
      </w:r>
      <w:r>
        <w:rPr>
          <w:rFonts w:eastAsia="Times New Roman"/>
          <w:sz w:val="30"/>
          <w:szCs w:val="30"/>
          <w:lang w:val="es-ES"/>
        </w:rPr>
        <w:br/>
        <w:t>Los valores que se emitan para someterlos a un proceso de</w:t>
      </w:r>
      <w:r>
        <w:rPr>
          <w:rFonts w:eastAsia="Times New Roman"/>
          <w:sz w:val="30"/>
          <w:szCs w:val="30"/>
          <w:lang w:val="es-ES"/>
        </w:rPr>
        <w:t xml:space="preserve"> oferta pública deben ser desmaterializados, exceptuando los valores genéricos emitidos por el sector fi nanciero inscritos en el Catastro Público del Mercado de Valores que podrán ser títulos físicos o desmaterializados. Los valores que emitan las entidad</w:t>
      </w:r>
      <w:r>
        <w:rPr>
          <w:rFonts w:eastAsia="Times New Roman"/>
          <w:sz w:val="30"/>
          <w:szCs w:val="30"/>
          <w:lang w:val="es-ES"/>
        </w:rPr>
        <w:t>es del sector público podrán ser físicos si cuentan con la autorización de la Junta de Política y Regulación Monetaria y Financiera.</w:t>
      </w:r>
      <w:r>
        <w:rPr>
          <w:rFonts w:eastAsia="Times New Roman"/>
          <w:sz w:val="30"/>
          <w:szCs w:val="30"/>
          <w:lang w:val="es-ES"/>
        </w:rPr>
        <w:br/>
      </w:r>
      <w:r>
        <w:rPr>
          <w:rFonts w:eastAsia="Times New Roman"/>
          <w:sz w:val="30"/>
          <w:szCs w:val="30"/>
          <w:lang w:val="es-ES"/>
        </w:rPr>
        <w:br/>
        <w:t>La Superintendencia de Compañías y Valores tendrá la atribución exclusiva para autorizar las ofertas públicas de valores y</w:t>
      </w:r>
      <w:r>
        <w:rPr>
          <w:rFonts w:eastAsia="Times New Roman"/>
          <w:sz w:val="30"/>
          <w:szCs w:val="30"/>
          <w:lang w:val="es-ES"/>
        </w:rPr>
        <w:t xml:space="preserve"> la aprobación del contenido del prospecto o circular y de las emisiones realizadas por emisores sujetos a su control.</w:t>
      </w:r>
      <w:r>
        <w:rPr>
          <w:rFonts w:eastAsia="Times New Roman"/>
          <w:sz w:val="30"/>
          <w:szCs w:val="30"/>
          <w:lang w:val="es-ES"/>
        </w:rPr>
        <w:br/>
      </w:r>
      <w:r>
        <w:rPr>
          <w:rFonts w:eastAsia="Times New Roman"/>
          <w:sz w:val="30"/>
          <w:szCs w:val="30"/>
          <w:lang w:val="es-ES"/>
        </w:rPr>
        <w:br/>
        <w:t xml:space="preserve">En los procesos de oferta pública en los cuales el emisor sea una institución del sistema financiero o del sistema financiero popular y </w:t>
      </w:r>
      <w:r>
        <w:rPr>
          <w:rFonts w:eastAsia="Times New Roman"/>
          <w:sz w:val="30"/>
          <w:szCs w:val="30"/>
          <w:lang w:val="es-ES"/>
        </w:rPr>
        <w:t xml:space="preserve">solidario, se requerirá previamente la resolución aprobatoria de la </w:t>
      </w:r>
      <w:r>
        <w:rPr>
          <w:rFonts w:eastAsia="Times New Roman"/>
          <w:sz w:val="30"/>
          <w:szCs w:val="30"/>
          <w:lang w:val="es-ES"/>
        </w:rPr>
        <w:lastRenderedPageBreak/>
        <w:t>emisión, o el criterio positivo en el caso de titularizaciones, del respectivo órgano controlador, que deberá considerar especialmente el impacto que la emisión pueda tener en los indicado</w:t>
      </w:r>
      <w:r>
        <w:rPr>
          <w:rFonts w:eastAsia="Times New Roman"/>
          <w:sz w:val="30"/>
          <w:szCs w:val="30"/>
          <w:lang w:val="es-ES"/>
        </w:rPr>
        <w:t>res de cumplimiento obligatorio y en los estados financieros del emisor u originador de ese proceso. El órgano controlador de las instituciones financieras y de la economía popular y solidaria deberá pronunciarse dentro del término de quince días hábiles.</w:t>
      </w:r>
    </w:p>
    <w:p w:rsidR="00000000" w:rsidRDefault="0018461E">
      <w:pPr>
        <w:divId w:val="1967732098"/>
        <w:rPr>
          <w:rFonts w:eastAsia="Times New Roman"/>
          <w:sz w:val="30"/>
          <w:szCs w:val="30"/>
          <w:lang w:val="es-ES"/>
        </w:rPr>
      </w:pPr>
      <w:r>
        <w:rPr>
          <w:rFonts w:eastAsia="Times New Roman"/>
          <w:b/>
          <w:bCs/>
          <w:sz w:val="30"/>
          <w:szCs w:val="30"/>
          <w:lang w:val="es-ES"/>
        </w:rPr>
        <w:t>Art. 12.- De los requisitos</w:t>
      </w:r>
      <w:r>
        <w:rPr>
          <w:rFonts w:eastAsia="Times New Roman"/>
          <w:sz w:val="30"/>
          <w:szCs w:val="30"/>
          <w:lang w:val="es-ES"/>
        </w:rPr>
        <w:t xml:space="preserve">.- (Reformado por el lit. b del Art. 12 de la Ley s/n, R.O. 249-S, 20-V-2014; y, Reformado por la Disposición Reformatoria Décima Séptima, nums. 1, 2 y 3 del Código Orgánico Monetario y Financiero; R.O. 332-2S, 12-IX-2014).- ).- </w:t>
      </w:r>
      <w:r>
        <w:rPr>
          <w:rFonts w:eastAsia="Times New Roman"/>
          <w:sz w:val="30"/>
          <w:szCs w:val="30"/>
          <w:lang w:val="es-ES"/>
        </w:rPr>
        <w:t>Para poder efectuar una oferta pública de valores, previamente se deberá cumplir con los siguientes requisitos:</w:t>
      </w:r>
      <w:r>
        <w:rPr>
          <w:rFonts w:eastAsia="Times New Roman"/>
          <w:sz w:val="30"/>
          <w:szCs w:val="30"/>
          <w:lang w:val="es-ES"/>
        </w:rPr>
        <w:br/>
      </w:r>
      <w:r>
        <w:rPr>
          <w:rFonts w:eastAsia="Times New Roman"/>
          <w:sz w:val="30"/>
          <w:szCs w:val="30"/>
          <w:lang w:val="es-ES"/>
        </w:rPr>
        <w:br/>
        <w:t xml:space="preserve">1. Tener la calificación de riesgo para aquellos valores representativos de deuda o provenientes de procesos de titularización, de conformidad </w:t>
      </w:r>
      <w:r>
        <w:rPr>
          <w:rFonts w:eastAsia="Times New Roman"/>
          <w:sz w:val="30"/>
          <w:szCs w:val="30"/>
          <w:lang w:val="es-ES"/>
        </w:rPr>
        <w:t>al criterio de calificación establecido en esta Ley. Únicamente se exceptúa de esta calificación a los valores emitidos, avalados o garantizados por el Banco Central del Ecuador o el Ministerio de Economía y Finanzas, así como las acciones de compañías o s</w:t>
      </w:r>
      <w:r>
        <w:rPr>
          <w:rFonts w:eastAsia="Times New Roman"/>
          <w:sz w:val="30"/>
          <w:szCs w:val="30"/>
          <w:lang w:val="es-ES"/>
        </w:rPr>
        <w:t>ociedades anónimas, salvo que por disposición fundamentada lo disponga el C.N.V. para este último caso;</w:t>
      </w:r>
      <w:r>
        <w:rPr>
          <w:rFonts w:eastAsia="Times New Roman"/>
          <w:sz w:val="30"/>
          <w:szCs w:val="30"/>
          <w:lang w:val="es-ES"/>
        </w:rPr>
        <w:br/>
      </w:r>
      <w:r>
        <w:rPr>
          <w:rFonts w:eastAsia="Times New Roman"/>
          <w:sz w:val="30"/>
          <w:szCs w:val="30"/>
          <w:lang w:val="es-ES"/>
        </w:rPr>
        <w:br/>
        <w:t xml:space="preserve">2. Encontrarse inscrito en el Registro del Mercado de Valores tanto el emisor como los valores a ser emitidos por éste; </w:t>
      </w:r>
      <w:r>
        <w:rPr>
          <w:rFonts w:eastAsia="Times New Roman"/>
          <w:sz w:val="30"/>
          <w:szCs w:val="30"/>
          <w:lang w:val="es-ES"/>
        </w:rPr>
        <w:br/>
      </w:r>
      <w:r>
        <w:rPr>
          <w:rFonts w:eastAsia="Times New Roman"/>
          <w:sz w:val="30"/>
          <w:szCs w:val="30"/>
          <w:lang w:val="es-ES"/>
        </w:rPr>
        <w:br/>
        <w:t>3. Haber puesto en circulació</w:t>
      </w:r>
      <w:r>
        <w:rPr>
          <w:rFonts w:eastAsia="Times New Roman"/>
          <w:sz w:val="30"/>
          <w:szCs w:val="30"/>
          <w:lang w:val="es-ES"/>
        </w:rPr>
        <w:t>n un prospecto o circular de oferta pública que deberá ser aprobado por la Superintendencia de Compañías; y,</w:t>
      </w:r>
      <w:r>
        <w:rPr>
          <w:rFonts w:eastAsia="Times New Roman"/>
          <w:sz w:val="30"/>
          <w:szCs w:val="30"/>
          <w:lang w:val="es-ES"/>
        </w:rPr>
        <w:br/>
      </w:r>
      <w:r>
        <w:rPr>
          <w:rFonts w:eastAsia="Times New Roman"/>
          <w:sz w:val="30"/>
          <w:szCs w:val="30"/>
          <w:lang w:val="es-ES"/>
        </w:rPr>
        <w:br/>
        <w:t>4. (Agregado por el lit. a del Art. 12 de la Ley s/n, R.O. 249-S, 20-V-2014; y, reformado por la Disposición Reformatoria Décima Séptima, num. 2 d</w:t>
      </w:r>
      <w:r>
        <w:rPr>
          <w:rFonts w:eastAsia="Times New Roman"/>
          <w:sz w:val="30"/>
          <w:szCs w:val="30"/>
          <w:lang w:val="es-ES"/>
        </w:rPr>
        <w:t>el Código Orgánico Monetario y Financiero; R.O. 332-2S, 12-IX-2014).- Cumplir con los requisitos de estandarización de emisiones que para el efecto dicte la Junta de Política y Regulación Monetaria y Financiera.</w:t>
      </w:r>
      <w:r>
        <w:rPr>
          <w:rFonts w:eastAsia="Times New Roman"/>
          <w:sz w:val="30"/>
          <w:szCs w:val="30"/>
          <w:lang w:val="es-ES"/>
        </w:rPr>
        <w:br/>
      </w:r>
      <w:r>
        <w:rPr>
          <w:rFonts w:eastAsia="Times New Roman"/>
          <w:sz w:val="30"/>
          <w:szCs w:val="30"/>
          <w:lang w:val="es-ES"/>
        </w:rPr>
        <w:br/>
        <w:t>El ofrecimiento, anuncio o manifestación en</w:t>
      </w:r>
      <w:r>
        <w:rPr>
          <w:rFonts w:eastAsia="Times New Roman"/>
          <w:sz w:val="30"/>
          <w:szCs w:val="30"/>
          <w:lang w:val="es-ES"/>
        </w:rPr>
        <w:t xml:space="preserve"> cualquier forma o por cualquier medio de difusión, que a criterio de la autoridad tenga características de oferta pública de valores, pero no cuente con la </w:t>
      </w:r>
      <w:r>
        <w:rPr>
          <w:rFonts w:eastAsia="Times New Roman"/>
          <w:sz w:val="30"/>
          <w:szCs w:val="30"/>
          <w:lang w:val="es-ES"/>
        </w:rPr>
        <w:lastRenderedPageBreak/>
        <w:t>autorización de la Superintendencia de Compañías, Valores y Seguros podrá ser calificado como ofert</w:t>
      </w:r>
      <w:r>
        <w:rPr>
          <w:rFonts w:eastAsia="Times New Roman"/>
          <w:sz w:val="30"/>
          <w:szCs w:val="30"/>
          <w:lang w:val="es-ES"/>
        </w:rPr>
        <w:t>a pública por ésta y, calificada como tal el Superintendente de Compañías, Valores y Seguros podrá intervenir al oferente y ordenar la inmediata suspensión de esa propuesta.</w:t>
      </w:r>
      <w:r>
        <w:rPr>
          <w:rFonts w:eastAsia="Times New Roman"/>
          <w:sz w:val="30"/>
          <w:szCs w:val="30"/>
          <w:lang w:val="es-ES"/>
        </w:rPr>
        <w:br/>
      </w:r>
      <w:r>
        <w:rPr>
          <w:rFonts w:eastAsia="Times New Roman"/>
          <w:sz w:val="30"/>
          <w:szCs w:val="30"/>
          <w:lang w:val="es-ES"/>
        </w:rPr>
        <w:br/>
        <w:t>La Superintendencia de Compañías, Valores y Seguros procederá a la inscripción co</w:t>
      </w:r>
      <w:r>
        <w:rPr>
          <w:rFonts w:eastAsia="Times New Roman"/>
          <w:sz w:val="30"/>
          <w:szCs w:val="30"/>
          <w:lang w:val="es-ES"/>
        </w:rPr>
        <w:t>rrespondiente en el Registro del Mercado de Valores una vez que los emisores le hayan proporcionado la información completa, veraz, suficiente sobre su situación financiera y jurídica de conformidad con las normas que expida la Junta de Política y Regulaci</w:t>
      </w:r>
      <w:r>
        <w:rPr>
          <w:rFonts w:eastAsia="Times New Roman"/>
          <w:sz w:val="30"/>
          <w:szCs w:val="30"/>
          <w:lang w:val="es-ES"/>
        </w:rPr>
        <w:t>ón Monetaria y Financiera</w:t>
      </w:r>
      <w:r>
        <w:rPr>
          <w:rFonts w:eastAsia="Times New Roman"/>
          <w:sz w:val="30"/>
          <w:szCs w:val="30"/>
          <w:lang w:val="es-ES"/>
        </w:rPr>
        <w:br/>
      </w:r>
      <w:r>
        <w:rPr>
          <w:rFonts w:eastAsia="Times New Roman"/>
          <w:sz w:val="30"/>
          <w:szCs w:val="30"/>
          <w:lang w:val="es-ES"/>
        </w:rPr>
        <w:br/>
        <w:t>Para la oferta pública de los valores que se inscriban en el Registro Especial Bursátil REB administrado por las Bolsas de Valores, los requisitos serán aquellos que determine la Junta de Política y Regulación Monetaria y Financi</w:t>
      </w:r>
      <w:r>
        <w:rPr>
          <w:rFonts w:eastAsia="Times New Roman"/>
          <w:sz w:val="30"/>
          <w:szCs w:val="30"/>
          <w:lang w:val="es-ES"/>
        </w:rPr>
        <w:t>era para el efecto.</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 de la Función Ejecutiva, la denominación del Ministerio de Economía y Finanzas fue sustituida por l</w:t>
      </w:r>
      <w:r>
        <w:rPr>
          <w:rFonts w:eastAsia="Times New Roman"/>
          <w:i/>
          <w:iCs/>
          <w:sz w:val="30"/>
          <w:szCs w:val="30"/>
          <w:lang w:val="es-ES"/>
        </w:rPr>
        <w:t>a de Ministerio de Finanzas.</w:t>
      </w:r>
    </w:p>
    <w:p w:rsidR="00000000" w:rsidRDefault="0018461E">
      <w:pPr>
        <w:divId w:val="1250966699"/>
        <w:rPr>
          <w:rFonts w:eastAsia="Times New Roman"/>
          <w:sz w:val="30"/>
          <w:szCs w:val="30"/>
          <w:lang w:val="es-ES"/>
        </w:rPr>
      </w:pPr>
      <w:r>
        <w:rPr>
          <w:rFonts w:eastAsia="Times New Roman"/>
          <w:b/>
          <w:bCs/>
          <w:sz w:val="30"/>
          <w:szCs w:val="30"/>
          <w:lang w:val="es-ES"/>
        </w:rPr>
        <w:t xml:space="preserve">Art. 13.- Del prospecto.- </w:t>
      </w:r>
      <w:r>
        <w:rPr>
          <w:rFonts w:eastAsia="Times New Roman"/>
          <w:sz w:val="30"/>
          <w:szCs w:val="30"/>
          <w:lang w:val="es-ES"/>
        </w:rPr>
        <w:t>El prospecto es el documento que contiene las características concretas de los valores a ser emitidos y, en general, los datos e información relevantes respecto del emisor, de acuerdo con las normas de carácter general que al respecto expida el C.N.V. Este</w:t>
      </w:r>
      <w:r>
        <w:rPr>
          <w:rFonts w:eastAsia="Times New Roman"/>
          <w:sz w:val="30"/>
          <w:szCs w:val="30"/>
          <w:lang w:val="es-ES"/>
        </w:rPr>
        <w:t xml:space="preserve"> prospecto deberá ser aprobado por la Superintendencia de Compañías.</w:t>
      </w:r>
    </w:p>
    <w:p w:rsidR="00000000" w:rsidRDefault="0018461E">
      <w:pPr>
        <w:divId w:val="300042137"/>
        <w:rPr>
          <w:rFonts w:eastAsia="Times New Roman"/>
          <w:sz w:val="30"/>
          <w:szCs w:val="30"/>
          <w:lang w:val="es-ES"/>
        </w:rPr>
      </w:pPr>
      <w:r>
        <w:rPr>
          <w:rFonts w:eastAsia="Times New Roman"/>
          <w:b/>
          <w:bCs/>
          <w:sz w:val="30"/>
          <w:szCs w:val="30"/>
          <w:lang w:val="es-ES"/>
        </w:rPr>
        <w:t>Art. 14.- De la responsabilidad sobre la información</w:t>
      </w:r>
      <w:r>
        <w:rPr>
          <w:rFonts w:eastAsia="Times New Roman"/>
          <w:sz w:val="30"/>
          <w:szCs w:val="30"/>
          <w:lang w:val="es-ES"/>
        </w:rPr>
        <w:t>.- Los representantes legales de los emisores declararán bajo juramento que la información contenida en el prospecto o circular de ofer</w:t>
      </w:r>
      <w:r>
        <w:rPr>
          <w:rFonts w:eastAsia="Times New Roman"/>
          <w:sz w:val="30"/>
          <w:szCs w:val="30"/>
          <w:lang w:val="es-ES"/>
        </w:rPr>
        <w:t>ta pública es fidedigna, real y completa y serán penal y civilmente responsables, por cualquier falsedad u omisión contenida en ellas.</w:t>
      </w:r>
    </w:p>
    <w:p w:rsidR="00000000" w:rsidRDefault="0018461E">
      <w:pPr>
        <w:divId w:val="1196503686"/>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De la exclusión de responsabilidad de la Superintendencia de Compañías.-</w:t>
      </w:r>
      <w:r>
        <w:rPr>
          <w:rFonts w:eastAsia="Times New Roman"/>
          <w:sz w:val="30"/>
          <w:szCs w:val="30"/>
          <w:lang w:val="es-ES"/>
        </w:rPr>
        <w:t xml:space="preserve"> En todo prospecto de oferta pública de</w:t>
      </w:r>
      <w:r>
        <w:rPr>
          <w:rFonts w:eastAsia="Times New Roman"/>
          <w:sz w:val="30"/>
          <w:szCs w:val="30"/>
          <w:lang w:val="es-ES"/>
        </w:rPr>
        <w:t xml:space="preserve">berá hacerse mención expresa de que su aprobación no implica de parte de la Superintendencia de Compañías ni de los miembros del C.N.V., recomendación alguna para la suscripción o adquisición de valores, ni pronunciamiento en sentido alguno sobre su </w:t>
      </w:r>
      <w:r>
        <w:rPr>
          <w:rFonts w:eastAsia="Times New Roman"/>
          <w:sz w:val="30"/>
          <w:szCs w:val="30"/>
          <w:lang w:val="es-ES"/>
        </w:rPr>
        <w:lastRenderedPageBreak/>
        <w:t>precio</w:t>
      </w:r>
      <w:r>
        <w:rPr>
          <w:rFonts w:eastAsia="Times New Roman"/>
          <w:sz w:val="30"/>
          <w:szCs w:val="30"/>
          <w:lang w:val="es-ES"/>
        </w:rPr>
        <w:t>, la solvencia de la entidad emisora, el riesgo o rentabilidad de la emisión.</w:t>
      </w:r>
    </w:p>
    <w:p w:rsidR="00000000" w:rsidRDefault="0018461E">
      <w:pPr>
        <w:divId w:val="1395616460"/>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Exenciones a los requisitos de oferta pública.-</w:t>
      </w:r>
      <w:r>
        <w:rPr>
          <w:rFonts w:eastAsia="Times New Roman"/>
          <w:sz w:val="30"/>
          <w:szCs w:val="30"/>
          <w:lang w:val="es-ES"/>
        </w:rPr>
        <w:t xml:space="preserve"> El C.N.V. mediante resolución fundamentada podrá eximir del cumplimiento de alguno de los requisitos de oferta pública d</w:t>
      </w:r>
      <w:r>
        <w:rPr>
          <w:rFonts w:eastAsia="Times New Roman"/>
          <w:sz w:val="30"/>
          <w:szCs w:val="30"/>
          <w:lang w:val="es-ES"/>
        </w:rPr>
        <w:t>e valores si se tratara únicamente de procesos de desinversión del Estado, cuando el monto a negociarse no sobrepase del 1% del capital pagado del emisor.</w:t>
      </w:r>
      <w:r>
        <w:rPr>
          <w:rFonts w:eastAsia="Times New Roman"/>
          <w:sz w:val="30"/>
          <w:szCs w:val="30"/>
          <w:lang w:val="es-ES"/>
        </w:rPr>
        <w:br/>
      </w:r>
      <w:r>
        <w:rPr>
          <w:rFonts w:eastAsia="Times New Roman"/>
          <w:sz w:val="30"/>
          <w:szCs w:val="30"/>
          <w:lang w:val="es-ES"/>
        </w:rPr>
        <w:br/>
        <w:t xml:space="preserve">Los emisores que se encuentren en proceso de liquidación no podrán hacer oferta pública de valores, </w:t>
      </w:r>
      <w:r>
        <w:rPr>
          <w:rFonts w:eastAsia="Times New Roman"/>
          <w:sz w:val="30"/>
          <w:szCs w:val="30"/>
          <w:lang w:val="es-ES"/>
        </w:rPr>
        <w:t>excepto si se tratare de propias acciones, de acuerdo con las normas generales que expida el C.N.V.</w:t>
      </w:r>
    </w:p>
    <w:p w:rsidR="00000000" w:rsidRDefault="0018461E">
      <w:pPr>
        <w:divId w:val="1303461616"/>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Suspensión o cancelación de oferta pública.- (</w:t>
      </w:r>
      <w:r>
        <w:rPr>
          <w:rFonts w:eastAsia="Times New Roman"/>
          <w:sz w:val="30"/>
          <w:szCs w:val="30"/>
          <w:lang w:val="es-ES"/>
        </w:rPr>
        <w:t>Reformado por la Disposición Reformatoria Décima Séptima, num. 1 del Código Orgánico Monetario y Fin</w:t>
      </w:r>
      <w:r>
        <w:rPr>
          <w:rFonts w:eastAsia="Times New Roman"/>
          <w:sz w:val="30"/>
          <w:szCs w:val="30"/>
          <w:lang w:val="es-ES"/>
        </w:rPr>
        <w:t>anciero; R.O. 332-2S, 12-IX-2014).- La Superintendencia de Compañías, mediante resolución fundamentada, podrá suspender o cancelar una oferta pública, cuando se presenten indicios de que en las negociaciones, objeto de la oferta, se ha procedido en forma f</w:t>
      </w:r>
      <w:r>
        <w:rPr>
          <w:rFonts w:eastAsia="Times New Roman"/>
          <w:sz w:val="30"/>
          <w:szCs w:val="30"/>
          <w:lang w:val="es-ES"/>
        </w:rPr>
        <w:t>raudulenta o si la información proporcionada no cumple los requisitos de esta Ley, es insuficiente o no refleja adecuadamente la situación económica, financiera y legal del emisor. De igual manera podrá disponer la cancelación en los casos previstos en los</w:t>
      </w:r>
      <w:r>
        <w:rPr>
          <w:rFonts w:eastAsia="Times New Roman"/>
          <w:sz w:val="30"/>
          <w:szCs w:val="30"/>
          <w:lang w:val="es-ES"/>
        </w:rPr>
        <w:t xml:space="preserve"> artículos 22 y 23 de esta Ley.</w:t>
      </w:r>
      <w:r>
        <w:rPr>
          <w:rFonts w:eastAsia="Times New Roman"/>
          <w:sz w:val="30"/>
          <w:szCs w:val="30"/>
          <w:lang w:val="es-ES"/>
        </w:rPr>
        <w:br/>
      </w:r>
      <w:r>
        <w:rPr>
          <w:rFonts w:eastAsia="Times New Roman"/>
          <w:sz w:val="30"/>
          <w:szCs w:val="30"/>
          <w:lang w:val="es-ES"/>
        </w:rPr>
        <w:br/>
        <w:t>La suspensión será hasta por treinta días. Transcurrido dicho plazo si subsisten los hechos o circunstancias mencionados en el inciso anterior, la Superintendencia de Compañías podrá cancelar la inscripción del respectivo v</w:t>
      </w:r>
      <w:r>
        <w:rPr>
          <w:rFonts w:eastAsia="Times New Roman"/>
          <w:sz w:val="30"/>
          <w:szCs w:val="30"/>
          <w:lang w:val="es-ES"/>
        </w:rPr>
        <w:t>alor en el Catstro Público del Mercado de Valores. Si se presume fraude o falsedad en la información proporcionada, se cancelará la inscripción del emisor, sin perjuicio de las acciones y sanciones a que hubiere lugar.</w:t>
      </w:r>
    </w:p>
    <w:p w:rsidR="00000000"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OFERTA PÚBLICA DE ADQUIS</w:t>
      </w:r>
      <w:r>
        <w:rPr>
          <w:rFonts w:eastAsia="Times New Roman"/>
          <w:b/>
          <w:bCs/>
          <w:sz w:val="36"/>
          <w:szCs w:val="36"/>
          <w:lang w:val="es-ES"/>
        </w:rPr>
        <w:t>ICIÓN</w:t>
      </w:r>
    </w:p>
    <w:p w:rsidR="00000000" w:rsidRDefault="0018461E">
      <w:pPr>
        <w:jc w:val="center"/>
        <w:divId w:val="463084615"/>
        <w:rPr>
          <w:rFonts w:eastAsia="Times New Roman"/>
          <w:sz w:val="30"/>
          <w:szCs w:val="30"/>
          <w:lang w:val="es-ES"/>
        </w:rPr>
      </w:pPr>
      <w:r>
        <w:rPr>
          <w:rFonts w:eastAsia="Times New Roman"/>
          <w:b/>
          <w:bCs/>
          <w:sz w:val="30"/>
          <w:szCs w:val="30"/>
          <w:lang w:val="es-ES"/>
        </w:rPr>
        <w:t>(Agregado por el Art. 13 de la Ley s/n, R.O. 249-S, 20-V-2014)</w:t>
      </w:r>
    </w:p>
    <w:p w:rsidR="00000000" w:rsidRDefault="0018461E">
      <w:pPr>
        <w:divId w:val="165964636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Concepto.- </w:t>
      </w:r>
      <w:r>
        <w:rPr>
          <w:rFonts w:eastAsia="Times New Roman"/>
          <w:sz w:val="30"/>
          <w:szCs w:val="30"/>
          <w:lang w:val="es-ES"/>
        </w:rPr>
        <w:t>(Reformado por la Disposición Reformatoria Décima Séptima, num. 3 del Código Orgánico Monetario y Financiero; R.O. 332-2S, 12-IX-2014).-</w:t>
      </w:r>
      <w:r>
        <w:rPr>
          <w:rFonts w:eastAsia="Times New Roman"/>
          <w:b/>
          <w:bCs/>
          <w:sz w:val="30"/>
          <w:szCs w:val="30"/>
          <w:lang w:val="es-ES"/>
        </w:rPr>
        <w:t xml:space="preserve"> </w:t>
      </w:r>
      <w:r>
        <w:rPr>
          <w:rFonts w:eastAsia="Times New Roman"/>
          <w:sz w:val="30"/>
          <w:szCs w:val="30"/>
          <w:lang w:val="es-ES"/>
        </w:rPr>
        <w:t xml:space="preserve">Es la oferta pública efectuada </w:t>
      </w:r>
      <w:r>
        <w:rPr>
          <w:rFonts w:eastAsia="Times New Roman"/>
          <w:sz w:val="30"/>
          <w:szCs w:val="30"/>
          <w:lang w:val="es-ES"/>
        </w:rPr>
        <w:t xml:space="preserve">por una persona natural o jurídica, sola o en conjunto con otras personas, para adquirir acciones u obligaciones convertibles en </w:t>
      </w:r>
      <w:r>
        <w:rPr>
          <w:rFonts w:eastAsia="Times New Roman"/>
          <w:sz w:val="30"/>
          <w:szCs w:val="30"/>
          <w:lang w:val="es-ES"/>
        </w:rPr>
        <w:lastRenderedPageBreak/>
        <w:t>acciones, o ambas, de una compañía inscrita en bolsa, en condiciones que permitan a los adquirentes alcanzar su toma de control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Para la aplicación de lo previsto en este Título, se entenderá como toma de control a la capacidad de dirigir las actividades de determinada sociedad, ya sea directa e indirectamente, a través de la posesión o representación en el capital de la misma.</w:t>
      </w:r>
      <w:r>
        <w:rPr>
          <w:rFonts w:eastAsia="Times New Roman"/>
          <w:sz w:val="30"/>
          <w:szCs w:val="30"/>
          <w:lang w:val="es-ES"/>
        </w:rPr>
        <w:br/>
      </w:r>
      <w:r>
        <w:rPr>
          <w:rFonts w:eastAsia="Times New Roman"/>
          <w:sz w:val="30"/>
          <w:szCs w:val="30"/>
          <w:lang w:val="es-ES"/>
        </w:rPr>
        <w:br/>
      </w:r>
      <w:r>
        <w:rPr>
          <w:rFonts w:eastAsia="Times New Roman"/>
          <w:sz w:val="30"/>
          <w:szCs w:val="30"/>
          <w:lang w:val="es-ES"/>
        </w:rPr>
        <w:t>Cuando en este Título se haga referencia a acciones como objeto de la oferta pública, se entenderá también a obligaciones convertibles en acciones.</w:t>
      </w:r>
      <w:r>
        <w:rPr>
          <w:rFonts w:eastAsia="Times New Roman"/>
          <w:sz w:val="30"/>
          <w:szCs w:val="30"/>
          <w:lang w:val="es-ES"/>
        </w:rPr>
        <w:br/>
      </w:r>
      <w:r>
        <w:rPr>
          <w:rFonts w:eastAsia="Times New Roman"/>
          <w:sz w:val="30"/>
          <w:szCs w:val="30"/>
          <w:lang w:val="es-ES"/>
        </w:rPr>
        <w:br/>
        <w:t>Las personas naturales o jurídicas que efectúen ofertas públicas de adquisición de acciones quedarán sujeta</w:t>
      </w:r>
      <w:r>
        <w:rPr>
          <w:rFonts w:eastAsia="Times New Roman"/>
          <w:sz w:val="30"/>
          <w:szCs w:val="30"/>
          <w:lang w:val="es-ES"/>
        </w:rPr>
        <w:t>s, en relación con esas ofertas, a la vigilancia y control de la Superintendencia de Compañías, Valores y Seguros.</w:t>
      </w:r>
    </w:p>
    <w:p w:rsidR="00000000" w:rsidRDefault="0018461E">
      <w:pPr>
        <w:divId w:val="116825535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Ofertas públicas obligatorias de adquisición de acciones.-</w:t>
      </w:r>
      <w:r>
        <w:rPr>
          <w:rFonts w:eastAsia="Times New Roman"/>
          <w:sz w:val="30"/>
          <w:szCs w:val="30"/>
          <w:lang w:val="es-ES"/>
        </w:rPr>
        <w:t xml:space="preserve"> (Reformado por la Disposición Reformatoria Décima Séptima, num. 2 del Códi</w:t>
      </w:r>
      <w:r>
        <w:rPr>
          <w:rFonts w:eastAsia="Times New Roman"/>
          <w:sz w:val="30"/>
          <w:szCs w:val="30"/>
          <w:lang w:val="es-ES"/>
        </w:rPr>
        <w:t>go Orgánico Monetario y Financiero; R.O. 332-2S, 12-IX-2014).- Deben someterse al procedimiento de oferta pública contemplado en este Título, las adquisiciones de acciones o obligaciones convertibles en acciones que permitan tomar el control de una socieda</w:t>
      </w:r>
      <w:r>
        <w:rPr>
          <w:rFonts w:eastAsia="Times New Roman"/>
          <w:sz w:val="30"/>
          <w:szCs w:val="30"/>
          <w:lang w:val="es-ES"/>
        </w:rPr>
        <w:t>d, en un solo acto o en actos sucesivos, o que permitan a una persona o grupo de personas adquirir directa o indirectamente una participación significativa de las acciones con derecho a voto en una determinada compañía.</w:t>
      </w:r>
      <w:r>
        <w:rPr>
          <w:rFonts w:eastAsia="Times New Roman"/>
          <w:sz w:val="30"/>
          <w:szCs w:val="30"/>
          <w:lang w:val="es-ES"/>
        </w:rPr>
        <w:br/>
      </w:r>
      <w:r>
        <w:rPr>
          <w:rFonts w:eastAsia="Times New Roman"/>
          <w:sz w:val="30"/>
          <w:szCs w:val="30"/>
          <w:lang w:val="es-ES"/>
        </w:rPr>
        <w:br/>
        <w:t>La participación significativa es a</w:t>
      </w:r>
      <w:r>
        <w:rPr>
          <w:rFonts w:eastAsia="Times New Roman"/>
          <w:sz w:val="30"/>
          <w:szCs w:val="30"/>
          <w:lang w:val="es-ES"/>
        </w:rPr>
        <w:t>quella que permite por sí sola la toma de decisiones en la administración de la compañía.</w:t>
      </w:r>
      <w:r>
        <w:rPr>
          <w:rFonts w:eastAsia="Times New Roman"/>
          <w:sz w:val="30"/>
          <w:szCs w:val="30"/>
          <w:lang w:val="es-ES"/>
        </w:rPr>
        <w:br/>
      </w:r>
      <w:r>
        <w:rPr>
          <w:rFonts w:eastAsia="Times New Roman"/>
          <w:sz w:val="30"/>
          <w:szCs w:val="30"/>
          <w:lang w:val="es-ES"/>
        </w:rPr>
        <w:br/>
        <w:t xml:space="preserve">La Junta de Política y Regulación Monetaria y Financiera regulará otros casos que deben someterse a oferta pública obligatoria de adquisición de acciones, entre las </w:t>
      </w:r>
      <w:r>
        <w:rPr>
          <w:rFonts w:eastAsia="Times New Roman"/>
          <w:sz w:val="30"/>
          <w:szCs w:val="30"/>
          <w:lang w:val="es-ES"/>
        </w:rPr>
        <w:t>cuales constará la oferta pública de adquisición (OPA), de acciones por exclusión de negociación.</w:t>
      </w:r>
    </w:p>
    <w:p w:rsidR="00000000" w:rsidRDefault="0018461E">
      <w:pPr>
        <w:divId w:val="156475308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Prohibición.- </w:t>
      </w:r>
      <w:r>
        <w:rPr>
          <w:rFonts w:eastAsia="Times New Roman"/>
          <w:sz w:val="30"/>
          <w:szCs w:val="30"/>
          <w:lang w:val="es-ES"/>
        </w:rPr>
        <w:t>El accionista que haya tomado el control de una sociedad no podrá, dentro de los doce meses contados desde la fecha de esta operación, a</w:t>
      </w:r>
      <w:r>
        <w:rPr>
          <w:rFonts w:eastAsia="Times New Roman"/>
          <w:sz w:val="30"/>
          <w:szCs w:val="30"/>
          <w:lang w:val="es-ES"/>
        </w:rPr>
        <w:t>dquirir acciones de ella a un precio unitario por acción inferior al pagado en la operación de toma de control.</w:t>
      </w:r>
    </w:p>
    <w:p w:rsidR="00000000" w:rsidRDefault="0018461E">
      <w:pPr>
        <w:divId w:val="204743985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Limitación de negociaciones.- </w:t>
      </w:r>
      <w:r>
        <w:rPr>
          <w:rFonts w:eastAsia="Times New Roman"/>
          <w:sz w:val="30"/>
          <w:szCs w:val="30"/>
          <w:lang w:val="es-ES"/>
        </w:rPr>
        <w:t xml:space="preserve">Si dentro del plazo de treinta días anteriores a la vigencia de la oferta, el oferente directa o </w:t>
      </w:r>
      <w:r>
        <w:rPr>
          <w:rFonts w:eastAsia="Times New Roman"/>
          <w:sz w:val="30"/>
          <w:szCs w:val="30"/>
          <w:lang w:val="es-ES"/>
        </w:rPr>
        <w:lastRenderedPageBreak/>
        <w:t>indirectamente, hubiera adquirido las mismas acciones comprendidas en la oferta, en condiciones de precio más beneficiosas que las contempladas en ésta, los ac</w:t>
      </w:r>
      <w:r>
        <w:rPr>
          <w:rFonts w:eastAsia="Times New Roman"/>
          <w:sz w:val="30"/>
          <w:szCs w:val="30"/>
          <w:lang w:val="es-ES"/>
        </w:rPr>
        <w:t>cionistas que le hubieren vendido antes de la oferta pública de adquisición, tendrán derecho a exigir la diferencia de precio o el beneficio de que se trate.</w:t>
      </w:r>
      <w:r>
        <w:rPr>
          <w:rFonts w:eastAsia="Times New Roman"/>
          <w:sz w:val="30"/>
          <w:szCs w:val="30"/>
          <w:lang w:val="es-ES"/>
        </w:rPr>
        <w:br/>
      </w:r>
      <w:r>
        <w:rPr>
          <w:rFonts w:eastAsia="Times New Roman"/>
          <w:sz w:val="30"/>
          <w:szCs w:val="30"/>
          <w:lang w:val="es-ES"/>
        </w:rPr>
        <w:br/>
        <w:t xml:space="preserve">Durante el período de vigencia de la oferta, el oferente no podrá adquirir acciones objeto de la </w:t>
      </w:r>
      <w:r>
        <w:rPr>
          <w:rFonts w:eastAsia="Times New Roman"/>
          <w:sz w:val="30"/>
          <w:szCs w:val="30"/>
          <w:lang w:val="es-ES"/>
        </w:rPr>
        <w:t>oferta, sino a través del procedimiento establecido en este Título.</w:t>
      </w:r>
    </w:p>
    <w:p w:rsidR="00000000" w:rsidRDefault="0018461E">
      <w:pPr>
        <w:divId w:val="168894114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Obligación de información.- </w:t>
      </w:r>
      <w:r>
        <w:rPr>
          <w:rFonts w:eastAsia="Times New Roman"/>
          <w:sz w:val="30"/>
          <w:szCs w:val="30"/>
          <w:lang w:val="es-ES"/>
        </w:rPr>
        <w:t>(Reformado por la Disposición Reformatoria Décima Séptima, num. 2 del Código Orgánico Monetario y Financiero; R.O. 332-2S, 12-IX-2014).- El órgano de co</w:t>
      </w:r>
      <w:r>
        <w:rPr>
          <w:rFonts w:eastAsia="Times New Roman"/>
          <w:sz w:val="30"/>
          <w:szCs w:val="30"/>
          <w:lang w:val="es-ES"/>
        </w:rPr>
        <w:t>ntrol autorizará la OPA una vez cumplidos los requisitos establecidos en esta Ley. En todo caso se deberá contar con el pronunciamiento previo favorable del órgano de control del poder de mercado.</w:t>
      </w:r>
      <w:r>
        <w:rPr>
          <w:rFonts w:eastAsia="Times New Roman"/>
          <w:sz w:val="30"/>
          <w:szCs w:val="30"/>
          <w:lang w:val="es-ES"/>
        </w:rPr>
        <w:br/>
      </w:r>
      <w:r>
        <w:rPr>
          <w:rFonts w:eastAsia="Times New Roman"/>
          <w:sz w:val="30"/>
          <w:szCs w:val="30"/>
          <w:lang w:val="es-ES"/>
        </w:rPr>
        <w:br/>
        <w:t xml:space="preserve">La Junta de Política y Regulación Monetaria y Financiera, </w:t>
      </w:r>
      <w:r>
        <w:rPr>
          <w:rFonts w:eastAsia="Times New Roman"/>
          <w:sz w:val="30"/>
          <w:szCs w:val="30"/>
          <w:lang w:val="es-ES"/>
        </w:rPr>
        <w:t>mediante norma de carácter general, establecerá el procedimiento para la autorización de una OPA, su desarrollo, culminación, mecanismo de transferencia de las acciones, y normas conexas.</w:t>
      </w:r>
      <w:r>
        <w:rPr>
          <w:rFonts w:eastAsia="Times New Roman"/>
          <w:sz w:val="30"/>
          <w:szCs w:val="30"/>
          <w:lang w:val="es-ES"/>
        </w:rPr>
        <w:br/>
      </w:r>
      <w:r>
        <w:rPr>
          <w:rFonts w:eastAsia="Times New Roman"/>
          <w:sz w:val="30"/>
          <w:szCs w:val="30"/>
          <w:lang w:val="es-ES"/>
        </w:rPr>
        <w:br/>
        <w:t>En el caso de que el órgano de control detecte que no se cumplieron</w:t>
      </w:r>
      <w:r>
        <w:rPr>
          <w:rFonts w:eastAsia="Times New Roman"/>
          <w:sz w:val="30"/>
          <w:szCs w:val="30"/>
          <w:lang w:val="es-ES"/>
        </w:rPr>
        <w:t xml:space="preserve"> las disposiciones relativas a la oferta pública de adquisición, o que en ella se hayan transgredido disposiciones de esta Ley y demás normas complementarias, dispondrá la suspensión o cancelación de la misma.</w:t>
      </w:r>
    </w:p>
    <w:p w:rsidR="00000000" w:rsidRDefault="0018461E">
      <w:pPr>
        <w:divId w:val="106483624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Ofertas competidoras.- </w:t>
      </w:r>
      <w:r>
        <w:rPr>
          <w:rFonts w:eastAsia="Times New Roman"/>
          <w:sz w:val="30"/>
          <w:szCs w:val="30"/>
          <w:lang w:val="es-ES"/>
        </w:rPr>
        <w:t xml:space="preserve">(Reformado por </w:t>
      </w:r>
      <w:r>
        <w:rPr>
          <w:rFonts w:eastAsia="Times New Roman"/>
          <w:sz w:val="30"/>
          <w:szCs w:val="30"/>
          <w:lang w:val="es-ES"/>
        </w:rPr>
        <w:t>la Disposición Reformatoria Décima Séptima, num. 2 del Código Orgánico Monetario y Financiero; R.O. 332-2S, 12-IX-2014).- Durante la vigencia de una oferta pública de adquisición de acciones, podrán presentarse otras ofertas públicas de adquisición de acci</w:t>
      </w:r>
      <w:r>
        <w:rPr>
          <w:rFonts w:eastAsia="Times New Roman"/>
          <w:sz w:val="30"/>
          <w:szCs w:val="30"/>
          <w:lang w:val="es-ES"/>
        </w:rPr>
        <w:t>ones respecto de las mismas acciones a que se refieren las disposiciones anteriores.</w:t>
      </w:r>
      <w:r>
        <w:rPr>
          <w:rFonts w:eastAsia="Times New Roman"/>
          <w:sz w:val="30"/>
          <w:szCs w:val="30"/>
          <w:lang w:val="es-ES"/>
        </w:rPr>
        <w:br/>
      </w:r>
      <w:r>
        <w:rPr>
          <w:rFonts w:eastAsia="Times New Roman"/>
          <w:sz w:val="30"/>
          <w:szCs w:val="30"/>
          <w:lang w:val="es-ES"/>
        </w:rPr>
        <w:br/>
        <w:t>Estas ofertas públicas de adquisición de acciones se regirán por las normas de este Título y aquellas que determine la Junta de Política y Regulación Monetaria y Financie</w:t>
      </w:r>
      <w:r>
        <w:rPr>
          <w:rFonts w:eastAsia="Times New Roman"/>
          <w:sz w:val="30"/>
          <w:szCs w:val="30"/>
          <w:lang w:val="es-ES"/>
        </w:rPr>
        <w:t>ra</w:t>
      </w:r>
    </w:p>
    <w:p w:rsidR="00000000" w:rsidRDefault="0018461E">
      <w:pPr>
        <w:divId w:val="158853840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Restricciones y obligaciones para las compañías cuyas acciones son objeto de ofertas públicas de adquisición.-</w:t>
      </w:r>
      <w:r>
        <w:rPr>
          <w:rFonts w:eastAsia="Times New Roman"/>
          <w:sz w:val="30"/>
          <w:szCs w:val="30"/>
          <w:lang w:val="es-ES"/>
        </w:rPr>
        <w:t xml:space="preserve"> (Reformado por la Disposición Reformatoria Décima Séptima, num. 2 del Código Orgánico Monetario y Financiero; R.O. 332-2S, 12-IX-</w:t>
      </w:r>
      <w:r>
        <w:rPr>
          <w:rFonts w:eastAsia="Times New Roman"/>
          <w:sz w:val="30"/>
          <w:szCs w:val="30"/>
          <w:lang w:val="es-ES"/>
        </w:rPr>
        <w:lastRenderedPageBreak/>
        <w:t>2014)</w:t>
      </w:r>
      <w:r>
        <w:rPr>
          <w:rFonts w:eastAsia="Times New Roman"/>
          <w:sz w:val="30"/>
          <w:szCs w:val="30"/>
          <w:lang w:val="es-ES"/>
        </w:rPr>
        <w:t>.-Como resultado del anuncio de una oferta pública de adquisición de acciones, tanto la sociedad cuyas acciones son objeto de la misma, como los miembros de su directorio, representantes legales, apoderados y altos ejecutivos con capacidad de toma de decis</w:t>
      </w:r>
      <w:r>
        <w:rPr>
          <w:rFonts w:eastAsia="Times New Roman"/>
          <w:sz w:val="30"/>
          <w:szCs w:val="30"/>
          <w:lang w:val="es-ES"/>
        </w:rPr>
        <w:t>iones en la empresa, según corresponda, no podrán, durante toda la vigencia de dicha oferta, adquirir esas acciones o resolver la creación de sociedades filiales, fusiones, escisiones y otras actividades que mediante regulación determine la Junta de Políti</w:t>
      </w:r>
      <w:r>
        <w:rPr>
          <w:rFonts w:eastAsia="Times New Roman"/>
          <w:sz w:val="30"/>
          <w:szCs w:val="30"/>
          <w:lang w:val="es-ES"/>
        </w:rPr>
        <w:t>ca y Regulación Monetaria y Financiera</w:t>
      </w:r>
    </w:p>
    <w:p w:rsidR="00000000" w:rsidRDefault="0018461E">
      <w:pPr>
        <w:divId w:val="62812391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Irrevocabilidad.-</w:t>
      </w:r>
      <w:r>
        <w:rPr>
          <w:rFonts w:eastAsia="Times New Roman"/>
          <w:sz w:val="30"/>
          <w:szCs w:val="30"/>
          <w:lang w:val="es-ES"/>
        </w:rPr>
        <w:t xml:space="preserve"> (Reformado por la Disposición Reformatoria Décima Séptima, num. 2 del Código Orgánico Monetario y Financiero; R.O. 332-2S, 12-IX-2014).- Las ofertas públicas de adquisición de acciones serán </w:t>
      </w:r>
      <w:r>
        <w:rPr>
          <w:rFonts w:eastAsia="Times New Roman"/>
          <w:sz w:val="30"/>
          <w:szCs w:val="30"/>
          <w:lang w:val="es-ES"/>
        </w:rPr>
        <w:t>irrevocables. Sin perjuicio de ello, la persona natural o jurídica que efectúe la oferta pública de adquisición de acciones podrá contemplar causales objetivas de caducidad de su oferta, las que se incluirán en forma clara y destacada tanto en el aviso com</w:t>
      </w:r>
      <w:r>
        <w:rPr>
          <w:rFonts w:eastAsia="Times New Roman"/>
          <w:sz w:val="30"/>
          <w:szCs w:val="30"/>
          <w:lang w:val="es-ES"/>
        </w:rPr>
        <w:t>o en la circular de oferta pública de adquisición, definidos en la Ley y en las disposiciones que expida la Junta de Política y Regulación Monetaria y Financiera.</w:t>
      </w:r>
      <w:r>
        <w:rPr>
          <w:rFonts w:eastAsia="Times New Roman"/>
          <w:sz w:val="30"/>
          <w:szCs w:val="30"/>
          <w:lang w:val="es-ES"/>
        </w:rPr>
        <w:br/>
      </w:r>
      <w:r>
        <w:rPr>
          <w:rFonts w:eastAsia="Times New Roman"/>
          <w:sz w:val="30"/>
          <w:szCs w:val="30"/>
          <w:lang w:val="es-ES"/>
        </w:rPr>
        <w:br/>
        <w:t>Sin perjuicio de lo expuesto, las ofertas públicas de adquisición sólo podrán modificarse du</w:t>
      </w:r>
      <w:r>
        <w:rPr>
          <w:rFonts w:eastAsia="Times New Roman"/>
          <w:sz w:val="30"/>
          <w:szCs w:val="30"/>
          <w:lang w:val="es-ES"/>
        </w:rPr>
        <w:t>rante su vigencia para mejorar el precio ofrecido o para aumentar el número máximo de acciones que se ofreciere adquirir. Cualquier incremento en el precio favorecerá también a quienes hubieren aceptado la oferta de adquisición en su precio inicial.</w:t>
      </w:r>
    </w:p>
    <w:p w:rsidR="00000000" w:rsidRDefault="0018461E">
      <w:pPr>
        <w:divId w:val="1130591828"/>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w:t>
      </w:r>
      <w:r>
        <w:rPr>
          <w:rFonts w:eastAsia="Times New Roman"/>
          <w:b/>
          <w:bCs/>
          <w:sz w:val="30"/>
          <w:szCs w:val="30"/>
          <w:lang w:val="es-ES"/>
        </w:rPr>
        <w:t>De la garantía.-</w:t>
      </w:r>
      <w:r>
        <w:rPr>
          <w:rFonts w:eastAsia="Times New Roman"/>
          <w:sz w:val="30"/>
          <w:szCs w:val="30"/>
          <w:lang w:val="es-ES"/>
        </w:rPr>
        <w:t xml:space="preserve"> (Reformado por la Disposición Reformatoria Décima Séptima, num. 2 del Código Orgánico Monetario y Financiero; R.O. 332-2S, 12-IX-2014).- Deberá constituirse una garantía por un porcentaje del monto total de la oferta, que determine la Ju</w:t>
      </w:r>
      <w:r>
        <w:rPr>
          <w:rFonts w:eastAsia="Times New Roman"/>
          <w:sz w:val="30"/>
          <w:szCs w:val="30"/>
          <w:lang w:val="es-ES"/>
        </w:rPr>
        <w:t>nta de olítica y Regulación Monetaria y Financiera, mediante norma de carácter general, la misma que puede consistir en dinero o en valores emitidos o por emitirse. Esta garantía quedará en custodia de una institución financiera o de los depósitos centrali</w:t>
      </w:r>
      <w:r>
        <w:rPr>
          <w:rFonts w:eastAsia="Times New Roman"/>
          <w:sz w:val="30"/>
          <w:szCs w:val="30"/>
          <w:lang w:val="es-ES"/>
        </w:rPr>
        <w:t>zados de compensación y liquidación de valores.</w:t>
      </w:r>
    </w:p>
    <w:p w:rsidR="00000000" w:rsidRDefault="0018461E">
      <w:pPr>
        <w:divId w:val="47043944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De las excepciones.- </w:t>
      </w:r>
      <w:r>
        <w:rPr>
          <w:rFonts w:eastAsia="Times New Roman"/>
          <w:sz w:val="30"/>
          <w:szCs w:val="30"/>
          <w:lang w:val="es-ES"/>
        </w:rPr>
        <w:t>No procederá una oferta pública de adquisición de forma obligatoria en los siguientes casos:</w:t>
      </w:r>
      <w:r>
        <w:rPr>
          <w:rFonts w:eastAsia="Times New Roman"/>
          <w:sz w:val="30"/>
          <w:szCs w:val="30"/>
          <w:lang w:val="es-ES"/>
        </w:rPr>
        <w:br/>
      </w:r>
      <w:r>
        <w:rPr>
          <w:rFonts w:eastAsia="Times New Roman"/>
          <w:sz w:val="30"/>
          <w:szCs w:val="30"/>
          <w:lang w:val="es-ES"/>
        </w:rPr>
        <w:br/>
        <w:t>1. Por el ejercicio del derecho de preferencia;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La adquisición por oferta pública</w:t>
      </w:r>
      <w:r>
        <w:rPr>
          <w:rFonts w:eastAsia="Times New Roman"/>
          <w:sz w:val="30"/>
          <w:szCs w:val="30"/>
          <w:lang w:val="es-ES"/>
        </w:rPr>
        <w:t xml:space="preserve"> primaria;</w:t>
      </w:r>
      <w:r>
        <w:rPr>
          <w:rFonts w:eastAsia="Times New Roman"/>
          <w:sz w:val="30"/>
          <w:szCs w:val="30"/>
          <w:lang w:val="es-ES"/>
        </w:rPr>
        <w:br/>
      </w:r>
      <w:r>
        <w:rPr>
          <w:rFonts w:eastAsia="Times New Roman"/>
          <w:sz w:val="30"/>
          <w:szCs w:val="30"/>
          <w:lang w:val="es-ES"/>
        </w:rPr>
        <w:br/>
        <w:t>3. Por efecto de un contrato de prenda, si el acreedor es una institución del sistema financiero;</w:t>
      </w:r>
      <w:r>
        <w:rPr>
          <w:rFonts w:eastAsia="Times New Roman"/>
          <w:sz w:val="30"/>
          <w:szCs w:val="30"/>
          <w:lang w:val="es-ES"/>
        </w:rPr>
        <w:br/>
      </w:r>
      <w:r>
        <w:rPr>
          <w:rFonts w:eastAsia="Times New Roman"/>
          <w:sz w:val="30"/>
          <w:szCs w:val="30"/>
          <w:lang w:val="es-ES"/>
        </w:rPr>
        <w:br/>
        <w:t>4. Las adquisiciones provenientes de un aumento de capital por capitalización de cuentas patrimoniales;</w:t>
      </w:r>
      <w:r>
        <w:rPr>
          <w:rFonts w:eastAsia="Times New Roman"/>
          <w:sz w:val="30"/>
          <w:szCs w:val="30"/>
          <w:lang w:val="es-ES"/>
        </w:rPr>
        <w:br/>
      </w:r>
      <w:r>
        <w:rPr>
          <w:rFonts w:eastAsia="Times New Roman"/>
          <w:sz w:val="30"/>
          <w:szCs w:val="30"/>
          <w:lang w:val="es-ES"/>
        </w:rPr>
        <w:br/>
        <w:t>5. Las que provengan de casos de fusión;</w:t>
      </w:r>
      <w:r>
        <w:rPr>
          <w:rFonts w:eastAsia="Times New Roman"/>
          <w:sz w:val="30"/>
          <w:szCs w:val="30"/>
          <w:lang w:val="es-ES"/>
        </w:rPr>
        <w:br/>
      </w:r>
      <w:r>
        <w:rPr>
          <w:rFonts w:eastAsia="Times New Roman"/>
          <w:sz w:val="30"/>
          <w:szCs w:val="30"/>
          <w:lang w:val="es-ES"/>
        </w:rPr>
        <w:br/>
        <w:t>6. Las adquisiciones por causa de muerte;</w:t>
      </w:r>
      <w:r>
        <w:rPr>
          <w:rFonts w:eastAsia="Times New Roman"/>
          <w:sz w:val="30"/>
          <w:szCs w:val="30"/>
          <w:lang w:val="es-ES"/>
        </w:rPr>
        <w:br/>
      </w:r>
      <w:r>
        <w:rPr>
          <w:rFonts w:eastAsia="Times New Roman"/>
          <w:sz w:val="30"/>
          <w:szCs w:val="30"/>
          <w:lang w:val="es-ES"/>
        </w:rPr>
        <w:br/>
        <w:t>7. Las enajenaciones forzadas;</w:t>
      </w:r>
      <w:r>
        <w:rPr>
          <w:rFonts w:eastAsia="Times New Roman"/>
          <w:sz w:val="30"/>
          <w:szCs w:val="30"/>
          <w:lang w:val="es-ES"/>
        </w:rPr>
        <w:br/>
      </w:r>
      <w:r>
        <w:rPr>
          <w:rFonts w:eastAsia="Times New Roman"/>
          <w:sz w:val="30"/>
          <w:szCs w:val="30"/>
          <w:lang w:val="es-ES"/>
        </w:rPr>
        <w:br/>
        <w:t>8. Las acciones u obligaciones convertibles en acciones registrados en el Registro Especial Bursátil REB; y,</w:t>
      </w:r>
      <w:r>
        <w:rPr>
          <w:rFonts w:eastAsia="Times New Roman"/>
          <w:sz w:val="30"/>
          <w:szCs w:val="30"/>
          <w:lang w:val="es-ES"/>
        </w:rPr>
        <w:br/>
      </w:r>
      <w:r>
        <w:rPr>
          <w:rFonts w:eastAsia="Times New Roman"/>
          <w:sz w:val="30"/>
          <w:szCs w:val="30"/>
          <w:lang w:val="es-ES"/>
        </w:rPr>
        <w:br/>
        <w:t>9. En otros casos que establezca la Junta de Regulación mediante norm</w:t>
      </w:r>
      <w:r>
        <w:rPr>
          <w:rFonts w:eastAsia="Times New Roman"/>
          <w:sz w:val="30"/>
          <w:szCs w:val="30"/>
          <w:lang w:val="es-ES"/>
        </w:rPr>
        <w:t>a de carácter general.</w:t>
      </w:r>
    </w:p>
    <w:p w:rsidR="00000000" w:rsidRDefault="0018461E">
      <w:pPr>
        <w:divId w:val="96181317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Prohibiciones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No podrán ser destinatarios de la OPA las sociedades o personas que pertenezcan al mismo grupo económico del ofertante;</w:t>
      </w:r>
      <w:r>
        <w:rPr>
          <w:rFonts w:eastAsia="Times New Roman"/>
          <w:sz w:val="30"/>
          <w:szCs w:val="30"/>
          <w:lang w:val="es-ES"/>
        </w:rPr>
        <w:br/>
      </w:r>
      <w:r>
        <w:rPr>
          <w:rFonts w:eastAsia="Times New Roman"/>
          <w:sz w:val="30"/>
          <w:szCs w:val="30"/>
          <w:lang w:val="es-ES"/>
        </w:rPr>
        <w:br/>
        <w:t>2. El oferente no podrá disponer o realizar operaciones con valores de la compañía c</w:t>
      </w:r>
      <w:r>
        <w:rPr>
          <w:rFonts w:eastAsia="Times New Roman"/>
          <w:sz w:val="30"/>
          <w:szCs w:val="30"/>
          <w:lang w:val="es-ES"/>
        </w:rPr>
        <w:t>uyas acciones se pretende adquirir, durante la vigencia de la OPA;</w:t>
      </w:r>
      <w:r>
        <w:rPr>
          <w:rFonts w:eastAsia="Times New Roman"/>
          <w:sz w:val="30"/>
          <w:szCs w:val="30"/>
          <w:lang w:val="es-ES"/>
        </w:rPr>
        <w:br/>
      </w:r>
      <w:r>
        <w:rPr>
          <w:rFonts w:eastAsia="Times New Roman"/>
          <w:sz w:val="30"/>
          <w:szCs w:val="30"/>
          <w:lang w:val="es-ES"/>
        </w:rPr>
        <w:br/>
        <w:t>3. Los intermediarios autorizados deberán abstenerse de participar en operaciones que se realicen con infracción a las normas de las OPA; y,</w:t>
      </w:r>
      <w:r>
        <w:rPr>
          <w:rFonts w:eastAsia="Times New Roman"/>
          <w:sz w:val="30"/>
          <w:szCs w:val="30"/>
          <w:lang w:val="es-ES"/>
        </w:rPr>
        <w:br/>
      </w:r>
      <w:r>
        <w:rPr>
          <w:rFonts w:eastAsia="Times New Roman"/>
          <w:sz w:val="30"/>
          <w:szCs w:val="30"/>
          <w:lang w:val="es-ES"/>
        </w:rPr>
        <w:br/>
        <w:t>4. La compañía cuyas acciones se pretenden adq</w:t>
      </w:r>
      <w:r>
        <w:rPr>
          <w:rFonts w:eastAsia="Times New Roman"/>
          <w:sz w:val="30"/>
          <w:szCs w:val="30"/>
          <w:lang w:val="es-ES"/>
        </w:rPr>
        <w:t>uirir, deberá abstenerse durante la vigencia de la OPA de realizar cualquier acto fuera del giro de su negocio, cuya consecuencia sea afectar el desarrollo y éxito de la OPA.</w:t>
      </w:r>
    </w:p>
    <w:p w:rsidR="00000000" w:rsidRDefault="0018461E">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CATASTRO PÚBLICO DEL MERCADO DE VALORES</w:t>
      </w:r>
    </w:p>
    <w:p w:rsidR="00000000" w:rsidRDefault="0018461E">
      <w:pPr>
        <w:jc w:val="center"/>
        <w:divId w:val="1853911615"/>
        <w:rPr>
          <w:rFonts w:eastAsia="Times New Roman"/>
          <w:sz w:val="30"/>
          <w:szCs w:val="30"/>
          <w:lang w:val="es-ES"/>
        </w:rPr>
      </w:pPr>
      <w:r>
        <w:rPr>
          <w:rFonts w:eastAsia="Times New Roman"/>
          <w:b/>
          <w:bCs/>
          <w:sz w:val="30"/>
          <w:szCs w:val="30"/>
          <w:lang w:val="es-ES"/>
        </w:rPr>
        <w:lastRenderedPageBreak/>
        <w:t>(Reformado por la Disposici</w:t>
      </w:r>
      <w:r>
        <w:rPr>
          <w:rFonts w:eastAsia="Times New Roman"/>
          <w:b/>
          <w:bCs/>
          <w:sz w:val="30"/>
          <w:szCs w:val="30"/>
          <w:lang w:val="es-ES"/>
        </w:rPr>
        <w:t>ón Reformatoria Décima Séptima, num. 1 del Código Orgánico Monetario y Financiero; R.O. 332-2S, 12-IX-2014)</w:t>
      </w:r>
    </w:p>
    <w:p w:rsidR="00000000" w:rsidRDefault="0018461E">
      <w:pPr>
        <w:divId w:val="100035814"/>
        <w:rPr>
          <w:rFonts w:eastAsia="Times New Roman"/>
          <w:sz w:val="30"/>
          <w:szCs w:val="30"/>
          <w:lang w:val="es-ES"/>
        </w:rPr>
      </w:pPr>
      <w:r>
        <w:rPr>
          <w:rFonts w:eastAsia="Times New Roman"/>
          <w:b/>
          <w:bCs/>
          <w:sz w:val="30"/>
          <w:szCs w:val="30"/>
          <w:lang w:val="es-ES"/>
        </w:rPr>
        <w:t xml:space="preserve">Art. 18.- Del alcance y contenido.- </w:t>
      </w:r>
      <w:r>
        <w:rPr>
          <w:rFonts w:eastAsia="Times New Roman"/>
          <w:sz w:val="30"/>
          <w:szCs w:val="30"/>
          <w:lang w:val="es-ES"/>
        </w:rPr>
        <w:t>(Reformado por la Disposición Reformatoria Décima Séptima, num. 1 del Código Orgánico Monetario y Financiero; R.</w:t>
      </w:r>
      <w:r>
        <w:rPr>
          <w:rFonts w:eastAsia="Times New Roman"/>
          <w:sz w:val="30"/>
          <w:szCs w:val="30"/>
          <w:lang w:val="es-ES"/>
        </w:rPr>
        <w:t>O. 332-2S, 12-IX-2014).- Créase dentro de la Superintendencia de Compañías el Catastro Público del Mercado de Valores en el cual se inscribirá la información pública respecto de los emisores, los valores y las demás instituciones reguladas por esta Ley.</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inscripción en el Catstro Público del Mercado de Valores, constituye requisito previo para participar en los mercados bursátil y extrabursátil.</w:t>
      </w:r>
      <w:r>
        <w:rPr>
          <w:rFonts w:eastAsia="Times New Roman"/>
          <w:sz w:val="30"/>
          <w:szCs w:val="30"/>
          <w:lang w:val="es-ES"/>
        </w:rPr>
        <w:br/>
      </w:r>
      <w:r>
        <w:rPr>
          <w:rFonts w:eastAsia="Times New Roman"/>
          <w:sz w:val="30"/>
          <w:szCs w:val="30"/>
          <w:lang w:val="es-ES"/>
        </w:rPr>
        <w:br/>
        <w:t>En el Catastro Público del Mercado de Valores deberán inscribirse: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1" name="Imagen 21"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 Los valores que sean objeto de oferta pública y sus emisores;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2" name="Imagen 22"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2. Las bolsas de valores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3" name="Imagen 23"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3. Las casas de valores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4" name="Imagen 24"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4. Los operadores de las casas de valores;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5" name="Imagen 25"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5. Los operadores que actúen a nombre de los inversionistas institucionales;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6" name="Imagen 26"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6. Los depósitos centralizados de compensación y liquidación de valores y, sus reglamentos interno y de operación;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7" name="Imagen 27"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7. Los fondos de inversión, sus reglamentos internos y contratos de incorporación;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8" name="Imagen 28"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8. Las cuotas emitidas por los fondos de inversión colectivos;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9" name="Imagen 29"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9. Los valores producto del proceso de titularización;</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243840" cy="243840"/>
            <wp:effectExtent l="0" t="0" r="3810" b="3810"/>
            <wp:docPr id="30" name="Imagen 30"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10. Las administradoras de fondos de inversión y fideicomisos y sus reglamentos de operación;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1" name="Imagen 31"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11. Los contratos de fideicomiso mercantil y de encargos fiduciarios, de conformidad con las normas de carácter general que para el efecto dicte el C.N.V.;</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2" name="Imagen 32"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12. Las calificadoras de riesgo, su comité de calificación, su reglament</w:t>
      </w:r>
      <w:r>
        <w:rPr>
          <w:rFonts w:eastAsia="Times New Roman"/>
          <w:sz w:val="30"/>
          <w:szCs w:val="30"/>
          <w:lang w:val="es-ES"/>
        </w:rPr>
        <w:t>o interno y, procedimiento técnico de calificación;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3" name="Imagen 33"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13. Las compañías de auditoría externa que participen en el mercado de valores;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4" name="Imagen 34"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14. Los demás entes, valores o entidades que determine el C.N.V;</w:t>
      </w:r>
      <w:r>
        <w:rPr>
          <w:rFonts w:eastAsia="Times New Roman"/>
          <w:sz w:val="30"/>
          <w:szCs w:val="30"/>
          <w:lang w:val="es-ES"/>
        </w:rPr>
        <w:br/>
      </w:r>
      <w:r>
        <w:rPr>
          <w:rFonts w:eastAsia="Times New Roman"/>
          <w:sz w:val="30"/>
          <w:szCs w:val="30"/>
          <w:lang w:val="es-ES"/>
        </w:rPr>
        <w:br/>
        <w:t>15. (Agregado por el Art. 14 de la Ley s/n, R.O. 249-S, 20-V-2014).- La Sociedad Proveedora y Administradora del Sistema Único Bursátil; y,</w:t>
      </w:r>
      <w:r>
        <w:rPr>
          <w:rFonts w:eastAsia="Times New Roman"/>
          <w:sz w:val="30"/>
          <w:szCs w:val="30"/>
          <w:lang w:val="es-ES"/>
        </w:rPr>
        <w:br/>
      </w:r>
      <w:r>
        <w:rPr>
          <w:rFonts w:eastAsia="Times New Roman"/>
          <w:sz w:val="30"/>
          <w:szCs w:val="30"/>
          <w:lang w:val="es-ES"/>
        </w:rPr>
        <w:br/>
        <w:t xml:space="preserve">16. (Agregado por el </w:t>
      </w:r>
      <w:r>
        <w:rPr>
          <w:rFonts w:eastAsia="Times New Roman"/>
          <w:sz w:val="30"/>
          <w:szCs w:val="30"/>
          <w:lang w:val="es-ES"/>
        </w:rPr>
        <w:t>Art. 14 de la Ley s/n, R.O. 249-S, 20-V-2014).- Las entidades que cumplen funciones de banca de inversión.</w:t>
      </w:r>
    </w:p>
    <w:p w:rsidR="00000000" w:rsidRDefault="0018461E">
      <w:pPr>
        <w:divId w:val="1630209433"/>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De la responsabilidad.- </w:t>
      </w:r>
      <w:r>
        <w:rPr>
          <w:rFonts w:eastAsia="Times New Roman"/>
          <w:sz w:val="30"/>
          <w:szCs w:val="30"/>
          <w:lang w:val="es-ES"/>
        </w:rPr>
        <w:t xml:space="preserve">(Reformado por la Disposición Reformatoria Décima Séptima, num. 1 del Código Orgánico Monetario y Financiero; R.O. </w:t>
      </w:r>
      <w:r>
        <w:rPr>
          <w:rFonts w:eastAsia="Times New Roman"/>
          <w:sz w:val="30"/>
          <w:szCs w:val="30"/>
          <w:lang w:val="es-ES"/>
        </w:rPr>
        <w:t>332-2S, 12-IX-2014).- La inscripción en el Catastro Público del Mercado de Valores no implica certificación, ni responsabilidad alguna por parte de la Superintendencia de Compañías respecto de la solvencia de las personas naturales o jurídicas inscritas, n</w:t>
      </w:r>
      <w:r>
        <w:rPr>
          <w:rFonts w:eastAsia="Times New Roman"/>
          <w:sz w:val="30"/>
          <w:szCs w:val="30"/>
          <w:lang w:val="es-ES"/>
        </w:rPr>
        <w:t>i del precio, bondad o negociabilidad del valor o de la entidad inscrita, en su caso. La información presentada al Catastro Público del Mercado de Valores es de exclusiva responsabilidad de quien la presenta y solicita el registro. Toda publicidad, propaga</w:t>
      </w:r>
      <w:r>
        <w:rPr>
          <w:rFonts w:eastAsia="Times New Roman"/>
          <w:sz w:val="30"/>
          <w:szCs w:val="30"/>
          <w:lang w:val="es-ES"/>
        </w:rPr>
        <w:t>nda o difusión por cualquier medio, realizada por emisores, intermediarios de valores y otras instituciones reguladas por esta Ley, deberán mencionar obligatoriamente esta salvedad.</w:t>
      </w:r>
      <w:r>
        <w:rPr>
          <w:rFonts w:eastAsia="Times New Roman"/>
          <w:sz w:val="30"/>
          <w:szCs w:val="30"/>
          <w:lang w:val="es-ES"/>
        </w:rPr>
        <w:br/>
      </w:r>
      <w:r>
        <w:rPr>
          <w:rFonts w:eastAsia="Times New Roman"/>
          <w:sz w:val="30"/>
          <w:szCs w:val="30"/>
          <w:lang w:val="es-ES"/>
        </w:rPr>
        <w:br/>
        <w:t>La inscripción obliga a los registrados a difundir la información de acue</w:t>
      </w:r>
      <w:r>
        <w:rPr>
          <w:rFonts w:eastAsia="Times New Roman"/>
          <w:sz w:val="30"/>
          <w:szCs w:val="30"/>
          <w:lang w:val="es-ES"/>
        </w:rPr>
        <w:t>rdo con las normas que para el efecto expedirá el C.N.V.</w:t>
      </w:r>
    </w:p>
    <w:p w:rsidR="00000000" w:rsidRDefault="0018461E">
      <w:pPr>
        <w:divId w:val="1254437888"/>
        <w:rPr>
          <w:rFonts w:eastAsia="Times New Roman"/>
          <w:sz w:val="30"/>
          <w:szCs w:val="30"/>
          <w:lang w:val="es-ES"/>
        </w:rPr>
      </w:pPr>
      <w:r>
        <w:rPr>
          <w:rFonts w:eastAsia="Times New Roman"/>
          <w:b/>
          <w:bCs/>
          <w:sz w:val="30"/>
          <w:szCs w:val="30"/>
          <w:lang w:val="es-ES"/>
        </w:rPr>
        <w:t xml:space="preserve">Art. 20.- De la inscripción en el Catastro Público del Mercado de Valores.- </w:t>
      </w:r>
      <w:r>
        <w:rPr>
          <w:rFonts w:eastAsia="Times New Roman"/>
          <w:sz w:val="30"/>
          <w:szCs w:val="30"/>
          <w:lang w:val="es-ES"/>
        </w:rPr>
        <w:t xml:space="preserve">(Reformado por la Disposición Reformatoria Décima </w:t>
      </w:r>
      <w:r>
        <w:rPr>
          <w:rFonts w:eastAsia="Times New Roman"/>
          <w:sz w:val="30"/>
          <w:szCs w:val="30"/>
          <w:lang w:val="es-ES"/>
        </w:rPr>
        <w:lastRenderedPageBreak/>
        <w:t xml:space="preserve">Séptima, num. 1 del Código Orgánico Monetario y Financiero; R.O. 332-2S, </w:t>
      </w:r>
      <w:r>
        <w:rPr>
          <w:rFonts w:eastAsia="Times New Roman"/>
          <w:sz w:val="30"/>
          <w:szCs w:val="30"/>
          <w:lang w:val="es-ES"/>
        </w:rPr>
        <w:t>12-IX-2014).- Para la inscripción de un emisor y sus valores, se requerirá previamente de calificación de riesgo, excepto en los casos previstos en esta Ley. No se admitirá la inscripción de un emisor que no esté acompañada de la inscripción de un valor es</w:t>
      </w:r>
      <w:r>
        <w:rPr>
          <w:rFonts w:eastAsia="Times New Roman"/>
          <w:sz w:val="30"/>
          <w:szCs w:val="30"/>
          <w:lang w:val="es-ES"/>
        </w:rPr>
        <w:t>pecífico o de por lo menos uno del giro ordinario de su negocio.</w:t>
      </w:r>
      <w:r>
        <w:rPr>
          <w:rFonts w:eastAsia="Times New Roman"/>
          <w:sz w:val="30"/>
          <w:szCs w:val="30"/>
          <w:lang w:val="es-ES"/>
        </w:rPr>
        <w:br/>
      </w:r>
      <w:r>
        <w:rPr>
          <w:rFonts w:eastAsia="Times New Roman"/>
          <w:sz w:val="30"/>
          <w:szCs w:val="30"/>
          <w:lang w:val="es-ES"/>
        </w:rPr>
        <w:br/>
        <w:t xml:space="preserve">El C.N.V., regulará la inscripción y su mantenimiento, a fin de lograr que la información derivada de la inscripción y su mantenimiento permita al público identificar con precisión el valor </w:t>
      </w:r>
      <w:r>
        <w:rPr>
          <w:rFonts w:eastAsia="Times New Roman"/>
          <w:sz w:val="30"/>
          <w:szCs w:val="30"/>
          <w:lang w:val="es-ES"/>
        </w:rPr>
        <w:t>o participante registrado y sus características.</w:t>
      </w:r>
      <w:r>
        <w:rPr>
          <w:rFonts w:eastAsia="Times New Roman"/>
          <w:sz w:val="30"/>
          <w:szCs w:val="30"/>
          <w:lang w:val="es-ES"/>
        </w:rPr>
        <w:br/>
      </w:r>
      <w:r>
        <w:rPr>
          <w:rFonts w:eastAsia="Times New Roman"/>
          <w:sz w:val="30"/>
          <w:szCs w:val="30"/>
          <w:lang w:val="es-ES"/>
        </w:rPr>
        <w:br/>
        <w:t>La Superintendencia de Compañías procederá a la inscripción correspondiente en el Catastro Público del Mercado de Valores en cuanto las entidades sujetas a su supervisión y control le hayan proporcionado in</w:t>
      </w:r>
      <w:r>
        <w:rPr>
          <w:rFonts w:eastAsia="Times New Roman"/>
          <w:sz w:val="30"/>
          <w:szCs w:val="30"/>
          <w:lang w:val="es-ES"/>
        </w:rPr>
        <w:t>formación completa, veraz y suficiente sobre su situación jurídica, económica y financiera y hayan satisfecho, cuando correspondiere, los demás requisitos que establezca esta Ley y las normas de aplicación general que se expidan. La inscripción obliga a lo</w:t>
      </w:r>
      <w:r>
        <w:rPr>
          <w:rFonts w:eastAsia="Times New Roman"/>
          <w:sz w:val="30"/>
          <w:szCs w:val="30"/>
          <w:lang w:val="es-ES"/>
        </w:rPr>
        <w:t>s registrados a difundir esta información en forma continua y al cumplimiento permanente de las exigencias correspondientes.</w:t>
      </w:r>
      <w:r>
        <w:rPr>
          <w:rFonts w:eastAsia="Times New Roman"/>
          <w:sz w:val="30"/>
          <w:szCs w:val="30"/>
          <w:lang w:val="es-ES"/>
        </w:rPr>
        <w:br/>
      </w:r>
      <w:r>
        <w:rPr>
          <w:rFonts w:eastAsia="Times New Roman"/>
          <w:sz w:val="30"/>
          <w:szCs w:val="30"/>
          <w:lang w:val="es-ES"/>
        </w:rPr>
        <w:br/>
        <w:t>Todos los documentos e informaciones existentes en el Catastro Público del Mercado de Valores estarán a disposición del público, e</w:t>
      </w:r>
      <w:r>
        <w:rPr>
          <w:rFonts w:eastAsia="Times New Roman"/>
          <w:sz w:val="30"/>
          <w:szCs w:val="30"/>
          <w:lang w:val="es-ES"/>
        </w:rPr>
        <w:t>xcepto aquellos que el C.N.V. los califique como reservados.</w:t>
      </w:r>
      <w:r>
        <w:rPr>
          <w:rFonts w:eastAsia="Times New Roman"/>
          <w:sz w:val="30"/>
          <w:szCs w:val="30"/>
          <w:lang w:val="es-ES"/>
        </w:rPr>
        <w:br/>
      </w:r>
      <w:r>
        <w:rPr>
          <w:rFonts w:eastAsia="Times New Roman"/>
          <w:sz w:val="30"/>
          <w:szCs w:val="30"/>
          <w:lang w:val="es-ES"/>
        </w:rPr>
        <w:br/>
        <w:t>La revisión del cumplimiento de los requisitos previos a la inscripción deberá ser hecha en el término de quince días. De existir observaciones, la Superintendencia de Compañías lo suspenderá ha</w:t>
      </w:r>
      <w:r>
        <w:rPr>
          <w:rFonts w:eastAsia="Times New Roman"/>
          <w:sz w:val="30"/>
          <w:szCs w:val="30"/>
          <w:lang w:val="es-ES"/>
        </w:rPr>
        <w:t>sta que se hubiere atendido tales observaciones.</w:t>
      </w:r>
      <w:r>
        <w:rPr>
          <w:rFonts w:eastAsia="Times New Roman"/>
          <w:sz w:val="30"/>
          <w:szCs w:val="30"/>
          <w:lang w:val="es-ES"/>
        </w:rPr>
        <w:br/>
      </w:r>
      <w:r>
        <w:rPr>
          <w:rFonts w:eastAsia="Times New Roman"/>
          <w:sz w:val="30"/>
          <w:szCs w:val="30"/>
          <w:lang w:val="es-ES"/>
        </w:rPr>
        <w:br/>
        <w:t>La Superintendencia procederá a la inscripción correspondiente en el Catastro Público del Mercado de Valores, una vez que hayan cumplido con los requisitos que para el efecto expida el C.N.V.</w:t>
      </w:r>
    </w:p>
    <w:p w:rsidR="00000000" w:rsidRDefault="0018461E">
      <w:pPr>
        <w:divId w:val="2085302081"/>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De l</w:t>
      </w:r>
      <w:r>
        <w:rPr>
          <w:rFonts w:eastAsia="Times New Roman"/>
          <w:b/>
          <w:bCs/>
          <w:sz w:val="30"/>
          <w:szCs w:val="30"/>
          <w:lang w:val="es-ES"/>
        </w:rPr>
        <w:t>a inscripción de valores del sector público</w:t>
      </w:r>
      <w:r>
        <w:rPr>
          <w:rFonts w:eastAsia="Times New Roman"/>
          <w:sz w:val="30"/>
          <w:szCs w:val="30"/>
          <w:lang w:val="es-ES"/>
        </w:rPr>
        <w:t>.- (Reformado por la Disposición Reformatoria Décima Séptima, num. 10 del Código Orgánico Monetario y Financiero; R.O. 332-2S, 12-IX-2014).- La inscripción de valores emitidos por el Estado y las entidades del sec</w:t>
      </w:r>
      <w:r>
        <w:rPr>
          <w:rFonts w:eastAsia="Times New Roman"/>
          <w:sz w:val="30"/>
          <w:szCs w:val="30"/>
          <w:lang w:val="es-ES"/>
        </w:rPr>
        <w:t xml:space="preserve">tor público, en ejercicio de las facultades concedidas por sus propias leyes, será automática y de carácter general, bastando </w:t>
      </w:r>
      <w:r>
        <w:rPr>
          <w:rFonts w:eastAsia="Times New Roman"/>
          <w:sz w:val="30"/>
          <w:szCs w:val="30"/>
          <w:lang w:val="es-ES"/>
        </w:rPr>
        <w:lastRenderedPageBreak/>
        <w:t>para el efecto el sustento legal que autorice cada emisión y una descripción de las características esenciales de dichos valores.</w:t>
      </w:r>
      <w:r>
        <w:rPr>
          <w:rFonts w:eastAsia="Times New Roman"/>
          <w:sz w:val="30"/>
          <w:szCs w:val="30"/>
          <w:lang w:val="es-ES"/>
        </w:rPr>
        <w:br/>
      </w:r>
      <w:r>
        <w:rPr>
          <w:rFonts w:eastAsia="Times New Roman"/>
          <w:sz w:val="30"/>
          <w:szCs w:val="30"/>
          <w:lang w:val="es-ES"/>
        </w:rPr>
        <w:br/>
        <w:t>Se exceptúa de la inscripción detallada en el artículo precedente los Títulos del Banco central del Ecuador TBC.</w:t>
      </w:r>
    </w:p>
    <w:p w:rsidR="00000000" w:rsidRDefault="0018461E">
      <w:pPr>
        <w:divId w:val="1592736410"/>
        <w:rPr>
          <w:rFonts w:eastAsia="Times New Roman"/>
          <w:sz w:val="30"/>
          <w:szCs w:val="30"/>
          <w:lang w:val="es-ES"/>
        </w:rPr>
      </w:pPr>
      <w:r>
        <w:rPr>
          <w:rFonts w:eastAsia="Times New Roman"/>
          <w:b/>
          <w:bCs/>
          <w:sz w:val="30"/>
          <w:szCs w:val="30"/>
          <w:lang w:val="es-ES"/>
        </w:rPr>
        <w:t xml:space="preserve">Art. 22.- De la suspensión de la inscripción.- </w:t>
      </w:r>
      <w:r>
        <w:rPr>
          <w:rFonts w:eastAsia="Times New Roman"/>
          <w:sz w:val="30"/>
          <w:szCs w:val="30"/>
          <w:lang w:val="es-ES"/>
        </w:rPr>
        <w:t>(Reformado por la Disposición Reformatoria Décima Séptima, num. 1 del Código Orgánico Monetari</w:t>
      </w:r>
      <w:r>
        <w:rPr>
          <w:rFonts w:eastAsia="Times New Roman"/>
          <w:sz w:val="30"/>
          <w:szCs w:val="30"/>
          <w:lang w:val="es-ES"/>
        </w:rPr>
        <w:t>o y Financiero; R.O. 332-2S, 12-IX-2014).- La Superintendencia podrá suspender mediante resolución fundamentada la inscripción de los participantes o valores sujetos a inscripción en el Catastro Público del Mercado de Valores cuando:</w:t>
      </w:r>
      <w:r>
        <w:rPr>
          <w:rFonts w:eastAsia="Times New Roman"/>
          <w:sz w:val="30"/>
          <w:szCs w:val="30"/>
          <w:lang w:val="es-ES"/>
        </w:rPr>
        <w:br/>
      </w:r>
      <w:r>
        <w:rPr>
          <w:rFonts w:eastAsia="Times New Roman"/>
          <w:sz w:val="30"/>
          <w:szCs w:val="30"/>
          <w:lang w:val="es-ES"/>
        </w:rPr>
        <w:br/>
        <w:t>1. Por causas supervi</w:t>
      </w:r>
      <w:r>
        <w:rPr>
          <w:rFonts w:eastAsia="Times New Roman"/>
          <w:sz w:val="30"/>
          <w:szCs w:val="30"/>
          <w:lang w:val="es-ES"/>
        </w:rPr>
        <w:t>nientes a un participante, valor, acto o contrato, objeto de registro, se le imposibilitare temporalmente cumplir la función que le corresponde;</w:t>
      </w:r>
      <w:r>
        <w:rPr>
          <w:rFonts w:eastAsia="Times New Roman"/>
          <w:sz w:val="30"/>
          <w:szCs w:val="30"/>
          <w:lang w:val="es-ES"/>
        </w:rPr>
        <w:br/>
      </w:r>
      <w:r>
        <w:rPr>
          <w:rFonts w:eastAsia="Times New Roman"/>
          <w:sz w:val="30"/>
          <w:szCs w:val="30"/>
          <w:lang w:val="es-ES"/>
        </w:rPr>
        <w:br/>
        <w:t>2. Dejare de cumplir con uno o varios de los requisitos para la inscripción;</w:t>
      </w:r>
      <w:r>
        <w:rPr>
          <w:rFonts w:eastAsia="Times New Roman"/>
          <w:sz w:val="30"/>
          <w:szCs w:val="30"/>
          <w:lang w:val="es-ES"/>
        </w:rPr>
        <w:br/>
      </w:r>
      <w:r>
        <w:rPr>
          <w:rFonts w:eastAsia="Times New Roman"/>
          <w:sz w:val="30"/>
          <w:szCs w:val="30"/>
          <w:lang w:val="es-ES"/>
        </w:rPr>
        <w:br/>
        <w:t>3. A juicio del C.N.V. así lo re</w:t>
      </w:r>
      <w:r>
        <w:rPr>
          <w:rFonts w:eastAsia="Times New Roman"/>
          <w:sz w:val="30"/>
          <w:szCs w:val="30"/>
          <w:lang w:val="es-ES"/>
        </w:rPr>
        <w:t>quiera la protección de los derechos o intereses de los inversionistas, de terceros o del público en general; y,</w:t>
      </w:r>
      <w:r>
        <w:rPr>
          <w:rFonts w:eastAsia="Times New Roman"/>
          <w:sz w:val="30"/>
          <w:szCs w:val="30"/>
          <w:lang w:val="es-ES"/>
        </w:rPr>
        <w:br/>
      </w:r>
      <w:r>
        <w:rPr>
          <w:rFonts w:eastAsia="Times New Roman"/>
          <w:sz w:val="30"/>
          <w:szCs w:val="30"/>
          <w:lang w:val="es-ES"/>
        </w:rPr>
        <w:br/>
        <w:t>4. Por causa de incumplimiento de esta Ley, sus normas complementarias y de autorregulación y demás normas que expida el C.N.V.</w:t>
      </w:r>
    </w:p>
    <w:p w:rsidR="00000000" w:rsidRDefault="0018461E">
      <w:pPr>
        <w:divId w:val="1283030822"/>
        <w:rPr>
          <w:rFonts w:eastAsia="Times New Roman"/>
          <w:sz w:val="30"/>
          <w:szCs w:val="30"/>
          <w:lang w:val="es-ES"/>
        </w:rPr>
      </w:pPr>
      <w:r>
        <w:rPr>
          <w:rFonts w:eastAsia="Times New Roman"/>
          <w:b/>
          <w:bCs/>
          <w:sz w:val="30"/>
          <w:szCs w:val="30"/>
          <w:lang w:val="es-ES"/>
        </w:rPr>
        <w:t>Art. 23.- De l</w:t>
      </w:r>
      <w:r>
        <w:rPr>
          <w:rFonts w:eastAsia="Times New Roman"/>
          <w:b/>
          <w:bCs/>
          <w:sz w:val="30"/>
          <w:szCs w:val="30"/>
          <w:lang w:val="es-ES"/>
        </w:rPr>
        <w:t xml:space="preserve">a cancelación de la inscripción.- </w:t>
      </w:r>
      <w:r>
        <w:rPr>
          <w:rFonts w:eastAsia="Times New Roman"/>
          <w:sz w:val="30"/>
          <w:szCs w:val="30"/>
          <w:lang w:val="es-ES"/>
        </w:rPr>
        <w:t>(Reformado por la Disposición Reformatoria Décima Séptima, num. 1 del Código Orgánico Monetario y Financiero; R.O. 332-2S, 12-IX-2014).- La cancelación de la inscripción de un participante o un valor en el Catastro Público</w:t>
      </w:r>
      <w:r>
        <w:rPr>
          <w:rFonts w:eastAsia="Times New Roman"/>
          <w:sz w:val="30"/>
          <w:szCs w:val="30"/>
          <w:lang w:val="es-ES"/>
        </w:rPr>
        <w:t xml:space="preserve"> del Mercado de Valores podrá ser:</w:t>
      </w:r>
      <w:r>
        <w:rPr>
          <w:rFonts w:eastAsia="Times New Roman"/>
          <w:sz w:val="30"/>
          <w:szCs w:val="30"/>
          <w:lang w:val="es-ES"/>
        </w:rPr>
        <w:br/>
      </w:r>
      <w:r>
        <w:rPr>
          <w:rFonts w:eastAsia="Times New Roman"/>
          <w:sz w:val="30"/>
          <w:szCs w:val="30"/>
          <w:lang w:val="es-ES"/>
        </w:rPr>
        <w:br/>
        <w:t>1. Voluntaria: cuando la solicitare el emisor de conformidad con las normas que expida el C.N.V.; o,</w:t>
      </w:r>
      <w:r>
        <w:rPr>
          <w:rFonts w:eastAsia="Times New Roman"/>
          <w:sz w:val="30"/>
          <w:szCs w:val="30"/>
          <w:lang w:val="es-ES"/>
        </w:rPr>
        <w:br/>
      </w:r>
      <w:r>
        <w:rPr>
          <w:rFonts w:eastAsia="Times New Roman"/>
          <w:sz w:val="30"/>
          <w:szCs w:val="30"/>
          <w:lang w:val="es-ES"/>
        </w:rPr>
        <w:br/>
        <w:t>2. De oficio: cuando por resolución fundamentada de la Superintendencia de Compañías se determine como una de las caus</w:t>
      </w:r>
      <w:r>
        <w:rPr>
          <w:rFonts w:eastAsia="Times New Roman"/>
          <w:sz w:val="30"/>
          <w:szCs w:val="30"/>
          <w:lang w:val="es-ES"/>
        </w:rPr>
        <w:t>ales que:</w:t>
      </w:r>
      <w:r>
        <w:rPr>
          <w:rFonts w:eastAsia="Times New Roman"/>
          <w:sz w:val="30"/>
          <w:szCs w:val="30"/>
          <w:lang w:val="es-ES"/>
        </w:rPr>
        <w:br/>
      </w:r>
      <w:r>
        <w:rPr>
          <w:rFonts w:eastAsia="Times New Roman"/>
          <w:sz w:val="30"/>
          <w:szCs w:val="30"/>
          <w:lang w:val="es-ES"/>
        </w:rPr>
        <w:br/>
        <w:t xml:space="preserve">a) La inscripción fue obtenida no ajustándose a los requisitos o procedimientos establecidos en esta Ley; </w:t>
      </w:r>
      <w:r>
        <w:rPr>
          <w:rFonts w:eastAsia="Times New Roman"/>
          <w:sz w:val="30"/>
          <w:szCs w:val="30"/>
          <w:lang w:val="es-ES"/>
        </w:rPr>
        <w:br/>
      </w:r>
      <w:r>
        <w:rPr>
          <w:rFonts w:eastAsia="Times New Roman"/>
          <w:sz w:val="30"/>
          <w:szCs w:val="30"/>
          <w:lang w:val="es-ES"/>
        </w:rPr>
        <w:lastRenderedPageBreak/>
        <w:br/>
        <w:t xml:space="preserve">b) Existen causas supervinientes a un participante, valor, acto o contrato, objeto de registro, que le imposibilitare definitivamente la </w:t>
      </w:r>
      <w:r>
        <w:rPr>
          <w:rFonts w:eastAsia="Times New Roman"/>
          <w:sz w:val="30"/>
          <w:szCs w:val="30"/>
          <w:lang w:val="es-ES"/>
        </w:rPr>
        <w:t>función que le corresponde cumplir;</w:t>
      </w:r>
      <w:r>
        <w:rPr>
          <w:rFonts w:eastAsia="Times New Roman"/>
          <w:sz w:val="30"/>
          <w:szCs w:val="30"/>
          <w:lang w:val="es-ES"/>
        </w:rPr>
        <w:br/>
      </w:r>
      <w:r>
        <w:rPr>
          <w:rFonts w:eastAsia="Times New Roman"/>
          <w:sz w:val="30"/>
          <w:szCs w:val="30"/>
          <w:lang w:val="es-ES"/>
        </w:rPr>
        <w:br/>
        <w:t>c) Con ocasión de su oferta en el mercado y durante la vigencia de la emisión, el emisor entregare a la Superintendencia de Compañías y a las bolsas de valores o difundiere al público en general, información o anteceden</w:t>
      </w:r>
      <w:r>
        <w:rPr>
          <w:rFonts w:eastAsia="Times New Roman"/>
          <w:sz w:val="30"/>
          <w:szCs w:val="30"/>
          <w:lang w:val="es-ES"/>
        </w:rPr>
        <w:t>tes incompletos o confusos;</w:t>
      </w:r>
      <w:r>
        <w:rPr>
          <w:rFonts w:eastAsia="Times New Roman"/>
          <w:sz w:val="30"/>
          <w:szCs w:val="30"/>
          <w:lang w:val="es-ES"/>
        </w:rPr>
        <w:br/>
      </w:r>
      <w:r>
        <w:rPr>
          <w:rFonts w:eastAsia="Times New Roman"/>
          <w:sz w:val="30"/>
          <w:szCs w:val="30"/>
          <w:lang w:val="es-ES"/>
        </w:rPr>
        <w:br/>
        <w:t>d) El valor no mantenga los requisitos que hicieron posible su inscripción;</w:t>
      </w:r>
      <w:r>
        <w:rPr>
          <w:rFonts w:eastAsia="Times New Roman"/>
          <w:sz w:val="30"/>
          <w:szCs w:val="30"/>
          <w:lang w:val="es-ES"/>
        </w:rPr>
        <w:br/>
      </w:r>
      <w:r>
        <w:rPr>
          <w:rFonts w:eastAsia="Times New Roman"/>
          <w:sz w:val="30"/>
          <w:szCs w:val="30"/>
          <w:lang w:val="es-ES"/>
        </w:rPr>
        <w:br/>
        <w:t>e) Se hubieren extinguido los derechos conferidos por el valor; y,</w:t>
      </w:r>
      <w:r>
        <w:rPr>
          <w:rFonts w:eastAsia="Times New Roman"/>
          <w:sz w:val="30"/>
          <w:szCs w:val="30"/>
          <w:lang w:val="es-ES"/>
        </w:rPr>
        <w:br/>
      </w:r>
      <w:r>
        <w:rPr>
          <w:rFonts w:eastAsia="Times New Roman"/>
          <w:sz w:val="30"/>
          <w:szCs w:val="30"/>
          <w:lang w:val="es-ES"/>
        </w:rPr>
        <w:br/>
        <w:t>f) Se hubiere incumplido reiteradamente disposiciones de esta Ley, sus normas comp</w:t>
      </w:r>
      <w:r>
        <w:rPr>
          <w:rFonts w:eastAsia="Times New Roman"/>
          <w:sz w:val="30"/>
          <w:szCs w:val="30"/>
          <w:lang w:val="es-ES"/>
        </w:rPr>
        <w:t>lementarias y de autorregulación, que fueren objeto de sanciones administrativas.</w:t>
      </w:r>
      <w:r>
        <w:rPr>
          <w:rFonts w:eastAsia="Times New Roman"/>
          <w:sz w:val="30"/>
          <w:szCs w:val="30"/>
          <w:lang w:val="es-ES"/>
        </w:rPr>
        <w:br/>
      </w:r>
      <w:r>
        <w:rPr>
          <w:rFonts w:eastAsia="Times New Roman"/>
          <w:sz w:val="30"/>
          <w:szCs w:val="30"/>
          <w:lang w:val="es-ES"/>
        </w:rPr>
        <w:br/>
        <w:t>En los casos de los literales a) y c), la cancelación da derecho a quienes resultaren afectados, para que puedan solicitar al emisor indemnización por los daños y perjuicios</w:t>
      </w:r>
      <w:r>
        <w:rPr>
          <w:rFonts w:eastAsia="Times New Roman"/>
          <w:sz w:val="30"/>
          <w:szCs w:val="30"/>
          <w:lang w:val="es-ES"/>
        </w:rPr>
        <w:t xml:space="preserve"> causados.</w:t>
      </w:r>
      <w:r>
        <w:rPr>
          <w:rFonts w:eastAsia="Times New Roman"/>
          <w:sz w:val="30"/>
          <w:szCs w:val="30"/>
          <w:lang w:val="es-ES"/>
        </w:rPr>
        <w:br/>
      </w:r>
      <w:r>
        <w:rPr>
          <w:rFonts w:eastAsia="Times New Roman"/>
          <w:sz w:val="30"/>
          <w:szCs w:val="30"/>
          <w:lang w:val="es-ES"/>
        </w:rPr>
        <w:br/>
        <w:t>Esta responsabilidad es independiente de las sanciones administrativas o penales a que hubiere lugar.</w:t>
      </w:r>
    </w:p>
    <w:p w:rsidR="00000000" w:rsidRDefault="0018461E">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INFORMACIÓN</w:t>
      </w:r>
    </w:p>
    <w:p w:rsidR="00000000" w:rsidRDefault="0018461E">
      <w:pPr>
        <w:divId w:val="1987663693"/>
        <w:rPr>
          <w:rFonts w:eastAsia="Times New Roman"/>
          <w:sz w:val="30"/>
          <w:szCs w:val="30"/>
          <w:lang w:val="es-ES"/>
        </w:rPr>
      </w:pPr>
      <w:r>
        <w:rPr>
          <w:rFonts w:eastAsia="Times New Roman"/>
          <w:b/>
          <w:bCs/>
          <w:sz w:val="30"/>
          <w:szCs w:val="30"/>
          <w:lang w:val="es-ES"/>
        </w:rPr>
        <w:t xml:space="preserve">Art. 24.- Del objetivo.- </w:t>
      </w:r>
      <w:r>
        <w:rPr>
          <w:rFonts w:eastAsia="Times New Roman"/>
          <w:sz w:val="30"/>
          <w:szCs w:val="30"/>
          <w:lang w:val="es-ES"/>
        </w:rPr>
        <w:t>Con el propósito de garantizar la transparencia del mercado, los participantes deberán r</w:t>
      </w:r>
      <w:r>
        <w:rPr>
          <w:rFonts w:eastAsia="Times New Roman"/>
          <w:sz w:val="30"/>
          <w:szCs w:val="30"/>
          <w:lang w:val="es-ES"/>
        </w:rPr>
        <w:t>egistrarse y mantener actualizada la información requerida por esta Ley y sus normas complementarias.</w:t>
      </w:r>
      <w:r>
        <w:rPr>
          <w:rFonts w:eastAsia="Times New Roman"/>
          <w:sz w:val="30"/>
          <w:szCs w:val="30"/>
          <w:lang w:val="es-ES"/>
        </w:rPr>
        <w:br/>
      </w:r>
      <w:r>
        <w:rPr>
          <w:rFonts w:eastAsia="Times New Roman"/>
          <w:sz w:val="30"/>
          <w:szCs w:val="30"/>
          <w:lang w:val="es-ES"/>
        </w:rPr>
        <w:br/>
        <w:t>El C.N.V. establecerá el contenido, la forma y periodicidad con la que deberá presentarse la información y lo hará en consideración a las características</w:t>
      </w:r>
      <w:r>
        <w:rPr>
          <w:rFonts w:eastAsia="Times New Roman"/>
          <w:sz w:val="30"/>
          <w:szCs w:val="30"/>
          <w:lang w:val="es-ES"/>
        </w:rPr>
        <w:t xml:space="preserve"> de los emisores, de los valores ofrecidos o de las entidades que se sometan a registro. No se considerará pública la información de entidades controladas por la Superintendencia de Bancos y Seguros, que ésta clasifique como reservada.</w:t>
      </w:r>
    </w:p>
    <w:p w:rsidR="00000000" w:rsidRDefault="0018461E">
      <w:pPr>
        <w:divId w:val="1115563859"/>
        <w:rPr>
          <w:rFonts w:eastAsia="Times New Roman"/>
          <w:sz w:val="30"/>
          <w:szCs w:val="30"/>
          <w:lang w:val="es-ES"/>
        </w:rPr>
      </w:pPr>
      <w:r>
        <w:rPr>
          <w:rFonts w:eastAsia="Times New Roman"/>
          <w:sz w:val="30"/>
          <w:szCs w:val="30"/>
          <w:lang w:val="es-ES"/>
        </w:rPr>
        <w:lastRenderedPageBreak/>
        <w:t>Art. 25.-</w:t>
      </w:r>
      <w:r>
        <w:rPr>
          <w:rFonts w:eastAsia="Times New Roman"/>
          <w:b/>
          <w:bCs/>
          <w:sz w:val="30"/>
          <w:szCs w:val="30"/>
          <w:lang w:val="es-ES"/>
        </w:rPr>
        <w:t xml:space="preserve"> De los hec</w:t>
      </w:r>
      <w:r>
        <w:rPr>
          <w:rFonts w:eastAsia="Times New Roman"/>
          <w:b/>
          <w:bCs/>
          <w:sz w:val="30"/>
          <w:szCs w:val="30"/>
          <w:lang w:val="es-ES"/>
        </w:rPr>
        <w:t>hos relevantes.-</w:t>
      </w:r>
      <w:r>
        <w:rPr>
          <w:rFonts w:eastAsia="Times New Roman"/>
          <w:sz w:val="30"/>
          <w:szCs w:val="30"/>
          <w:lang w:val="es-ES"/>
        </w:rPr>
        <w:t xml:space="preserve"> (Reformado por la Disposición Reformatoria Décima Séptima, num. 1 del Código Orgánico Monetario y Financiero; R.O. 332-2S, 12-IX-2014).- Las entidades registradas deberán divulgar en forma veraz, completa, suficiente y oportuna todo hecho </w:t>
      </w:r>
      <w:r>
        <w:rPr>
          <w:rFonts w:eastAsia="Times New Roman"/>
          <w:sz w:val="30"/>
          <w:szCs w:val="30"/>
          <w:lang w:val="es-ES"/>
        </w:rPr>
        <w:t>o información relevante respecto de ellas, que pudieren afectar positiva o negativamente su situación jurídica, económica o su posición financiera o la de sus valores en el mercado, cuando éstos se encuentren inscritos en el Catastro Público del Mercado de</w:t>
      </w:r>
      <w:r>
        <w:rPr>
          <w:rFonts w:eastAsia="Times New Roman"/>
          <w:sz w:val="30"/>
          <w:szCs w:val="30"/>
          <w:lang w:val="es-ES"/>
        </w:rPr>
        <w:t xml:space="preserve"> Valores.</w:t>
      </w:r>
      <w:r>
        <w:rPr>
          <w:rFonts w:eastAsia="Times New Roman"/>
          <w:sz w:val="30"/>
          <w:szCs w:val="30"/>
          <w:lang w:val="es-ES"/>
        </w:rPr>
        <w:br/>
      </w:r>
      <w:r>
        <w:rPr>
          <w:rFonts w:eastAsia="Times New Roman"/>
          <w:sz w:val="30"/>
          <w:szCs w:val="30"/>
          <w:lang w:val="es-ES"/>
        </w:rPr>
        <w:br/>
        <w:t>Se entenderá por hecho relevante todo aquél que por su importancia afecte a un emisor o a sus empresas vinculadas, de forma tal que influya o pueda influir en la decisión de invertir en valores emitidos por él o que pueda alterar el precio de su</w:t>
      </w:r>
      <w:r>
        <w:rPr>
          <w:rFonts w:eastAsia="Times New Roman"/>
          <w:sz w:val="30"/>
          <w:szCs w:val="30"/>
          <w:lang w:val="es-ES"/>
        </w:rPr>
        <w:t>s valores en el mercado.</w:t>
      </w:r>
      <w:r>
        <w:rPr>
          <w:rFonts w:eastAsia="Times New Roman"/>
          <w:sz w:val="30"/>
          <w:szCs w:val="30"/>
          <w:lang w:val="es-ES"/>
        </w:rPr>
        <w:br/>
      </w:r>
      <w:r>
        <w:rPr>
          <w:rFonts w:eastAsia="Times New Roman"/>
          <w:sz w:val="30"/>
          <w:szCs w:val="30"/>
          <w:lang w:val="es-ES"/>
        </w:rPr>
        <w:br/>
        <w:t>El hecho material o relevante no necesariamente debe corresponder a una decisión adoptada en términos formales por parte de los órganos sociales de los emisores, de las instituciones que intervienen en el mercado de valores o de l</w:t>
      </w:r>
      <w:r>
        <w:rPr>
          <w:rFonts w:eastAsia="Times New Roman"/>
          <w:sz w:val="30"/>
          <w:szCs w:val="30"/>
          <w:lang w:val="es-ES"/>
        </w:rPr>
        <w:t>as personas que actúan en él, sino que es todo evento que conduce o puede conducir a las situaciones señaladas en este artículo.</w:t>
      </w:r>
      <w:r>
        <w:rPr>
          <w:rFonts w:eastAsia="Times New Roman"/>
          <w:sz w:val="30"/>
          <w:szCs w:val="30"/>
          <w:lang w:val="es-ES"/>
        </w:rPr>
        <w:br/>
      </w:r>
      <w:r>
        <w:rPr>
          <w:rFonts w:eastAsia="Times New Roman"/>
          <w:sz w:val="30"/>
          <w:szCs w:val="30"/>
          <w:lang w:val="es-ES"/>
        </w:rPr>
        <w:br/>
        <w:t>El C.N.V. reglamentará mediante normas de carácter general la aplicación de este artículo.</w:t>
      </w:r>
    </w:p>
    <w:p w:rsidR="00000000" w:rsidRDefault="0018461E">
      <w:pPr>
        <w:divId w:val="653070913"/>
        <w:rPr>
          <w:rFonts w:eastAsia="Times New Roman"/>
          <w:sz w:val="30"/>
          <w:szCs w:val="30"/>
          <w:lang w:val="es-ES"/>
        </w:rPr>
      </w:pPr>
      <w:r>
        <w:rPr>
          <w:rFonts w:eastAsia="Times New Roman"/>
          <w:b/>
          <w:bCs/>
          <w:sz w:val="30"/>
          <w:szCs w:val="30"/>
          <w:lang w:val="es-ES"/>
        </w:rPr>
        <w:t>Art. 26.- De la información reserva</w:t>
      </w:r>
      <w:r>
        <w:rPr>
          <w:rFonts w:eastAsia="Times New Roman"/>
          <w:b/>
          <w:bCs/>
          <w:sz w:val="30"/>
          <w:szCs w:val="30"/>
          <w:lang w:val="es-ES"/>
        </w:rPr>
        <w:t xml:space="preserve">da.- </w:t>
      </w:r>
      <w:r>
        <w:rPr>
          <w:rFonts w:eastAsia="Times New Roman"/>
          <w:sz w:val="30"/>
          <w:szCs w:val="30"/>
          <w:lang w:val="es-ES"/>
        </w:rPr>
        <w:t>Una compañía emisora podrá, con la aprobación de por lo menos las tres cuartas partes de los directores o administradores en ejercicio de sus funciones, dar carácter de reservado a hechos o antecedentes relativos a negociaciones pendientes, que de ser cono</w:t>
      </w:r>
      <w:r>
        <w:rPr>
          <w:rFonts w:eastAsia="Times New Roman"/>
          <w:sz w:val="30"/>
          <w:szCs w:val="30"/>
          <w:lang w:val="es-ES"/>
        </w:rPr>
        <w:t>cidas, pudieran perjudicar el interés social del mercado. Estas decisiones y su contenido, deberán comunicarse reservadamente a la Superintendencia de Compañías el día hábil siguiente a su adopción.</w:t>
      </w:r>
      <w:r>
        <w:rPr>
          <w:rFonts w:eastAsia="Times New Roman"/>
          <w:sz w:val="30"/>
          <w:szCs w:val="30"/>
          <w:lang w:val="es-ES"/>
        </w:rPr>
        <w:br/>
      </w:r>
      <w:r>
        <w:rPr>
          <w:rFonts w:eastAsia="Times New Roman"/>
          <w:sz w:val="30"/>
          <w:szCs w:val="30"/>
          <w:lang w:val="es-ES"/>
        </w:rPr>
        <w:br/>
        <w:t>Los directores o administradores de una empresa que conc</w:t>
      </w:r>
      <w:r>
        <w:rPr>
          <w:rFonts w:eastAsia="Times New Roman"/>
          <w:sz w:val="30"/>
          <w:szCs w:val="30"/>
          <w:lang w:val="es-ES"/>
        </w:rPr>
        <w:t>urran con su acuerdo a dar carácter de reserva a los datos o antecedentes a que se refiere el primer inciso de este artículo, se harán personal y pecuniariamente responsables en los términos previstos en esta Ley.</w:t>
      </w:r>
    </w:p>
    <w:p w:rsidR="00000000" w:rsidRDefault="0018461E">
      <w:pPr>
        <w:divId w:val="1694577106"/>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De la información privilegiada</w:t>
      </w:r>
      <w:r>
        <w:rPr>
          <w:rFonts w:eastAsia="Times New Roman"/>
          <w:sz w:val="30"/>
          <w:szCs w:val="30"/>
          <w:lang w:val="es-ES"/>
        </w:rPr>
        <w:t>.-</w:t>
      </w:r>
      <w:r>
        <w:rPr>
          <w:rFonts w:eastAsia="Times New Roman"/>
          <w:sz w:val="30"/>
          <w:szCs w:val="30"/>
          <w:lang w:val="es-ES"/>
        </w:rPr>
        <w:t xml:space="preserve"> Se entiende por información privilegiada el conocimiento de actos, hechos o acontecimientos capaces de influir en los precios de los valores </w:t>
      </w:r>
      <w:r>
        <w:rPr>
          <w:rFonts w:eastAsia="Times New Roman"/>
          <w:sz w:val="30"/>
          <w:szCs w:val="30"/>
          <w:lang w:val="es-ES"/>
        </w:rPr>
        <w:lastRenderedPageBreak/>
        <w:t>materia de intermediación en el mercado de valores, mientras tal información no se haya hecho del conocimiento púb</w:t>
      </w:r>
      <w:r>
        <w:rPr>
          <w:rFonts w:eastAsia="Times New Roman"/>
          <w:sz w:val="30"/>
          <w:szCs w:val="30"/>
          <w:lang w:val="es-ES"/>
        </w:rPr>
        <w:t>lico.</w:t>
      </w:r>
      <w:r>
        <w:rPr>
          <w:rFonts w:eastAsia="Times New Roman"/>
          <w:sz w:val="30"/>
          <w:szCs w:val="30"/>
          <w:lang w:val="es-ES"/>
        </w:rPr>
        <w:br/>
      </w:r>
      <w:r>
        <w:rPr>
          <w:rFonts w:eastAsia="Times New Roman"/>
          <w:sz w:val="30"/>
          <w:szCs w:val="30"/>
          <w:lang w:val="es-ES"/>
        </w:rPr>
        <w:br/>
        <w:t>Los miembros del C.N.V., los funcionarios, empleados o trabajadores de la Superintendencia de Compañías, los directores, administradores, funcionarios y, en general, toda persona que en razón de su cargo, empleo, posición o relación con los particip</w:t>
      </w:r>
      <w:r>
        <w:rPr>
          <w:rFonts w:eastAsia="Times New Roman"/>
          <w:sz w:val="30"/>
          <w:szCs w:val="30"/>
          <w:lang w:val="es-ES"/>
        </w:rPr>
        <w:t>antes del mercado, tenga acceso a información privilegiada, estarán obligados a guardar estricto sigilo sobre ella, bajo las responsabilidades civiles y penales a que hubiere lugar de conformidad con la ley.</w:t>
      </w:r>
      <w:r>
        <w:rPr>
          <w:rFonts w:eastAsia="Times New Roman"/>
          <w:sz w:val="30"/>
          <w:szCs w:val="30"/>
          <w:lang w:val="es-ES"/>
        </w:rPr>
        <w:br/>
      </w:r>
      <w:r>
        <w:rPr>
          <w:rFonts w:eastAsia="Times New Roman"/>
          <w:sz w:val="30"/>
          <w:szCs w:val="30"/>
          <w:lang w:val="es-ES"/>
        </w:rPr>
        <w:br/>
        <w:t>Se presume que las personas mencionadas en este</w:t>
      </w:r>
      <w:r>
        <w:rPr>
          <w:rFonts w:eastAsia="Times New Roman"/>
          <w:sz w:val="30"/>
          <w:szCs w:val="30"/>
          <w:lang w:val="es-ES"/>
        </w:rPr>
        <w:t xml:space="preserve"> artículo, por el hecho o razón de su cargo, empleo, posición o relación dentro del segundo grado de afinidad o cuarto de consanguinidad con los participantes del mercado, tienen acceso a la información privilegiada.</w:t>
      </w:r>
      <w:r>
        <w:rPr>
          <w:rFonts w:eastAsia="Times New Roman"/>
          <w:sz w:val="30"/>
          <w:szCs w:val="30"/>
          <w:lang w:val="es-ES"/>
        </w:rPr>
        <w:br/>
      </w:r>
      <w:r>
        <w:rPr>
          <w:rFonts w:eastAsia="Times New Roman"/>
          <w:sz w:val="30"/>
          <w:szCs w:val="30"/>
          <w:lang w:val="es-ES"/>
        </w:rPr>
        <w:br/>
        <w:t>Las mismas personas, también deberán m</w:t>
      </w:r>
      <w:r>
        <w:rPr>
          <w:rFonts w:eastAsia="Times New Roman"/>
          <w:sz w:val="30"/>
          <w:szCs w:val="30"/>
          <w:lang w:val="es-ES"/>
        </w:rPr>
        <w:t xml:space="preserve">antener en reserva la información de que dispongan relativa a las operaciones de adquisición o enajenación que pudiere realizar un inversionista institucional en el mercado de valores, cuando en razón de la cuantía y condiciones de la operación ésta pueda </w:t>
      </w:r>
      <w:r>
        <w:rPr>
          <w:rFonts w:eastAsia="Times New Roman"/>
          <w:sz w:val="30"/>
          <w:szCs w:val="30"/>
          <w:lang w:val="es-ES"/>
        </w:rPr>
        <w:t>influir en los precios de los valores de que trata.</w:t>
      </w:r>
      <w:r>
        <w:rPr>
          <w:rFonts w:eastAsia="Times New Roman"/>
          <w:sz w:val="30"/>
          <w:szCs w:val="30"/>
          <w:lang w:val="es-ES"/>
        </w:rPr>
        <w:br/>
      </w:r>
      <w:r>
        <w:rPr>
          <w:rFonts w:eastAsia="Times New Roman"/>
          <w:sz w:val="30"/>
          <w:szCs w:val="30"/>
          <w:lang w:val="es-ES"/>
        </w:rPr>
        <w:br/>
        <w:t>Se prohíbe a las personas mencionadas en este artículo así como a sus subordinados o terceros de su confianza, utilizar información privilegiada, para obtener para sí o para otros, ventajas mediante la c</w:t>
      </w:r>
      <w:r>
        <w:rPr>
          <w:rFonts w:eastAsia="Times New Roman"/>
          <w:sz w:val="30"/>
          <w:szCs w:val="30"/>
          <w:lang w:val="es-ES"/>
        </w:rPr>
        <w:t>ompra o venta de valores sobre los que verse dicha información o de instrumentos cuya rentabilidad esté determinada por esos valores.</w:t>
      </w:r>
    </w:p>
    <w:p w:rsidR="00000000" w:rsidRDefault="0018461E">
      <w:pPr>
        <w:divId w:val="1866558794"/>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De los mecanismos de información.- </w:t>
      </w:r>
      <w:r>
        <w:rPr>
          <w:rFonts w:eastAsia="Times New Roman"/>
          <w:sz w:val="30"/>
          <w:szCs w:val="30"/>
          <w:lang w:val="es-ES"/>
        </w:rPr>
        <w:t xml:space="preserve">(Reformado por la Disposición Reformatoria Décima Séptima, num. 1 del Código </w:t>
      </w:r>
      <w:r>
        <w:rPr>
          <w:rFonts w:eastAsia="Times New Roman"/>
          <w:sz w:val="30"/>
          <w:szCs w:val="30"/>
          <w:lang w:val="es-ES"/>
        </w:rPr>
        <w:t>Orgánico Monetario y Financiero; R.O. 332-2S, 12-IX-2014).- Las bolsas de valores y otras asociaciones de autorregulación, deberán mantener mecanismos de información al público en los que se registre la información que deben hacer pública los emisores e in</w:t>
      </w:r>
      <w:r>
        <w:rPr>
          <w:rFonts w:eastAsia="Times New Roman"/>
          <w:sz w:val="30"/>
          <w:szCs w:val="30"/>
          <w:lang w:val="es-ES"/>
        </w:rPr>
        <w:t>stituciones reguladas por esta Ley. Estos registros, al igual que el Catastro Público del Mercado de Valores serán públicos y, la información en ellos contenida debe ser ampliamente difundida por cualquier medio electrónico u otros sistemas a los que tenga</w:t>
      </w:r>
      <w:r>
        <w:rPr>
          <w:rFonts w:eastAsia="Times New Roman"/>
          <w:sz w:val="30"/>
          <w:szCs w:val="30"/>
          <w:lang w:val="es-ES"/>
        </w:rPr>
        <w:t>n acceso los partícipes del mercado.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mecanismos de información podrán ser establecidos por las bolsas de valores ya sea por cuenta propia o a través de terceros, con los cuales mantenga vínculos de propiedad, administración, responsabilidad crediticia</w:t>
      </w:r>
      <w:r>
        <w:rPr>
          <w:rFonts w:eastAsia="Times New Roman"/>
          <w:sz w:val="30"/>
          <w:szCs w:val="30"/>
          <w:lang w:val="es-ES"/>
        </w:rPr>
        <w:t xml:space="preserve"> y resultados.</w:t>
      </w:r>
    </w:p>
    <w:p w:rsidR="00000000" w:rsidRDefault="0018461E">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MERCADO PRIMARIO Y SECUNDARIO</w:t>
      </w:r>
    </w:p>
    <w:p w:rsidR="00000000" w:rsidRDefault="0018461E">
      <w:pPr>
        <w:divId w:val="1295939582"/>
        <w:rPr>
          <w:rFonts w:eastAsia="Times New Roman"/>
          <w:sz w:val="30"/>
          <w:szCs w:val="30"/>
          <w:lang w:val="es-ES"/>
        </w:rPr>
      </w:pPr>
      <w:r>
        <w:rPr>
          <w:rFonts w:eastAsia="Times New Roman"/>
          <w:b/>
          <w:bCs/>
          <w:sz w:val="30"/>
          <w:szCs w:val="30"/>
          <w:lang w:val="es-ES"/>
        </w:rPr>
        <w:t xml:space="preserve">Art. 29.- Del alcance.- </w:t>
      </w:r>
      <w:r>
        <w:rPr>
          <w:rFonts w:eastAsia="Times New Roman"/>
          <w:sz w:val="30"/>
          <w:szCs w:val="30"/>
          <w:lang w:val="es-ES"/>
        </w:rPr>
        <w:t>(Reformado por el Art. 15 del la Ley s/n, R.O. 249-S, 20-V-2014).- Mercado primario, es aquel en que los compradores y el emisor participan directamente o a través de inte</w:t>
      </w:r>
      <w:r>
        <w:rPr>
          <w:rFonts w:eastAsia="Times New Roman"/>
          <w:sz w:val="30"/>
          <w:szCs w:val="30"/>
          <w:lang w:val="es-ES"/>
        </w:rPr>
        <w:t>rmediarios, en la compraventa de valores de renta fija o variable y determinación de los precios ofrecidos al público por primera vez.</w:t>
      </w:r>
      <w:r>
        <w:rPr>
          <w:rFonts w:eastAsia="Times New Roman"/>
          <w:sz w:val="30"/>
          <w:szCs w:val="30"/>
          <w:lang w:val="es-ES"/>
        </w:rPr>
        <w:br/>
      </w:r>
      <w:r>
        <w:rPr>
          <w:rFonts w:eastAsia="Times New Roman"/>
          <w:sz w:val="30"/>
          <w:szCs w:val="30"/>
          <w:lang w:val="es-ES"/>
        </w:rPr>
        <w:br/>
        <w:t>Mercado secundario, comprende las operaciones o negociaciones que se realizan con posterioridad a la primera colocación;</w:t>
      </w:r>
      <w:r>
        <w:rPr>
          <w:rFonts w:eastAsia="Times New Roman"/>
          <w:sz w:val="30"/>
          <w:szCs w:val="30"/>
          <w:lang w:val="es-ES"/>
        </w:rPr>
        <w:t xml:space="preserve"> por lo tanto, los recursos provenientes de aquellas, los reciben sus vendedores.</w:t>
      </w:r>
      <w:r>
        <w:rPr>
          <w:rFonts w:eastAsia="Times New Roman"/>
          <w:sz w:val="30"/>
          <w:szCs w:val="30"/>
          <w:lang w:val="es-ES"/>
        </w:rPr>
        <w:br/>
      </w:r>
      <w:r>
        <w:rPr>
          <w:rFonts w:eastAsia="Times New Roman"/>
          <w:sz w:val="30"/>
          <w:szCs w:val="30"/>
          <w:lang w:val="es-ES"/>
        </w:rPr>
        <w:br/>
        <w:t>Tanto en el mercado primario como en el secundario, las casas de valores serán los únicos intermediarios autorizados para ofrecer al público directamente tales valores, de c</w:t>
      </w:r>
      <w:r>
        <w:rPr>
          <w:rFonts w:eastAsia="Times New Roman"/>
          <w:sz w:val="30"/>
          <w:szCs w:val="30"/>
          <w:lang w:val="es-ES"/>
        </w:rPr>
        <w:t>onformidad con las normas previstas en esta Ley y las resoluciones que expida el C.N.V.</w:t>
      </w:r>
    </w:p>
    <w:p w:rsidR="00000000" w:rsidRDefault="0018461E">
      <w:pPr>
        <w:divId w:val="1978143875"/>
        <w:rPr>
          <w:rFonts w:eastAsia="Times New Roman"/>
          <w:sz w:val="30"/>
          <w:szCs w:val="30"/>
          <w:lang w:val="es-ES"/>
        </w:rPr>
      </w:pPr>
      <w:r>
        <w:rPr>
          <w:rFonts w:eastAsia="Times New Roman"/>
          <w:b/>
          <w:bCs/>
          <w:sz w:val="30"/>
          <w:szCs w:val="30"/>
          <w:lang w:val="es-ES"/>
        </w:rPr>
        <w:t xml:space="preserve">Art. 30.- De los valores de renta fija y su colocación.- </w:t>
      </w:r>
      <w:r>
        <w:rPr>
          <w:rFonts w:eastAsia="Times New Roman"/>
          <w:sz w:val="30"/>
          <w:szCs w:val="30"/>
          <w:lang w:val="es-ES"/>
        </w:rPr>
        <w:t>(Sustituido por el Art. 16 del la Ley s/n, R.O. 249-S, 20-V-2014).- De los valores de renta fija y su colocació</w:t>
      </w:r>
      <w:r>
        <w:rPr>
          <w:rFonts w:eastAsia="Times New Roman"/>
          <w:sz w:val="30"/>
          <w:szCs w:val="30"/>
          <w:lang w:val="es-ES"/>
        </w:rPr>
        <w:t>n.-Valores de renta fija son aquellos cuyo rendimiento no depende de los resultados de la compañía emisora, sino que está predeterminado en el momento de la emisión y es aceptado por las partes.</w:t>
      </w:r>
      <w:r>
        <w:rPr>
          <w:rFonts w:eastAsia="Times New Roman"/>
          <w:sz w:val="30"/>
          <w:szCs w:val="30"/>
          <w:lang w:val="es-ES"/>
        </w:rPr>
        <w:br/>
      </w:r>
      <w:r>
        <w:rPr>
          <w:rFonts w:eastAsia="Times New Roman"/>
          <w:sz w:val="30"/>
          <w:szCs w:val="30"/>
          <w:lang w:val="es-ES"/>
        </w:rPr>
        <w:br/>
        <w:t>El emisor debe colocar los valores de renta fija que emita e</w:t>
      </w:r>
      <w:r>
        <w:rPr>
          <w:rFonts w:eastAsia="Times New Roman"/>
          <w:sz w:val="30"/>
          <w:szCs w:val="30"/>
          <w:lang w:val="es-ES"/>
        </w:rPr>
        <w:t>n el mercado bursátil a través de una casa de valores, o un operador autorizado, salvo los casos de excepción previstos en esta Ley.</w:t>
      </w:r>
    </w:p>
    <w:p w:rsidR="00000000" w:rsidRDefault="0018461E">
      <w:pPr>
        <w:divId w:val="1769161036"/>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b/>
          <w:bCs/>
          <w:sz w:val="30"/>
          <w:szCs w:val="30"/>
          <w:lang w:val="es-ES"/>
        </w:rPr>
        <w:t xml:space="preserve">De las negociaciones de valores de renta fija entre empresas vinculadas.- </w:t>
      </w:r>
      <w:r>
        <w:rPr>
          <w:rFonts w:eastAsia="Times New Roman"/>
          <w:sz w:val="30"/>
          <w:szCs w:val="30"/>
          <w:lang w:val="es-ES"/>
        </w:rPr>
        <w:t>Las negociaciones de valores entre empr</w:t>
      </w:r>
      <w:r>
        <w:rPr>
          <w:rFonts w:eastAsia="Times New Roman"/>
          <w:sz w:val="30"/>
          <w:szCs w:val="30"/>
          <w:lang w:val="es-ES"/>
        </w:rPr>
        <w:t>esas vinculadas, cuando éstos estén inscritos en cualquiera de las bolsas de valores del país, se efectuarán a través de dichas entidades.</w:t>
      </w:r>
      <w:r>
        <w:rPr>
          <w:rFonts w:eastAsia="Times New Roman"/>
          <w:sz w:val="30"/>
          <w:szCs w:val="30"/>
          <w:lang w:val="es-ES"/>
        </w:rPr>
        <w:br/>
      </w:r>
      <w:r>
        <w:rPr>
          <w:rFonts w:eastAsia="Times New Roman"/>
          <w:sz w:val="30"/>
          <w:szCs w:val="30"/>
          <w:lang w:val="es-ES"/>
        </w:rPr>
        <w:br/>
        <w:t>Las negociaciones de valores emitidos, garantizados, aceptados o avalados, por una empresa vinculada, ya sea al comp</w:t>
      </w:r>
      <w:r>
        <w:rPr>
          <w:rFonts w:eastAsia="Times New Roman"/>
          <w:sz w:val="30"/>
          <w:szCs w:val="30"/>
          <w:lang w:val="es-ES"/>
        </w:rPr>
        <w:t>rador o al vendedor, se realizarán obligatoriamente a través de bolsa.</w:t>
      </w:r>
      <w:r>
        <w:rPr>
          <w:rFonts w:eastAsia="Times New Roman"/>
          <w:sz w:val="30"/>
          <w:szCs w:val="30"/>
          <w:lang w:val="es-ES"/>
        </w:rPr>
        <w:br/>
      </w:r>
      <w:r>
        <w:rPr>
          <w:rFonts w:eastAsia="Times New Roman"/>
          <w:sz w:val="30"/>
          <w:szCs w:val="30"/>
          <w:lang w:val="es-ES"/>
        </w:rPr>
        <w:lastRenderedPageBreak/>
        <w:br/>
        <w:t>Toda transacción realizada a nombre de terceros, efectuada por un intermediario autorizado, con valores emitidos, aceptados, garantizados o avalados por empresas vinculadas a dicho int</w:t>
      </w:r>
      <w:r>
        <w:rPr>
          <w:rFonts w:eastAsia="Times New Roman"/>
          <w:sz w:val="30"/>
          <w:szCs w:val="30"/>
          <w:lang w:val="es-ES"/>
        </w:rPr>
        <w:t>ermediario, deberá efectuarse obligatoriamente a través de bolsa.</w:t>
      </w:r>
      <w:r>
        <w:rPr>
          <w:rFonts w:eastAsia="Times New Roman"/>
          <w:sz w:val="30"/>
          <w:szCs w:val="30"/>
          <w:lang w:val="es-ES"/>
        </w:rPr>
        <w:br/>
      </w:r>
      <w:r>
        <w:rPr>
          <w:rFonts w:eastAsia="Times New Roman"/>
          <w:sz w:val="30"/>
          <w:szCs w:val="30"/>
          <w:lang w:val="es-ES"/>
        </w:rPr>
        <w:br/>
        <w:t>Las administradoras de fondos y fideicomisos sólo podrán comprar o vender valores emitidos, aceptados, garantizados o avalados por empresas vinculadas con dicha administradora, en las bolsa</w:t>
      </w:r>
      <w:r>
        <w:rPr>
          <w:rFonts w:eastAsia="Times New Roman"/>
          <w:sz w:val="30"/>
          <w:szCs w:val="30"/>
          <w:lang w:val="es-ES"/>
        </w:rPr>
        <w:t>s de valores del país.</w:t>
      </w:r>
    </w:p>
    <w:p w:rsidR="00000000" w:rsidRDefault="0018461E">
      <w:pPr>
        <w:divId w:val="606625207"/>
        <w:rPr>
          <w:rFonts w:eastAsia="Times New Roman"/>
          <w:sz w:val="30"/>
          <w:szCs w:val="30"/>
          <w:lang w:val="es-ES"/>
        </w:rPr>
      </w:pPr>
      <w:r>
        <w:rPr>
          <w:rFonts w:eastAsia="Times New Roman"/>
          <w:b/>
          <w:bCs/>
          <w:sz w:val="30"/>
          <w:szCs w:val="30"/>
          <w:lang w:val="es-ES"/>
        </w:rPr>
        <w:t>Art. 32.- Valores de renta variable.-</w:t>
      </w:r>
      <w:r>
        <w:rPr>
          <w:rFonts w:eastAsia="Times New Roman"/>
          <w:sz w:val="30"/>
          <w:szCs w:val="30"/>
          <w:lang w:val="es-ES"/>
        </w:rPr>
        <w:t xml:space="preserve"> (Sustituido por el Art. 17 del la Ley s/n, R.O. 249-S, 20-V-2014; y, reformado por la Disposición Reformatoria Décima Séptima, nums. 1 y 2 del Código Orgánico Monetario y Financiero; R.O. 332-2S,</w:t>
      </w:r>
      <w:r>
        <w:rPr>
          <w:rFonts w:eastAsia="Times New Roman"/>
          <w:sz w:val="30"/>
          <w:szCs w:val="30"/>
          <w:lang w:val="es-ES"/>
        </w:rPr>
        <w:t xml:space="preserve"> 12-IX-2014).- Son aquellos que no tienen un vencimiento determinado y cuyo rendimiento, en forma de dividendos o ganancias de capital, variará según los resultados financieros del emisor.</w:t>
      </w:r>
      <w:r>
        <w:rPr>
          <w:rFonts w:eastAsia="Times New Roman"/>
          <w:sz w:val="30"/>
          <w:szCs w:val="30"/>
          <w:lang w:val="es-ES"/>
        </w:rPr>
        <w:br/>
      </w:r>
      <w:r>
        <w:rPr>
          <w:rFonts w:eastAsia="Times New Roman"/>
          <w:sz w:val="30"/>
          <w:szCs w:val="30"/>
          <w:lang w:val="es-ES"/>
        </w:rPr>
        <w:br/>
        <w:t xml:space="preserve">Tanto en el mercado primario como en el secundario los valores de </w:t>
      </w:r>
      <w:r>
        <w:rPr>
          <w:rFonts w:eastAsia="Times New Roman"/>
          <w:sz w:val="30"/>
          <w:szCs w:val="30"/>
          <w:lang w:val="es-ES"/>
        </w:rPr>
        <w:t>renta variable inscritos en las bolsas de valores deben comprarse y venderse únicamente en el mercado bursátil, a través de intermediarios de valores autorizados.</w:t>
      </w:r>
      <w:r>
        <w:rPr>
          <w:rFonts w:eastAsia="Times New Roman"/>
          <w:sz w:val="30"/>
          <w:szCs w:val="30"/>
          <w:lang w:val="es-ES"/>
        </w:rPr>
        <w:br/>
      </w:r>
      <w:r>
        <w:rPr>
          <w:rFonts w:eastAsia="Times New Roman"/>
          <w:sz w:val="30"/>
          <w:szCs w:val="30"/>
          <w:lang w:val="es-ES"/>
        </w:rPr>
        <w:br/>
        <w:t>Las transferencias de acciones inscritas en el Catastro Público del Mercado de Valores origi</w:t>
      </w:r>
      <w:r>
        <w:rPr>
          <w:rFonts w:eastAsia="Times New Roman"/>
          <w:sz w:val="30"/>
          <w:szCs w:val="30"/>
          <w:lang w:val="es-ES"/>
        </w:rPr>
        <w:t>nadas en fusiones, escisiones, herencias, legados, donaciones, liquidaciones de sociedades conyugales o uniones de hecho; aportes y restituciones a fideicomisos mercantiles, en los que el constituyente sea el mismo beneficiario; aportes de capital en accio</w:t>
      </w:r>
      <w:r>
        <w:rPr>
          <w:rFonts w:eastAsia="Times New Roman"/>
          <w:sz w:val="30"/>
          <w:szCs w:val="30"/>
          <w:lang w:val="es-ES"/>
        </w:rPr>
        <w:t>nes en virtud de constitución de compañías o del derecho de preferencia; y la suscripción de acciones y obligaciones convertibles en acciones por los accionistas en ejercicio del derecho preferente y otras que determine la Junta de Regulación, no se realiz</w:t>
      </w:r>
      <w:r>
        <w:rPr>
          <w:rFonts w:eastAsia="Times New Roman"/>
          <w:sz w:val="30"/>
          <w:szCs w:val="30"/>
          <w:lang w:val="es-ES"/>
        </w:rPr>
        <w:t>arán por las bolsas de valores ni por el Registro Especial Bursátil.</w:t>
      </w:r>
      <w:r>
        <w:rPr>
          <w:rFonts w:eastAsia="Times New Roman"/>
          <w:sz w:val="30"/>
          <w:szCs w:val="30"/>
          <w:lang w:val="es-ES"/>
        </w:rPr>
        <w:br/>
      </w:r>
      <w:r>
        <w:rPr>
          <w:rFonts w:eastAsia="Times New Roman"/>
          <w:sz w:val="30"/>
          <w:szCs w:val="30"/>
          <w:lang w:val="es-ES"/>
        </w:rPr>
        <w:br/>
        <w:t>Serán sancionados de conformidad a las disposiciones de esta Ley, quienes negocien valores sin someterse al procedimiento de oferta pública de adquisición, cuando éste sea requerido.</w:t>
      </w:r>
      <w:r>
        <w:rPr>
          <w:rFonts w:eastAsia="Times New Roman"/>
          <w:sz w:val="30"/>
          <w:szCs w:val="30"/>
          <w:lang w:val="es-ES"/>
        </w:rPr>
        <w:br/>
      </w:r>
      <w:r>
        <w:rPr>
          <w:rFonts w:eastAsia="Times New Roman"/>
          <w:sz w:val="30"/>
          <w:szCs w:val="30"/>
          <w:lang w:val="es-ES"/>
        </w:rPr>
        <w:br/>
        <w:t>En</w:t>
      </w:r>
      <w:r>
        <w:rPr>
          <w:rFonts w:eastAsia="Times New Roman"/>
          <w:sz w:val="30"/>
          <w:szCs w:val="30"/>
          <w:lang w:val="es-ES"/>
        </w:rPr>
        <w:t xml:space="preserve"> los casos en los cuales las personas naturales y jurídicas que </w:t>
      </w:r>
      <w:r>
        <w:rPr>
          <w:rFonts w:eastAsia="Times New Roman"/>
          <w:sz w:val="30"/>
          <w:szCs w:val="30"/>
          <w:lang w:val="es-ES"/>
        </w:rPr>
        <w:lastRenderedPageBreak/>
        <w:t>directa o indirectamente, o a través de terceros, en razón de las transferencias detalladas en este artículo, llegaren a tener el diez por ciento o más del capital suscrito de una sociedad ins</w:t>
      </w:r>
      <w:r>
        <w:rPr>
          <w:rFonts w:eastAsia="Times New Roman"/>
          <w:sz w:val="30"/>
          <w:szCs w:val="30"/>
          <w:lang w:val="es-ES"/>
        </w:rPr>
        <w:t>crita en el Registro del Mercado de Valores deben notificar sobre tal transacción a las bolsas de valores en las siguientes 24 horas contadas desde el momento en que se perfeccione la transferencia de la propiedad de los valores inscritos. Las bolsas de va</w:t>
      </w:r>
      <w:r>
        <w:rPr>
          <w:rFonts w:eastAsia="Times New Roman"/>
          <w:sz w:val="30"/>
          <w:szCs w:val="30"/>
          <w:lang w:val="es-ES"/>
        </w:rPr>
        <w:t>lores que reciban la notificación de esta clase de transferencias deben difundir inmediatamente dicha información a todo el mercado.</w:t>
      </w:r>
      <w:r>
        <w:rPr>
          <w:rFonts w:eastAsia="Times New Roman"/>
          <w:sz w:val="30"/>
          <w:szCs w:val="30"/>
          <w:lang w:val="es-ES"/>
        </w:rPr>
        <w:br/>
      </w:r>
      <w:r>
        <w:rPr>
          <w:rFonts w:eastAsia="Times New Roman"/>
          <w:sz w:val="30"/>
          <w:szCs w:val="30"/>
          <w:lang w:val="es-ES"/>
        </w:rPr>
        <w:br/>
        <w:t xml:space="preserve">Serán nulas las transferencias realizadas con violación de lo que dispone el presente artículo sin que, por consiguiente, </w:t>
      </w:r>
      <w:r>
        <w:rPr>
          <w:rFonts w:eastAsia="Times New Roman"/>
          <w:sz w:val="30"/>
          <w:szCs w:val="30"/>
          <w:lang w:val="es-ES"/>
        </w:rPr>
        <w:t>el cesionario pueda ejercer ninguno de los derechos que le otorga la ley al accionista.</w:t>
      </w:r>
      <w:r>
        <w:rPr>
          <w:rFonts w:eastAsia="Times New Roman"/>
          <w:sz w:val="30"/>
          <w:szCs w:val="30"/>
          <w:lang w:val="es-ES"/>
        </w:rPr>
        <w:br/>
      </w:r>
      <w:r>
        <w:rPr>
          <w:rFonts w:eastAsia="Times New Roman"/>
          <w:sz w:val="30"/>
          <w:szCs w:val="30"/>
          <w:lang w:val="es-ES"/>
        </w:rPr>
        <w:br/>
        <w:t>La Junta de olítica y Regulación Monetaria y Financiera. deberá expedir las normas para la fijación de los ajustes de precio como consecuencia de aumentos de capital y</w:t>
      </w:r>
      <w:r>
        <w:rPr>
          <w:rFonts w:eastAsia="Times New Roman"/>
          <w:sz w:val="30"/>
          <w:szCs w:val="30"/>
          <w:lang w:val="es-ES"/>
        </w:rPr>
        <w:t>/o reparto de dividendos de empresas inscritas en el registro de una bolsa de valores.</w:t>
      </w:r>
      <w:r>
        <w:rPr>
          <w:rFonts w:eastAsia="Times New Roman"/>
          <w:sz w:val="30"/>
          <w:szCs w:val="30"/>
          <w:lang w:val="es-ES"/>
        </w:rPr>
        <w:br/>
      </w:r>
      <w:r>
        <w:rPr>
          <w:rFonts w:eastAsia="Times New Roman"/>
          <w:sz w:val="30"/>
          <w:szCs w:val="30"/>
          <w:lang w:val="es-ES"/>
        </w:rPr>
        <w:br/>
        <w:t>Las compañías anónimas y de economía mixta podrán emitir acciones preferidas, de conformidad con lo establecido en la Ley de Compañías.</w:t>
      </w:r>
    </w:p>
    <w:p w:rsidR="00000000" w:rsidRDefault="0018461E">
      <w:pPr>
        <w:divId w:val="1774132816"/>
        <w:rPr>
          <w:rFonts w:eastAsia="Times New Roman"/>
          <w:sz w:val="30"/>
          <w:szCs w:val="30"/>
          <w:lang w:val="es-ES"/>
        </w:rPr>
      </w:pPr>
      <w:r>
        <w:rPr>
          <w:rFonts w:eastAsia="Times New Roman"/>
          <w:b/>
          <w:bCs/>
          <w:sz w:val="30"/>
          <w:szCs w:val="30"/>
          <w:lang w:val="es-ES"/>
        </w:rPr>
        <w:t xml:space="preserve">Art. 33.- </w:t>
      </w:r>
      <w:r>
        <w:rPr>
          <w:rFonts w:eastAsia="Times New Roman"/>
          <w:sz w:val="30"/>
          <w:szCs w:val="30"/>
          <w:lang w:val="es-ES"/>
        </w:rPr>
        <w:t xml:space="preserve">(Derogado por el Art. </w:t>
      </w:r>
      <w:r>
        <w:rPr>
          <w:rFonts w:eastAsia="Times New Roman"/>
          <w:sz w:val="30"/>
          <w:szCs w:val="30"/>
          <w:lang w:val="es-ES"/>
        </w:rPr>
        <w:t>18 del la Ley s/n, R.O. 249-S, 20-V-2014).-</w:t>
      </w:r>
    </w:p>
    <w:p w:rsidR="00000000" w:rsidRDefault="0018461E">
      <w:pPr>
        <w:divId w:val="1783917923"/>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(Derogado por el Art. 18 del la Ley s/n, R.O. 249-S, 20-V-2014).-</w:t>
      </w:r>
    </w:p>
    <w:p w:rsidR="00000000" w:rsidRDefault="0018461E">
      <w:pPr>
        <w:divId w:val="121508927"/>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De la transferencia y adquisición de acciones.- </w:t>
      </w:r>
      <w:r>
        <w:rPr>
          <w:rFonts w:eastAsia="Times New Roman"/>
          <w:sz w:val="30"/>
          <w:szCs w:val="30"/>
          <w:lang w:val="es-ES"/>
        </w:rPr>
        <w:t>(Reformado por la Disposición Reformatoria Décima Séptima, num. 1 del Código Orgánico Monetario y Financiero; R.O. 332-2S, 12-IX-2014).- Las personas que directa o indirectamente o a través de terceros posean el diez por ciento o más del capital suscrito d</w:t>
      </w:r>
      <w:r>
        <w:rPr>
          <w:rFonts w:eastAsia="Times New Roman"/>
          <w:sz w:val="30"/>
          <w:szCs w:val="30"/>
          <w:lang w:val="es-ES"/>
        </w:rPr>
        <w:t>e una sociedad inscrita en el Catastro Público del Mercado de Valores, o que a causa de una adquisición de acciones lleguen a tener dicho porcentaje, así como los representantes legales y los administradores de dichas sociedades, en su caso, cualquiera que</w:t>
      </w:r>
      <w:r>
        <w:rPr>
          <w:rFonts w:eastAsia="Times New Roman"/>
          <w:sz w:val="30"/>
          <w:szCs w:val="30"/>
          <w:lang w:val="es-ES"/>
        </w:rPr>
        <w:t xml:space="preserve"> sea el número de acciones que posean, deberán informar a la Superintendencia de Compañías y a las bolsas de valores, de toda adquisición o transferencia de acciones que llegarán a efectuar en esa sociedad con </w:t>
      </w:r>
      <w:r>
        <w:rPr>
          <w:rFonts w:eastAsia="Times New Roman"/>
          <w:sz w:val="30"/>
          <w:szCs w:val="30"/>
          <w:lang w:val="es-ES"/>
        </w:rPr>
        <w:lastRenderedPageBreak/>
        <w:t>cinco días hábiles de anticipación a la transa</w:t>
      </w:r>
      <w:r>
        <w:rPr>
          <w:rFonts w:eastAsia="Times New Roman"/>
          <w:sz w:val="30"/>
          <w:szCs w:val="30"/>
          <w:lang w:val="es-ES"/>
        </w:rPr>
        <w:t>cción o transacciones respectivas.</w:t>
      </w:r>
    </w:p>
    <w:p w:rsidR="00000000" w:rsidRDefault="0018461E">
      <w:pPr>
        <w:divId w:val="1318532051"/>
        <w:rPr>
          <w:rFonts w:eastAsia="Times New Roman"/>
          <w:sz w:val="30"/>
          <w:szCs w:val="30"/>
          <w:lang w:val="es-ES"/>
        </w:rPr>
      </w:pPr>
      <w:r>
        <w:rPr>
          <w:rFonts w:eastAsia="Times New Roman"/>
          <w:b/>
          <w:bCs/>
          <w:sz w:val="30"/>
          <w:szCs w:val="30"/>
          <w:lang w:val="es-ES"/>
        </w:rPr>
        <w:t xml:space="preserve">Art. 36.- </w:t>
      </w:r>
      <w:r>
        <w:rPr>
          <w:rFonts w:eastAsia="Times New Roman"/>
          <w:sz w:val="30"/>
          <w:szCs w:val="30"/>
          <w:lang w:val="es-ES"/>
        </w:rPr>
        <w:t>(Derogado por el Art. 18 del la Ley s/n, R.O. 249-S, 20-V-2014).-</w:t>
      </w:r>
    </w:p>
    <w:p w:rsidR="00000000" w:rsidRDefault="0018461E">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LAS INVERSIONES DEL SECTOR PÚBLICO EN EL MERCADO DE VALORES</w:t>
      </w:r>
    </w:p>
    <w:p w:rsidR="00000000" w:rsidRDefault="0018461E">
      <w:pPr>
        <w:divId w:val="1201478770"/>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w:t>
      </w:r>
      <w:r>
        <w:rPr>
          <w:rFonts w:eastAsia="Times New Roman"/>
          <w:b/>
          <w:bCs/>
          <w:sz w:val="30"/>
          <w:szCs w:val="30"/>
          <w:lang w:val="es-ES"/>
        </w:rPr>
        <w:t>Participación del sector público en el mercado de valores.-</w:t>
      </w:r>
      <w:r>
        <w:rPr>
          <w:rFonts w:eastAsia="Times New Roman"/>
          <w:b/>
          <w:bCs/>
          <w:sz w:val="30"/>
          <w:szCs w:val="30"/>
          <w:lang w:val="es-ES"/>
        </w:rPr>
        <w:t xml:space="preserve"> </w:t>
      </w:r>
      <w:r>
        <w:rPr>
          <w:rFonts w:eastAsia="Times New Roman"/>
          <w:sz w:val="30"/>
          <w:szCs w:val="30"/>
          <w:lang w:val="es-ES"/>
        </w:rPr>
        <w:t>(Sustituido por el Art. 19 del la Ley s/n, R.O. 249-S, 20-V-2014; y, reformado por la Disposición Reformatoria Décima Séptima, nums. 1 y 2 del Código Orgánico Monetario y Financiero; R.O. 332-2S, 12-IX-2014).- la inversión y desinversión de valores inscri</w:t>
      </w:r>
      <w:r>
        <w:rPr>
          <w:rFonts w:eastAsia="Times New Roman"/>
          <w:sz w:val="30"/>
          <w:szCs w:val="30"/>
          <w:lang w:val="es-ES"/>
        </w:rPr>
        <w:t xml:space="preserve">tos en el Catastro Público del Mercado de Valores que realicen directa o indirectamente las entidades, empresas y organismos del sector público deberán realizarse obligatoriamente a través del mercado bursátil, excepto si en la transacción participan como </w:t>
      </w:r>
      <w:r>
        <w:rPr>
          <w:rFonts w:eastAsia="Times New Roman"/>
          <w:sz w:val="30"/>
          <w:szCs w:val="30"/>
          <w:lang w:val="es-ES"/>
        </w:rPr>
        <w:t>comprador y vendedor dos entes del sector público. En este caso las operaciones deberán registrarse de manera informativa y gratuita en un registro que para el efecto deberán mantener las bolsas de valores. La Junta de olítica y Regulación Monetaria y Fina</w:t>
      </w:r>
      <w:r>
        <w:rPr>
          <w:rFonts w:eastAsia="Times New Roman"/>
          <w:sz w:val="30"/>
          <w:szCs w:val="30"/>
          <w:lang w:val="es-ES"/>
        </w:rPr>
        <w:t>nciera. normará el contenido y funcionamiento de dicho registro informativo.</w:t>
      </w:r>
      <w:r>
        <w:rPr>
          <w:rFonts w:eastAsia="Times New Roman"/>
          <w:sz w:val="30"/>
          <w:szCs w:val="30"/>
          <w:lang w:val="es-ES"/>
        </w:rPr>
        <w:br/>
      </w:r>
      <w:r>
        <w:rPr>
          <w:rFonts w:eastAsia="Times New Roman"/>
          <w:sz w:val="30"/>
          <w:szCs w:val="30"/>
          <w:lang w:val="es-ES"/>
        </w:rPr>
        <w:br/>
        <w:t>La inversión de recursos financieros y emisión de valores del sector público se someterá a los principios de transparencia, rendición de cuentas y control público, de conformidad</w:t>
      </w:r>
      <w:r>
        <w:rPr>
          <w:rFonts w:eastAsia="Times New Roman"/>
          <w:sz w:val="30"/>
          <w:szCs w:val="30"/>
          <w:lang w:val="es-ES"/>
        </w:rPr>
        <w:t xml:space="preserve"> con la Constitución de la República del Ecuador y la ley.</w:t>
      </w:r>
      <w:r>
        <w:rPr>
          <w:rFonts w:eastAsia="Times New Roman"/>
          <w:sz w:val="30"/>
          <w:szCs w:val="30"/>
          <w:lang w:val="es-ES"/>
        </w:rPr>
        <w:br/>
      </w:r>
      <w:r>
        <w:rPr>
          <w:rFonts w:eastAsia="Times New Roman"/>
          <w:sz w:val="30"/>
          <w:szCs w:val="30"/>
          <w:lang w:val="es-ES"/>
        </w:rPr>
        <w:br/>
        <w:t>El ente rector de las finanzas públicas podrá realizar intermediación de bonos del Estado con el público en general, a través de la bolsa de valores para lo cual la Junta de olítica y Regulación M</w:t>
      </w:r>
      <w:r>
        <w:rPr>
          <w:rFonts w:eastAsia="Times New Roman"/>
          <w:sz w:val="30"/>
          <w:szCs w:val="30"/>
          <w:lang w:val="es-ES"/>
        </w:rPr>
        <w:t>onetaria y Financiera. establecerá las normas de carácter general respectivas.</w:t>
      </w:r>
      <w:r>
        <w:rPr>
          <w:rFonts w:eastAsia="Times New Roman"/>
          <w:sz w:val="30"/>
          <w:szCs w:val="30"/>
          <w:lang w:val="es-ES"/>
        </w:rPr>
        <w:br/>
      </w:r>
      <w:r>
        <w:rPr>
          <w:rFonts w:eastAsia="Times New Roman"/>
          <w:sz w:val="30"/>
          <w:szCs w:val="30"/>
          <w:lang w:val="es-ES"/>
        </w:rPr>
        <w:br/>
        <w:t>Para efectos de negociaciones bursátiles, se deberán observar las siguientes disposiciones:</w:t>
      </w:r>
      <w:r>
        <w:rPr>
          <w:rFonts w:eastAsia="Times New Roman"/>
          <w:sz w:val="30"/>
          <w:szCs w:val="30"/>
          <w:lang w:val="es-ES"/>
        </w:rPr>
        <w:br/>
      </w:r>
      <w:r>
        <w:rPr>
          <w:rFonts w:eastAsia="Times New Roman"/>
          <w:sz w:val="30"/>
          <w:szCs w:val="30"/>
          <w:lang w:val="es-ES"/>
        </w:rPr>
        <w:br/>
        <w:t>a) Las instituciones financieras del sector público, el ente rector de las finanzas</w:t>
      </w:r>
      <w:r>
        <w:rPr>
          <w:rFonts w:eastAsia="Times New Roman"/>
          <w:sz w:val="30"/>
          <w:szCs w:val="30"/>
          <w:lang w:val="es-ES"/>
        </w:rPr>
        <w:t xml:space="preserve"> públicas, el Banco Central del Ecuador, las instituciones no financieras del sector público que de conformidad con la ley estén </w:t>
      </w:r>
      <w:r>
        <w:rPr>
          <w:rFonts w:eastAsia="Times New Roman"/>
          <w:sz w:val="30"/>
          <w:szCs w:val="30"/>
          <w:lang w:val="es-ES"/>
        </w:rPr>
        <w:lastRenderedPageBreak/>
        <w:t>obligadas a calificar a un funcionario o empleado para que realice operaciones bursátiles y aquellas que en consideración al vo</w:t>
      </w:r>
      <w:r>
        <w:rPr>
          <w:rFonts w:eastAsia="Times New Roman"/>
          <w:sz w:val="30"/>
          <w:szCs w:val="30"/>
          <w:lang w:val="es-ES"/>
        </w:rPr>
        <w:t>lumen de sus transacciones sean expresamente autorizadas por la Junta de olítica y Regulación Monetaria y Financiera, podrán realizar operaciones bursátiles por medio de Casas de Valores o a través de funcionarios o empleados calificados para el efecto por</w:t>
      </w:r>
      <w:r>
        <w:rPr>
          <w:rFonts w:eastAsia="Times New Roman"/>
          <w:sz w:val="30"/>
          <w:szCs w:val="30"/>
          <w:lang w:val="es-ES"/>
        </w:rPr>
        <w:t xml:space="preserve"> las bolsas de valores, quienes actuarán exclusivamente a nombre de las mismas o de otras instituciones del sector público, de conformidad con las normas previstas en esta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5" name="Imagen 35"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b) Las demás entidades del sector público que no s</w:t>
      </w:r>
      <w:r>
        <w:rPr>
          <w:rFonts w:eastAsia="Times New Roman"/>
          <w:sz w:val="30"/>
          <w:szCs w:val="30"/>
          <w:lang w:val="es-ES"/>
        </w:rPr>
        <w:t>e encuentren dentro de aquellas previstas en el literal anterior, podrán efectuar sus operaciones bursátiles por intermedio de funcionarios o empleados de otras instituciones del sector público, debidamente calificados para el efecto por las bolsas de valo</w:t>
      </w:r>
      <w:r>
        <w:rPr>
          <w:rFonts w:eastAsia="Times New Roman"/>
          <w:sz w:val="30"/>
          <w:szCs w:val="30"/>
          <w:lang w:val="es-ES"/>
        </w:rPr>
        <w:t>res o por intermedio de Casas de Valores.</w:t>
      </w:r>
      <w:r>
        <w:rPr>
          <w:rFonts w:eastAsia="Times New Roman"/>
          <w:sz w:val="30"/>
          <w:szCs w:val="30"/>
          <w:lang w:val="es-ES"/>
        </w:rPr>
        <w:br/>
      </w:r>
      <w:r>
        <w:rPr>
          <w:rFonts w:eastAsia="Times New Roman"/>
          <w:sz w:val="30"/>
          <w:szCs w:val="30"/>
          <w:lang w:val="es-ES"/>
        </w:rPr>
        <w:br/>
        <w:t>c) La contratación de Casas de Valores autorizadas en los dos literales anteriores, deberá efectuarse en virtud de una calificación que al menos considerará: condiciones de costo; capacidad jurídica, técnica y fin</w:t>
      </w:r>
      <w:r>
        <w:rPr>
          <w:rFonts w:eastAsia="Times New Roman"/>
          <w:sz w:val="30"/>
          <w:szCs w:val="30"/>
          <w:lang w:val="es-ES"/>
        </w:rPr>
        <w:t>anciera y, seguridad del intermediario; además de los requisitos que establezca mediante normas de carácter general la Junta de olítica y Regulación Monetaria y Financiera.</w:t>
      </w:r>
    </w:p>
    <w:p w:rsidR="00000000" w:rsidRDefault="0018461E">
      <w:pPr>
        <w:divId w:val="1275477809"/>
        <w:rPr>
          <w:rFonts w:eastAsia="Times New Roman"/>
          <w:sz w:val="30"/>
          <w:szCs w:val="30"/>
          <w:lang w:val="es-ES"/>
        </w:rPr>
      </w:pPr>
      <w:r>
        <w:rPr>
          <w:rFonts w:eastAsia="Times New Roman"/>
          <w:b/>
          <w:bCs/>
          <w:sz w:val="30"/>
          <w:szCs w:val="30"/>
          <w:lang w:val="es-ES"/>
        </w:rPr>
        <w:t>Art. 38.- Actividades adicionales de la Corporación Financiera Nacional</w:t>
      </w:r>
      <w:r>
        <w:rPr>
          <w:rFonts w:eastAsia="Times New Roman"/>
          <w:sz w:val="30"/>
          <w:szCs w:val="30"/>
          <w:lang w:val="es-ES"/>
        </w:rPr>
        <w:t>.- La Corpor</w:t>
      </w:r>
      <w:r>
        <w:rPr>
          <w:rFonts w:eastAsia="Times New Roman"/>
          <w:sz w:val="30"/>
          <w:szCs w:val="30"/>
          <w:lang w:val="es-ES"/>
        </w:rPr>
        <w:t xml:space="preserve">ación Financiera Nacional además de las operaciones autorizadas a realizar tanto en el mercado primario como en el mercado secundario, podrá intervenir como promotora o administradora de fondos de inversión y fideicomisos en los términos previstos en esta </w:t>
      </w:r>
      <w:r>
        <w:rPr>
          <w:rFonts w:eastAsia="Times New Roman"/>
          <w:sz w:val="30"/>
          <w:szCs w:val="30"/>
          <w:lang w:val="es-ES"/>
        </w:rPr>
        <w:t>Ley, así como en operaciones de colocación primaria de valores emitidos por el sector privado, sujetándose a las disposiciones previstas en esta Ley y sus normas complementarias.</w:t>
      </w:r>
    </w:p>
    <w:p w:rsidR="00000000" w:rsidRDefault="0018461E">
      <w:pPr>
        <w:divId w:val="1391538244"/>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w:t>
      </w:r>
      <w:r>
        <w:rPr>
          <w:rFonts w:eastAsia="Times New Roman"/>
          <w:b/>
          <w:bCs/>
          <w:sz w:val="30"/>
          <w:szCs w:val="30"/>
          <w:lang w:val="es-ES"/>
        </w:rPr>
        <w:t xml:space="preserve">De las obligaciones sobre las operaciones de las instituciones del sector público.- </w:t>
      </w:r>
      <w:r>
        <w:rPr>
          <w:rFonts w:eastAsia="Times New Roman"/>
          <w:sz w:val="30"/>
          <w:szCs w:val="30"/>
          <w:lang w:val="es-ES"/>
        </w:rPr>
        <w:t>En todos los casos en los cuales el comitente sea una institución del sector público, la casa de valores o el operador del sector público calificado, según procediere, debe</w:t>
      </w:r>
      <w:r>
        <w:rPr>
          <w:rFonts w:eastAsia="Times New Roman"/>
          <w:sz w:val="30"/>
          <w:szCs w:val="30"/>
          <w:lang w:val="es-ES"/>
        </w:rPr>
        <w:t>rá informar al cierre del día a las bolsas de valores y a la Superintendencia de Compañías, la identidad de los comitentes y las condiciones de las transacciones efectuadas, en la forma que determine la Superintendencia de Compañías, la cual comunicará sob</w:t>
      </w:r>
      <w:r>
        <w:rPr>
          <w:rFonts w:eastAsia="Times New Roman"/>
          <w:sz w:val="30"/>
          <w:szCs w:val="30"/>
          <w:lang w:val="es-ES"/>
        </w:rPr>
        <w:t xml:space="preserve">re el particular al Ministerio de Economía y Finanzas y al Directorio del Banco Central del Ecuador. Esta información no se </w:t>
      </w:r>
      <w:r>
        <w:rPr>
          <w:rFonts w:eastAsia="Times New Roman"/>
          <w:sz w:val="30"/>
          <w:szCs w:val="30"/>
          <w:lang w:val="es-ES"/>
        </w:rPr>
        <w:lastRenderedPageBreak/>
        <w:t>considerará violación al sigilo bursátil.</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i/>
          <w:iCs/>
          <w:sz w:val="30"/>
          <w:szCs w:val="30"/>
          <w:lang w:val="es-ES"/>
        </w:rPr>
        <w:br/>
        <w:t>Debido a la reforma establecida por el D.E. 854 (R.O. 253, 16-I-2008) al Art. 16 de</w:t>
      </w:r>
      <w:r>
        <w:rPr>
          <w:rFonts w:eastAsia="Times New Roman"/>
          <w:i/>
          <w:iCs/>
          <w:sz w:val="30"/>
          <w:szCs w:val="30"/>
          <w:lang w:val="es-ES"/>
        </w:rPr>
        <w:t>l Estatuto del Régimen Jurídico Administrativo de la Función Ejecutiva, la denominación del Ministerio de Economía y Finanzas fue sustituida por la de Ministerio de Finanzas.</w:t>
      </w:r>
    </w:p>
    <w:p w:rsidR="00000000" w:rsidRDefault="0018461E">
      <w:pPr>
        <w:divId w:val="119546319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(Derogado por el Art. 20 del la Ley s/n, R.O. 249-S, 20-V-2014).-</w:t>
      </w:r>
    </w:p>
    <w:p w:rsidR="00000000" w:rsidRDefault="0018461E">
      <w:pPr>
        <w:divId w:val="706373328"/>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41.-</w:t>
      </w:r>
      <w:r>
        <w:rPr>
          <w:rFonts w:eastAsia="Times New Roman"/>
          <w:b/>
          <w:bCs/>
          <w:sz w:val="30"/>
          <w:szCs w:val="30"/>
          <w:lang w:val="es-ES"/>
        </w:rPr>
        <w:t xml:space="preserve"> Reglamento especial.- </w:t>
      </w:r>
      <w:r>
        <w:rPr>
          <w:rFonts w:eastAsia="Times New Roman"/>
          <w:sz w:val="30"/>
          <w:szCs w:val="30"/>
          <w:lang w:val="es-ES"/>
        </w:rPr>
        <w:t>(Reformado por el lit. d) del num. 13 de la Ley s/n, R.O. 986-S, 18-IV-2017).- El C.N.V., dictará el reglamento especial, que contendrá las normas, procedimientos y requisitos, que las entidades del sector público deberán cumplir</w:t>
      </w:r>
      <w:r>
        <w:rPr>
          <w:rFonts w:eastAsia="Times New Roman"/>
          <w:sz w:val="30"/>
          <w:szCs w:val="30"/>
          <w:lang w:val="es-ES"/>
        </w:rPr>
        <w:t>, para acogerse a los procesos previstos en esta Ley. No tendrán más limitaciones que las que de modo expreso determinen las leyes especiales que las rijan.</w:t>
      </w:r>
      <w:r>
        <w:rPr>
          <w:rFonts w:eastAsia="Times New Roman"/>
          <w:sz w:val="30"/>
          <w:szCs w:val="30"/>
          <w:lang w:val="es-ES"/>
        </w:rPr>
        <w:br/>
      </w:r>
      <w:r>
        <w:rPr>
          <w:rFonts w:eastAsia="Times New Roman"/>
          <w:sz w:val="30"/>
          <w:szCs w:val="30"/>
          <w:lang w:val="es-ES"/>
        </w:rPr>
        <w:br/>
        <w:t>Para efectos de la aplicación de la presente Ley, las entidades del sector público no se sujetarán</w:t>
      </w:r>
      <w:r>
        <w:rPr>
          <w:rFonts w:eastAsia="Times New Roman"/>
          <w:sz w:val="30"/>
          <w:szCs w:val="30"/>
          <w:lang w:val="es-ES"/>
        </w:rPr>
        <w:t xml:space="preserve"> a las disposiciones de la Ley de Contratación Pública, ni requerirán de los informes del Procurador General del Estado, ni del Contralor General del Estado; sin embargo, estos funcionarios serán informados, por parte del Superintendente de Compañías, de t</w:t>
      </w:r>
      <w:r>
        <w:rPr>
          <w:rFonts w:eastAsia="Times New Roman"/>
          <w:sz w:val="30"/>
          <w:szCs w:val="30"/>
          <w:lang w:val="es-ES"/>
        </w:rPr>
        <w:t>odas las operaciones que sean de su conocimiento.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de Contratación Pública quedó expresamente derogada por la Disposición Derogatoria Primera de la Ley Orgánica del Sistema Nacional de Contratación Pública (Ley s/n, R.O. 395-S, 4-VIII-2008).</w:t>
      </w:r>
    </w:p>
    <w:p w:rsidR="00000000" w:rsidRDefault="0018461E">
      <w:pPr>
        <w:divId w:val="1707565551"/>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42.- </w:t>
      </w:r>
      <w:r>
        <w:rPr>
          <w:rFonts w:eastAsia="Times New Roman"/>
          <w:b/>
          <w:bCs/>
          <w:sz w:val="30"/>
          <w:szCs w:val="30"/>
          <w:lang w:val="es-ES"/>
        </w:rPr>
        <w:t>De las prohibiciones para los funcionarios o empleados de las instituciones del sector público.-</w:t>
      </w:r>
      <w:r>
        <w:rPr>
          <w:rFonts w:eastAsia="Times New Roman"/>
          <w:sz w:val="30"/>
          <w:szCs w:val="30"/>
          <w:lang w:val="es-ES"/>
        </w:rPr>
        <w:t xml:space="preserve"> (Sustituido por el Art. 21 del la Ley s/n, R.O. 249-S, 20-V-2014).- Los funcionarios o empleados de las instituciones del sector público debidamente c</w:t>
      </w:r>
      <w:r>
        <w:rPr>
          <w:rFonts w:eastAsia="Times New Roman"/>
          <w:sz w:val="30"/>
          <w:szCs w:val="30"/>
          <w:lang w:val="es-ES"/>
        </w:rPr>
        <w:t>alificados por las bolsas de valores para realizar operaciones bursátiles, no podrán efectuar operaciones a nombre de terceros, a menos que se trate de la ejecución de disposiciones legalmente impartidas por otra institución del sector público, o la interm</w:t>
      </w:r>
      <w:r>
        <w:rPr>
          <w:rFonts w:eastAsia="Times New Roman"/>
          <w:sz w:val="30"/>
          <w:szCs w:val="30"/>
          <w:lang w:val="es-ES"/>
        </w:rPr>
        <w:t>ediación de bonos del Estado con el público en general, que serán efectuadas por el ente rector de las finanzas públicas.</w:t>
      </w:r>
    </w:p>
    <w:p w:rsidR="00000000" w:rsidRDefault="0018461E">
      <w:pPr>
        <w:jc w:val="center"/>
        <w:rPr>
          <w:rFonts w:eastAsia="Times New Roman"/>
          <w:sz w:val="36"/>
          <w:szCs w:val="36"/>
          <w:lang w:val="es-ES"/>
        </w:rPr>
      </w:pPr>
      <w:r>
        <w:rPr>
          <w:rFonts w:eastAsia="Times New Roman"/>
          <w:b/>
          <w:bCs/>
          <w:sz w:val="36"/>
          <w:szCs w:val="36"/>
          <w:lang w:val="es-ES"/>
        </w:rPr>
        <w:lastRenderedPageBreak/>
        <w:br/>
        <w:t>Título IX</w:t>
      </w:r>
      <w:r>
        <w:rPr>
          <w:rFonts w:eastAsia="Times New Roman"/>
          <w:b/>
          <w:bCs/>
          <w:sz w:val="36"/>
          <w:szCs w:val="36"/>
          <w:lang w:val="es-ES"/>
        </w:rPr>
        <w:br/>
        <w:t>DE LA AUTORREGULACIÓN</w:t>
      </w:r>
    </w:p>
    <w:p w:rsidR="00000000" w:rsidRDefault="0018461E">
      <w:pPr>
        <w:divId w:val="1119179682"/>
        <w:rPr>
          <w:rFonts w:eastAsia="Times New Roman"/>
          <w:sz w:val="30"/>
          <w:szCs w:val="30"/>
          <w:lang w:val="es-ES"/>
        </w:rPr>
      </w:pPr>
      <w:r>
        <w:rPr>
          <w:rFonts w:eastAsia="Times New Roman"/>
          <w:b/>
          <w:bCs/>
          <w:sz w:val="30"/>
          <w:szCs w:val="30"/>
          <w:lang w:val="es-ES"/>
        </w:rPr>
        <w:t>Art. 43.- Del concepto y alcance</w:t>
      </w:r>
      <w:r>
        <w:rPr>
          <w:rFonts w:eastAsia="Times New Roman"/>
          <w:sz w:val="30"/>
          <w:szCs w:val="30"/>
          <w:lang w:val="es-ES"/>
        </w:rPr>
        <w:t xml:space="preserve">.- (Reformado por el Art. 22 de la Ley s/n, R.O. 249-S, 20-V-2014).- </w:t>
      </w:r>
      <w:r>
        <w:rPr>
          <w:rFonts w:eastAsia="Times New Roman"/>
          <w:sz w:val="30"/>
          <w:szCs w:val="30"/>
          <w:lang w:val="es-ES"/>
        </w:rPr>
        <w:t>Se entiende por autorregulación, la facultad que tienen las bolsas de valores y las asociaciones gremiales formadas por los entes creados al amparo de esta Ley y debidamente reconocidos por el C.N.V., para dictar sus reglamentos y demás normas internas, as</w:t>
      </w:r>
      <w:r>
        <w:rPr>
          <w:rFonts w:eastAsia="Times New Roman"/>
          <w:sz w:val="30"/>
          <w:szCs w:val="30"/>
          <w:lang w:val="es-ES"/>
        </w:rPr>
        <w:t>í como para ejercer el control de sus miembros e imponer las sanciones dentro del ámbito de su competencia.</w:t>
      </w:r>
      <w:r>
        <w:rPr>
          <w:rFonts w:eastAsia="Times New Roman"/>
          <w:sz w:val="30"/>
          <w:szCs w:val="30"/>
          <w:lang w:val="es-ES"/>
        </w:rPr>
        <w:br/>
      </w:r>
      <w:r>
        <w:rPr>
          <w:rFonts w:eastAsia="Times New Roman"/>
          <w:sz w:val="30"/>
          <w:szCs w:val="30"/>
          <w:lang w:val="es-ES"/>
        </w:rPr>
        <w:br/>
        <w:t>La autorregulación contemplará al menos las normas de ética, disciplina, autocontrol, vigilancia, sanción y sanas costumbres constituidas por hecho</w:t>
      </w:r>
      <w:r>
        <w:rPr>
          <w:rFonts w:eastAsia="Times New Roman"/>
          <w:sz w:val="30"/>
          <w:szCs w:val="30"/>
          <w:lang w:val="es-ES"/>
        </w:rPr>
        <w:t>s uniformes, públicos y generalmente practicados.</w:t>
      </w:r>
      <w:r>
        <w:rPr>
          <w:rFonts w:eastAsia="Times New Roman"/>
          <w:sz w:val="30"/>
          <w:szCs w:val="30"/>
          <w:lang w:val="es-ES"/>
        </w:rPr>
        <w:br/>
      </w:r>
      <w:r>
        <w:rPr>
          <w:rFonts w:eastAsia="Times New Roman"/>
          <w:sz w:val="30"/>
          <w:szCs w:val="30"/>
          <w:lang w:val="es-ES"/>
        </w:rPr>
        <w:br/>
        <w:t>La transgresión de las normas de autorregulación, deberá ser sancionada por el órgano autorregulador, sin perjuicio de la sanción que eventualmente dispusiere el órgano de control.</w:t>
      </w:r>
    </w:p>
    <w:p w:rsidR="00000000" w:rsidRDefault="0018461E">
      <w:pPr>
        <w:divId w:val="20973361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De la aprobación de</w:t>
      </w:r>
      <w:r>
        <w:rPr>
          <w:rFonts w:eastAsia="Times New Roman"/>
          <w:b/>
          <w:bCs/>
          <w:sz w:val="30"/>
          <w:szCs w:val="30"/>
          <w:lang w:val="es-ES"/>
        </w:rPr>
        <w:t xml:space="preserve"> las normas de autorregulación.- </w:t>
      </w:r>
      <w:r>
        <w:rPr>
          <w:rFonts w:eastAsia="Times New Roman"/>
          <w:sz w:val="30"/>
          <w:szCs w:val="30"/>
          <w:lang w:val="es-ES"/>
        </w:rPr>
        <w:t>(Agregado por el Art. 23 de la Ley s/n, R.O. 249-S, 20-V-2014; y, reformado por la Disposición Reformatoria Décima Séptima, nums. 2 y 3 del Código Orgánico Monetario y Financiero; R.O. 332-2S, 12-IX-2014).- Las normas de au</w:t>
      </w:r>
      <w:r>
        <w:rPr>
          <w:rFonts w:eastAsia="Times New Roman"/>
          <w:sz w:val="30"/>
          <w:szCs w:val="30"/>
          <w:lang w:val="es-ES"/>
        </w:rPr>
        <w:t>torregulación requerirán, necesariamente, de la aprobación de la Superintendencia de Compañías, Valores y Seguros.</w:t>
      </w:r>
      <w:r>
        <w:rPr>
          <w:rFonts w:eastAsia="Times New Roman"/>
          <w:sz w:val="30"/>
          <w:szCs w:val="30"/>
          <w:lang w:val="es-ES"/>
        </w:rPr>
        <w:br/>
      </w:r>
      <w:r>
        <w:rPr>
          <w:rFonts w:eastAsia="Times New Roman"/>
          <w:sz w:val="30"/>
          <w:szCs w:val="30"/>
          <w:lang w:val="es-ES"/>
        </w:rPr>
        <w:br/>
        <w:t>Las normas de autorregulación en el mercado bursátil que se refieran a la negociación de valores, inscripción y cancelación de intermediario</w:t>
      </w:r>
      <w:r>
        <w:rPr>
          <w:rFonts w:eastAsia="Times New Roman"/>
          <w:sz w:val="30"/>
          <w:szCs w:val="30"/>
          <w:lang w:val="es-ES"/>
        </w:rPr>
        <w:t xml:space="preserve">s, operadores, emisores de valores, sistema único bursátil y en los demás casos en los que determine la Junta de de Política y Regulación Monetaria y Financiera, deben ser aprobadas de manera conjunta con las bolsas de valores. Las normas deben garantizar </w:t>
      </w:r>
      <w:r>
        <w:rPr>
          <w:rFonts w:eastAsia="Times New Roman"/>
          <w:sz w:val="30"/>
          <w:szCs w:val="30"/>
          <w:lang w:val="es-ES"/>
        </w:rPr>
        <w:t>un tratamiento igualitario a sus regulados.</w:t>
      </w:r>
      <w:r>
        <w:rPr>
          <w:rFonts w:eastAsia="Times New Roman"/>
          <w:sz w:val="30"/>
          <w:szCs w:val="30"/>
          <w:lang w:val="es-ES"/>
        </w:rPr>
        <w:br/>
      </w:r>
      <w:r>
        <w:rPr>
          <w:rFonts w:eastAsia="Times New Roman"/>
          <w:sz w:val="30"/>
          <w:szCs w:val="30"/>
          <w:lang w:val="es-ES"/>
        </w:rPr>
        <w:br/>
        <w:t>Los miembros del máximo órgano administrativo de las bolsas de valores y de las asociaciones gremiales formadas por los entes creados al amparo de esta Ley, así como sus representantes legales serán responsables</w:t>
      </w:r>
      <w:r>
        <w:rPr>
          <w:rFonts w:eastAsia="Times New Roman"/>
          <w:sz w:val="30"/>
          <w:szCs w:val="30"/>
          <w:lang w:val="es-ES"/>
        </w:rPr>
        <w:t xml:space="preserve"> de velar por la estricta observancia de las normas de </w:t>
      </w:r>
      <w:r>
        <w:rPr>
          <w:rFonts w:eastAsia="Times New Roman"/>
          <w:sz w:val="30"/>
          <w:szCs w:val="30"/>
          <w:lang w:val="es-ES"/>
        </w:rPr>
        <w:lastRenderedPageBreak/>
        <w:t>autorregulación.</w:t>
      </w:r>
      <w:r>
        <w:rPr>
          <w:rFonts w:eastAsia="Times New Roman"/>
          <w:sz w:val="30"/>
          <w:szCs w:val="30"/>
          <w:lang w:val="es-ES"/>
        </w:rPr>
        <w:br/>
      </w:r>
      <w:r>
        <w:rPr>
          <w:rFonts w:eastAsia="Times New Roman"/>
          <w:sz w:val="30"/>
          <w:szCs w:val="30"/>
          <w:lang w:val="es-ES"/>
        </w:rPr>
        <w:br/>
        <w:t>Cualquier incumplimiento de esas normas de autorregulación deberán ser sancionadas por el ente autorregulador e informado de forma inmediata a la Superintendencia de Compañías y Valor</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Las sanciones que contemplan los entes autorreguladores deberán observar los criterios de gradación, contenidos en esta Ley y guardar concordancia con las sanciones administrativas previstas en la misma.</w:t>
      </w:r>
    </w:p>
    <w:p w:rsidR="00000000" w:rsidRDefault="0018461E">
      <w:pPr>
        <w:jc w:val="center"/>
        <w:rPr>
          <w:rFonts w:eastAsia="Times New Roman"/>
          <w:sz w:val="36"/>
          <w:szCs w:val="36"/>
          <w:lang w:val="es-ES"/>
        </w:rPr>
      </w:pPr>
      <w:r>
        <w:rPr>
          <w:rFonts w:eastAsia="Times New Roman"/>
          <w:b/>
          <w:bCs/>
          <w:sz w:val="36"/>
          <w:szCs w:val="36"/>
          <w:lang w:val="es-ES"/>
        </w:rPr>
        <w:br/>
        <w:t>Título X</w:t>
      </w:r>
    </w:p>
    <w:p w:rsidR="00000000" w:rsidRDefault="0018461E">
      <w:pPr>
        <w:jc w:val="center"/>
        <w:divId w:val="525756031"/>
        <w:rPr>
          <w:rFonts w:eastAsia="Times New Roman"/>
          <w:sz w:val="30"/>
          <w:szCs w:val="30"/>
          <w:lang w:val="es-ES"/>
        </w:rPr>
      </w:pPr>
      <w:r>
        <w:rPr>
          <w:rFonts w:eastAsia="Times New Roman"/>
          <w:b/>
          <w:bCs/>
          <w:sz w:val="30"/>
          <w:szCs w:val="30"/>
          <w:lang w:val="es-ES"/>
        </w:rPr>
        <w:t xml:space="preserve">(Sustituido por el Art. 24 de la Ley </w:t>
      </w:r>
      <w:r>
        <w:rPr>
          <w:rFonts w:eastAsia="Times New Roman"/>
          <w:b/>
          <w:bCs/>
          <w:sz w:val="30"/>
          <w:szCs w:val="30"/>
          <w:lang w:val="es-ES"/>
        </w:rPr>
        <w:t>s/n, R.O. 249-S, 20-V-2014)</w:t>
      </w:r>
    </w:p>
    <w:p w:rsidR="00000000"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BOLSAS DE VALORES</w:t>
      </w:r>
    </w:p>
    <w:p w:rsidR="00000000" w:rsidRDefault="0018461E">
      <w:pPr>
        <w:divId w:val="1196113828"/>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Objeto y naturaleza.- (</w:t>
      </w:r>
      <w:r>
        <w:rPr>
          <w:rFonts w:eastAsia="Times New Roman"/>
          <w:sz w:val="30"/>
          <w:szCs w:val="30"/>
          <w:lang w:val="es-ES"/>
        </w:rPr>
        <w:t>Reformado por la Disposición Reformatoria Décima Séptima, num. 2 del Código Orgánico Monetario y Financiero; R.O. 332-2S, 12-IX-2014).-</w:t>
      </w:r>
      <w:r>
        <w:rPr>
          <w:rFonts w:eastAsia="Times New Roman"/>
          <w:b/>
          <w:bCs/>
          <w:sz w:val="30"/>
          <w:szCs w:val="30"/>
          <w:lang w:val="es-ES"/>
        </w:rPr>
        <w:t xml:space="preserve"> </w:t>
      </w:r>
      <w:r>
        <w:rPr>
          <w:rFonts w:eastAsia="Times New Roman"/>
          <w:sz w:val="30"/>
          <w:szCs w:val="30"/>
          <w:lang w:val="es-ES"/>
        </w:rPr>
        <w:t xml:space="preserve">Las bolsas de valores </w:t>
      </w:r>
      <w:r>
        <w:rPr>
          <w:rFonts w:eastAsia="Times New Roman"/>
          <w:sz w:val="30"/>
          <w:szCs w:val="30"/>
          <w:lang w:val="es-ES"/>
        </w:rPr>
        <w:t>son sociedades anónimas, cuyo objeto social único es brindar los servicios y mecanismos requeridos para la negociación de valores.</w:t>
      </w:r>
      <w:r>
        <w:rPr>
          <w:rFonts w:eastAsia="Times New Roman"/>
          <w:sz w:val="30"/>
          <w:szCs w:val="30"/>
          <w:lang w:val="es-ES"/>
        </w:rPr>
        <w:br/>
      </w:r>
      <w:r>
        <w:rPr>
          <w:rFonts w:eastAsia="Times New Roman"/>
          <w:sz w:val="30"/>
          <w:szCs w:val="30"/>
          <w:lang w:val="es-ES"/>
        </w:rPr>
        <w:br/>
        <w:t>Podrán realizar las demás actividades conexas que sean necesarias para el adecuado desarrollo del mercado de valores, las mi</w:t>
      </w:r>
      <w:r>
        <w:rPr>
          <w:rFonts w:eastAsia="Times New Roman"/>
          <w:sz w:val="30"/>
          <w:szCs w:val="30"/>
          <w:lang w:val="es-ES"/>
        </w:rPr>
        <w:t>smas que serán previamente autorizadas por la Política y Regulación Monetaria y Financiera, mediante norma de carácter general.</w:t>
      </w:r>
    </w:p>
    <w:p w:rsidR="00000000" w:rsidRDefault="0018461E">
      <w:pPr>
        <w:divId w:val="331226970"/>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Constitución y autorización de funcionamiento.-</w:t>
      </w:r>
      <w:r>
        <w:rPr>
          <w:rFonts w:eastAsia="Times New Roman"/>
          <w:sz w:val="30"/>
          <w:szCs w:val="30"/>
          <w:lang w:val="es-ES"/>
        </w:rPr>
        <w:t xml:space="preserve"> (Reformado por la Disposición Reformatoria Décima Séptima, num. 2 y 3 </w:t>
      </w:r>
      <w:r>
        <w:rPr>
          <w:rFonts w:eastAsia="Times New Roman"/>
          <w:sz w:val="30"/>
          <w:szCs w:val="30"/>
          <w:lang w:val="es-ES"/>
        </w:rPr>
        <w:t>del Código Orgánico Monetario y Financiero; R.O. 332-2S, 12-IX-2014).- Las bolsas de valores deben constituirse y obtener la autorización de funcionamiento ante la Superintendencia de Compañías, Valores y Seguros, observando los requisitos y procedimientos</w:t>
      </w:r>
      <w:r>
        <w:rPr>
          <w:rFonts w:eastAsia="Times New Roman"/>
          <w:sz w:val="30"/>
          <w:szCs w:val="30"/>
          <w:lang w:val="es-ES"/>
        </w:rPr>
        <w:t xml:space="preserve"> determinados en las normas que emita la Junta de Política y Regulación Monetaria y Financiera que contemplen, por lo menos, criterios de capital mínimo, objeto exclusivo y sistemas tecnológicos.</w:t>
      </w:r>
      <w:r>
        <w:rPr>
          <w:rFonts w:eastAsia="Times New Roman"/>
          <w:sz w:val="30"/>
          <w:szCs w:val="30"/>
          <w:lang w:val="es-ES"/>
        </w:rPr>
        <w:br/>
      </w:r>
      <w:r>
        <w:rPr>
          <w:rFonts w:eastAsia="Times New Roman"/>
          <w:sz w:val="30"/>
          <w:szCs w:val="30"/>
          <w:lang w:val="es-ES"/>
        </w:rPr>
        <w:br/>
        <w:t xml:space="preserve">El capital mínimo de las bolsas de valores será fijado por </w:t>
      </w:r>
      <w:r>
        <w:rPr>
          <w:rFonts w:eastAsia="Times New Roman"/>
          <w:sz w:val="30"/>
          <w:szCs w:val="30"/>
          <w:lang w:val="es-ES"/>
        </w:rPr>
        <w:t xml:space="preserve">la Junta de Política y Regulación Monetaria y Financiera en función de su objeto social, las actividades autorizadas y las condiciones del mercado, el </w:t>
      </w:r>
      <w:r>
        <w:rPr>
          <w:rFonts w:eastAsia="Times New Roman"/>
          <w:sz w:val="30"/>
          <w:szCs w:val="30"/>
          <w:lang w:val="es-ES"/>
        </w:rPr>
        <w:lastRenderedPageBreak/>
        <w:t>cual deberá ser suscrito y pagado en su totalidad.</w:t>
      </w:r>
      <w:r>
        <w:rPr>
          <w:rFonts w:eastAsia="Times New Roman"/>
          <w:sz w:val="30"/>
          <w:szCs w:val="30"/>
          <w:lang w:val="es-ES"/>
        </w:rPr>
        <w:br/>
      </w:r>
      <w:r>
        <w:rPr>
          <w:rFonts w:eastAsia="Times New Roman"/>
          <w:sz w:val="30"/>
          <w:szCs w:val="30"/>
          <w:lang w:val="es-ES"/>
        </w:rPr>
        <w:br/>
        <w:t xml:space="preserve">Las bolsas de valores deben mantener los parámetros, </w:t>
      </w:r>
      <w:r>
        <w:rPr>
          <w:rFonts w:eastAsia="Times New Roman"/>
          <w:sz w:val="30"/>
          <w:szCs w:val="30"/>
          <w:lang w:val="es-ES"/>
        </w:rPr>
        <w:t>índices, relaciones, capital, patrimonio mínimo y demás normas de solvencia y prudencia financiera que determine la Junta de , tomando en consideración el desarrollo del mercado de valores.</w:t>
      </w:r>
      <w:r>
        <w:rPr>
          <w:rFonts w:eastAsia="Times New Roman"/>
          <w:sz w:val="30"/>
          <w:szCs w:val="30"/>
          <w:lang w:val="es-ES"/>
        </w:rPr>
        <w:br/>
      </w:r>
      <w:r>
        <w:rPr>
          <w:rFonts w:eastAsia="Times New Roman"/>
          <w:sz w:val="30"/>
          <w:szCs w:val="30"/>
          <w:lang w:val="es-ES"/>
        </w:rPr>
        <w:br/>
        <w:t>En caso de incumplimiento de estas disposiciones, sin perjuicio d</w:t>
      </w:r>
      <w:r>
        <w:rPr>
          <w:rFonts w:eastAsia="Times New Roman"/>
          <w:sz w:val="30"/>
          <w:szCs w:val="30"/>
          <w:lang w:val="es-ES"/>
        </w:rPr>
        <w:t>e las sanciones a que hubiere lugar, la bolsa de valores, por requerimiento de la Superintendencia de Compañías Valores y Seguros, deberá regularizar la situación de conformidad con lo que haya establecido la Junta de Política y Regulación Monetaria y Fina</w:t>
      </w:r>
      <w:r>
        <w:rPr>
          <w:rFonts w:eastAsia="Times New Roman"/>
          <w:sz w:val="30"/>
          <w:szCs w:val="30"/>
          <w:lang w:val="es-ES"/>
        </w:rPr>
        <w:t>nciera en la norma de carácter general.</w:t>
      </w:r>
    </w:p>
    <w:p w:rsidR="00000000" w:rsidRDefault="0018461E">
      <w:pPr>
        <w:divId w:val="1581790913"/>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 xml:space="preserve">Estructura de capital de las bolsas de valores.- </w:t>
      </w:r>
      <w:r>
        <w:rPr>
          <w:rFonts w:eastAsia="Times New Roman"/>
          <w:sz w:val="30"/>
          <w:szCs w:val="30"/>
          <w:lang w:val="es-ES"/>
        </w:rPr>
        <w:t xml:space="preserve">(Reformado por la Disposición Reformatoria Décima Séptima, nums. 1 y 3 del Código Orgánico Monetario y Financiero; R.O. 332-2S, 12-IX-2014; y, por el lit.e) </w:t>
      </w:r>
      <w:r>
        <w:rPr>
          <w:rFonts w:eastAsia="Times New Roman"/>
          <w:sz w:val="30"/>
          <w:szCs w:val="30"/>
          <w:lang w:val="es-ES"/>
        </w:rPr>
        <w:t>del num. 13 de la Ley s/n, R.O. 986-S, 18-IV-2017).- Un accionista de una bolsa de valores no podrá ser titular ni acumular, directa ni indirectamente, un porcentaje mayor al diez por ciento de acciones emitidas y en circulación, de dicha bolsa. Por excepc</w:t>
      </w:r>
      <w:r>
        <w:rPr>
          <w:rFonts w:eastAsia="Times New Roman"/>
          <w:sz w:val="30"/>
          <w:szCs w:val="30"/>
          <w:lang w:val="es-ES"/>
        </w:rPr>
        <w:t>ión, con la finalidad de propender a la integración regional de las bolsas de valores locales y desarrollar el mercado de valores ecuatoriano, podrán superar este límite de participación hasta un máximo del treinta por ciento (30%) bolsas de valores o merc</w:t>
      </w:r>
      <w:r>
        <w:rPr>
          <w:rFonts w:eastAsia="Times New Roman"/>
          <w:sz w:val="30"/>
          <w:szCs w:val="30"/>
          <w:lang w:val="es-ES"/>
        </w:rPr>
        <w:t>ados regulados, calificados como tales por la Superintendencia de Compañías, Valores y Seguros, que cumpla por lo menos con los siguientes requisitos:</w:t>
      </w:r>
      <w:r>
        <w:rPr>
          <w:rFonts w:eastAsia="Times New Roman"/>
          <w:sz w:val="30"/>
          <w:szCs w:val="30"/>
          <w:lang w:val="es-ES"/>
        </w:rPr>
        <w:br/>
      </w:r>
      <w:r>
        <w:rPr>
          <w:rFonts w:eastAsia="Times New Roman"/>
          <w:sz w:val="30"/>
          <w:szCs w:val="30"/>
          <w:lang w:val="es-ES"/>
        </w:rPr>
        <w:br/>
        <w:t>1. Acreditar experiencia de al menos tres años en la administración de sistemas bursátiles en otros merc</w:t>
      </w:r>
      <w:r>
        <w:rPr>
          <w:rFonts w:eastAsia="Times New Roman"/>
          <w:sz w:val="30"/>
          <w:szCs w:val="30"/>
          <w:lang w:val="es-ES"/>
        </w:rPr>
        <w:t>ados internacionales;</w:t>
      </w:r>
      <w:r>
        <w:rPr>
          <w:rFonts w:eastAsia="Times New Roman"/>
          <w:sz w:val="30"/>
          <w:szCs w:val="30"/>
          <w:lang w:val="es-ES"/>
        </w:rPr>
        <w:br/>
      </w:r>
      <w:r>
        <w:rPr>
          <w:rFonts w:eastAsia="Times New Roman"/>
          <w:sz w:val="30"/>
          <w:szCs w:val="30"/>
          <w:lang w:val="es-ES"/>
        </w:rPr>
        <w:br/>
        <w:t>2. Demostrar un volumen total de montos negociados en el último año, superior en por lo menos diez veces el monto total negociado por todas las Bolsas de Valores autorizadas para funcionar en el Ecuador, en el último año; y,</w:t>
      </w:r>
      <w:r>
        <w:rPr>
          <w:rFonts w:eastAsia="Times New Roman"/>
          <w:sz w:val="30"/>
          <w:szCs w:val="30"/>
          <w:lang w:val="es-ES"/>
        </w:rPr>
        <w:br/>
      </w:r>
      <w:r>
        <w:rPr>
          <w:rFonts w:eastAsia="Times New Roman"/>
          <w:sz w:val="30"/>
          <w:szCs w:val="30"/>
          <w:lang w:val="es-ES"/>
        </w:rPr>
        <w:br/>
        <w:t>3. (Ref</w:t>
      </w:r>
      <w:r>
        <w:rPr>
          <w:rFonts w:eastAsia="Times New Roman"/>
          <w:sz w:val="30"/>
          <w:szCs w:val="30"/>
          <w:lang w:val="es-ES"/>
        </w:rPr>
        <w:t>ormado por la Disposición Reformatoria Décima Séptima, num. 2 del Código Orgánico Monetario y Financiero; R.O. 332-2S, 12-IX-2014).- Los demás requisitos que establezca la Junta de Política y Regulación Monetaria y Financiera.</w:t>
      </w:r>
      <w:r>
        <w:rPr>
          <w:rFonts w:eastAsia="Times New Roman"/>
          <w:sz w:val="30"/>
          <w:szCs w:val="30"/>
          <w:lang w:val="es-ES"/>
        </w:rPr>
        <w:br/>
      </w:r>
      <w:r>
        <w:rPr>
          <w:rFonts w:eastAsia="Times New Roman"/>
          <w:sz w:val="30"/>
          <w:szCs w:val="30"/>
          <w:lang w:val="es-ES"/>
        </w:rPr>
        <w:lastRenderedPageBreak/>
        <w:br/>
        <w:t>Los grupos financieros y las</w:t>
      </w:r>
      <w:r>
        <w:rPr>
          <w:rFonts w:eastAsia="Times New Roman"/>
          <w:sz w:val="30"/>
          <w:szCs w:val="30"/>
          <w:lang w:val="es-ES"/>
        </w:rPr>
        <w:t xml:space="preserve"> entidades vinculadas de manera directa o indirecta a estos, no podrán ser accionistas de las bolsas de valores ni formar parte de su Directorio.</w:t>
      </w:r>
      <w:r>
        <w:rPr>
          <w:rFonts w:eastAsia="Times New Roman"/>
          <w:sz w:val="30"/>
          <w:szCs w:val="30"/>
          <w:lang w:val="es-ES"/>
        </w:rPr>
        <w:br/>
      </w:r>
      <w:r>
        <w:rPr>
          <w:rFonts w:eastAsia="Times New Roman"/>
          <w:sz w:val="30"/>
          <w:szCs w:val="30"/>
          <w:lang w:val="es-ES"/>
        </w:rPr>
        <w:br/>
        <w:t xml:space="preserve">Las acciones en que se encuentra dividido el capital social de una bolsa de valores, deben inscribirse en el </w:t>
      </w:r>
      <w:r>
        <w:rPr>
          <w:rFonts w:eastAsia="Times New Roman"/>
          <w:sz w:val="30"/>
          <w:szCs w:val="30"/>
          <w:lang w:val="es-ES"/>
        </w:rPr>
        <w:t>Catastro Público del Mercado de Valores y ser negociadas bursátilmente.</w:t>
      </w:r>
      <w:r>
        <w:rPr>
          <w:rFonts w:eastAsia="Times New Roman"/>
          <w:sz w:val="30"/>
          <w:szCs w:val="30"/>
          <w:lang w:val="es-ES"/>
        </w:rPr>
        <w:br/>
      </w:r>
      <w:r>
        <w:rPr>
          <w:rFonts w:eastAsia="Times New Roman"/>
          <w:sz w:val="30"/>
          <w:szCs w:val="30"/>
          <w:lang w:val="es-ES"/>
        </w:rPr>
        <w:br/>
        <w:t>Para el cumplimiento de esta disposición se debe tomar en consideración lo establecido en esta Ley y en sus normas secundarias, respecto de vinculaciones.</w:t>
      </w:r>
    </w:p>
    <w:p w:rsidR="00000000" w:rsidRDefault="0018461E">
      <w:pPr>
        <w:divId w:val="786236338"/>
        <w:rPr>
          <w:rFonts w:eastAsia="Times New Roman"/>
          <w:sz w:val="30"/>
          <w:szCs w:val="30"/>
          <w:lang w:val="es-ES"/>
        </w:rPr>
      </w:pPr>
      <w:r>
        <w:rPr>
          <w:rFonts w:eastAsia="Times New Roman"/>
          <w:sz w:val="30"/>
          <w:szCs w:val="30"/>
          <w:lang w:val="es-ES"/>
        </w:rPr>
        <w:t xml:space="preserve">Art. 47.- </w:t>
      </w:r>
      <w:r>
        <w:rPr>
          <w:rFonts w:eastAsia="Times New Roman"/>
          <w:b/>
          <w:bCs/>
          <w:sz w:val="30"/>
          <w:szCs w:val="30"/>
          <w:lang w:val="es-ES"/>
        </w:rPr>
        <w:t>Dirección y admini</w:t>
      </w:r>
      <w:r>
        <w:rPr>
          <w:rFonts w:eastAsia="Times New Roman"/>
          <w:b/>
          <w:bCs/>
          <w:sz w:val="30"/>
          <w:szCs w:val="30"/>
          <w:lang w:val="es-ES"/>
        </w:rPr>
        <w:t>stración de las bolsas de valores.-</w:t>
      </w:r>
      <w:r>
        <w:rPr>
          <w:rFonts w:eastAsia="Times New Roman"/>
          <w:sz w:val="30"/>
          <w:szCs w:val="30"/>
          <w:lang w:val="es-ES"/>
        </w:rPr>
        <w:t xml:space="preserve"> (Reformado por la Disposición Reformatoria Décima Séptima, nums. 1 y 2 del Código Orgánico Monetario y Financiero; R.O. 332-2S, 12-IX-2014).- El máximo órgano administrativo de las bolsas de valores es el directorio, cuy</w:t>
      </w:r>
      <w:r>
        <w:rPr>
          <w:rFonts w:eastAsia="Times New Roman"/>
          <w:sz w:val="30"/>
          <w:szCs w:val="30"/>
          <w:lang w:val="es-ES"/>
        </w:rPr>
        <w:t>os miembros serán elegidos por la junta general de accionistas de la bolsa de valores por un período de hasta dos años, observando el principio de independencia del directorio como cuerpo colegiado frente a los accionistas, a los intermediarios y a la admi</w:t>
      </w:r>
      <w:r>
        <w:rPr>
          <w:rFonts w:eastAsia="Times New Roman"/>
          <w:sz w:val="30"/>
          <w:szCs w:val="30"/>
          <w:lang w:val="es-ES"/>
        </w:rPr>
        <w:t>nistración de las bolsas de valores.</w:t>
      </w:r>
      <w:r>
        <w:rPr>
          <w:rFonts w:eastAsia="Times New Roman"/>
          <w:sz w:val="30"/>
          <w:szCs w:val="30"/>
          <w:lang w:val="es-ES"/>
        </w:rPr>
        <w:br/>
      </w:r>
      <w:r>
        <w:rPr>
          <w:rFonts w:eastAsia="Times New Roman"/>
          <w:sz w:val="30"/>
          <w:szCs w:val="30"/>
          <w:lang w:val="es-ES"/>
        </w:rPr>
        <w:br/>
        <w:t>Para la integración del Directorio deberán tomarse en cuenta al menos las siguientes disposiciones:</w:t>
      </w:r>
      <w:r>
        <w:rPr>
          <w:rFonts w:eastAsia="Times New Roman"/>
          <w:sz w:val="30"/>
          <w:szCs w:val="30"/>
          <w:lang w:val="es-ES"/>
        </w:rPr>
        <w:br/>
      </w:r>
      <w:r>
        <w:rPr>
          <w:rFonts w:eastAsia="Times New Roman"/>
          <w:sz w:val="30"/>
          <w:szCs w:val="30"/>
          <w:lang w:val="es-ES"/>
        </w:rPr>
        <w:br/>
        <w:t>1. Revelación al directorio de acuerdos de actuación conjunta establecidos entre accionistas, miembros del directorio</w:t>
      </w:r>
      <w:r>
        <w:rPr>
          <w:rFonts w:eastAsia="Times New Roman"/>
          <w:sz w:val="30"/>
          <w:szCs w:val="30"/>
          <w:lang w:val="es-ES"/>
        </w:rPr>
        <w:t xml:space="preserve"> y principales administradores;</w:t>
      </w:r>
      <w:r>
        <w:rPr>
          <w:rFonts w:eastAsia="Times New Roman"/>
          <w:sz w:val="30"/>
          <w:szCs w:val="30"/>
          <w:lang w:val="es-ES"/>
        </w:rPr>
        <w:br/>
      </w:r>
      <w:r>
        <w:rPr>
          <w:rFonts w:eastAsia="Times New Roman"/>
          <w:sz w:val="30"/>
          <w:szCs w:val="30"/>
          <w:lang w:val="es-ES"/>
        </w:rPr>
        <w:br/>
        <w:t>2. Representación en el directorio de los accionistas minoritarios;</w:t>
      </w:r>
      <w:r>
        <w:rPr>
          <w:rFonts w:eastAsia="Times New Roman"/>
          <w:sz w:val="30"/>
          <w:szCs w:val="30"/>
          <w:lang w:val="es-ES"/>
        </w:rPr>
        <w:br/>
      </w:r>
      <w:r>
        <w:rPr>
          <w:rFonts w:eastAsia="Times New Roman"/>
          <w:sz w:val="30"/>
          <w:szCs w:val="30"/>
          <w:lang w:val="es-ES"/>
        </w:rPr>
        <w:br/>
        <w:t>3. Alternabilidad de los miembros del directorio, los cuales podrán ser reelegidos por una sola vez consecutiva;</w:t>
      </w:r>
      <w:r>
        <w:rPr>
          <w:rFonts w:eastAsia="Times New Roman"/>
          <w:sz w:val="30"/>
          <w:szCs w:val="30"/>
          <w:lang w:val="es-ES"/>
        </w:rPr>
        <w:br/>
      </w:r>
      <w:r>
        <w:rPr>
          <w:rFonts w:eastAsia="Times New Roman"/>
          <w:sz w:val="30"/>
          <w:szCs w:val="30"/>
          <w:lang w:val="es-ES"/>
        </w:rPr>
        <w:br/>
        <w:t>4. En caso de existir conflictos de inte</w:t>
      </w:r>
      <w:r>
        <w:rPr>
          <w:rFonts w:eastAsia="Times New Roman"/>
          <w:sz w:val="30"/>
          <w:szCs w:val="30"/>
          <w:lang w:val="es-ES"/>
        </w:rPr>
        <w:t>rés de uno o algunos directores, con los asuntos sometidos a consideración del Directorio, estos directores deberán eximirse de tratar o votar sobre estos temas; y,</w:t>
      </w:r>
      <w:r>
        <w:rPr>
          <w:rFonts w:eastAsia="Times New Roman"/>
          <w:sz w:val="30"/>
          <w:szCs w:val="30"/>
          <w:lang w:val="es-ES"/>
        </w:rPr>
        <w:br/>
      </w:r>
      <w:r>
        <w:rPr>
          <w:rFonts w:eastAsia="Times New Roman"/>
          <w:sz w:val="30"/>
          <w:szCs w:val="30"/>
          <w:lang w:val="es-ES"/>
        </w:rPr>
        <w:br/>
        <w:t>5. Que los miembros de los directorios y las personas que efectivamente vayan a dirigir la</w:t>
      </w:r>
      <w:r>
        <w:rPr>
          <w:rFonts w:eastAsia="Times New Roman"/>
          <w:sz w:val="30"/>
          <w:szCs w:val="30"/>
          <w:lang w:val="es-ES"/>
        </w:rPr>
        <w:t xml:space="preserve">s actividades y las operaciones del </w:t>
      </w:r>
      <w:r>
        <w:rPr>
          <w:rFonts w:eastAsia="Times New Roman"/>
          <w:sz w:val="30"/>
          <w:szCs w:val="30"/>
          <w:lang w:val="es-ES"/>
        </w:rPr>
        <w:lastRenderedPageBreak/>
        <w:t>mercado, tengan una reconocida honorabilidad empresarial o profesional y cuenten con conocimientos y experiencia adecuados en materias relacionadas con el mercado de valores.</w:t>
      </w:r>
      <w:r>
        <w:rPr>
          <w:rFonts w:eastAsia="Times New Roman"/>
          <w:sz w:val="30"/>
          <w:szCs w:val="30"/>
          <w:lang w:val="es-ES"/>
        </w:rPr>
        <w:br/>
      </w:r>
      <w:r>
        <w:rPr>
          <w:rFonts w:eastAsia="Times New Roman"/>
          <w:sz w:val="30"/>
          <w:szCs w:val="30"/>
          <w:lang w:val="es-ES"/>
        </w:rPr>
        <w:br/>
        <w:t>Los representantes legales o administradores</w:t>
      </w:r>
      <w:r>
        <w:rPr>
          <w:rFonts w:eastAsia="Times New Roman"/>
          <w:sz w:val="30"/>
          <w:szCs w:val="30"/>
          <w:lang w:val="es-ES"/>
        </w:rPr>
        <w:t xml:space="preserve"> de los intermediarios del mercado de valores, o quienes estén de manera directa o indirecta vinculados a uno de ellos, no pueden ser parte del directorio, en un porcentaje que en su conjunto supere el treinta por ciento (30%) de la integración total de és</w:t>
      </w:r>
      <w:r>
        <w:rPr>
          <w:rFonts w:eastAsia="Times New Roman"/>
          <w:sz w:val="30"/>
          <w:szCs w:val="30"/>
          <w:lang w:val="es-ES"/>
        </w:rPr>
        <w:t>te.</w:t>
      </w:r>
      <w:r>
        <w:rPr>
          <w:rFonts w:eastAsia="Times New Roman"/>
          <w:sz w:val="30"/>
          <w:szCs w:val="30"/>
          <w:lang w:val="es-ES"/>
        </w:rPr>
        <w:br/>
      </w:r>
      <w:r>
        <w:rPr>
          <w:rFonts w:eastAsia="Times New Roman"/>
          <w:sz w:val="30"/>
          <w:szCs w:val="30"/>
          <w:lang w:val="es-ES"/>
        </w:rPr>
        <w:br/>
        <w:t>Quien sea miembro del directorio de las bolsas de valores no deberá encontrarse incurso en ninguno de los impedimentos detallados en el artículo 7 de esta Ley, para ser miembro de la Junta de Política y Regulación Monetaria y Financiera, excepto los r</w:t>
      </w:r>
      <w:r>
        <w:rPr>
          <w:rFonts w:eastAsia="Times New Roman"/>
          <w:sz w:val="30"/>
          <w:szCs w:val="30"/>
          <w:lang w:val="es-ES"/>
        </w:rPr>
        <w:t>elativos a la propiedad, administración o vinculación con las entidades inscritas en el Catastro Público del Mercado de Valores contenidas en los numerales 8 y 9 de ese artículo.</w:t>
      </w:r>
    </w:p>
    <w:p w:rsidR="00000000" w:rsidRDefault="0018461E">
      <w:pPr>
        <w:divId w:val="1219321490"/>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 xml:space="preserve">Obligaciones de las bolsas de valores.- </w:t>
      </w:r>
      <w:r>
        <w:rPr>
          <w:rFonts w:eastAsia="Times New Roman"/>
          <w:sz w:val="30"/>
          <w:szCs w:val="30"/>
          <w:lang w:val="es-ES"/>
        </w:rPr>
        <w:t>Las bolsas de valores deben</w:t>
      </w:r>
      <w:r>
        <w:rPr>
          <w:rFonts w:eastAsia="Times New Roman"/>
          <w:sz w:val="30"/>
          <w:szCs w:val="30"/>
          <w:lang w:val="es-ES"/>
        </w:rPr>
        <w:t xml:space="preserve"> cumplir las siguientes obligaciones:</w:t>
      </w:r>
      <w:r>
        <w:rPr>
          <w:rFonts w:eastAsia="Times New Roman"/>
          <w:sz w:val="30"/>
          <w:szCs w:val="30"/>
          <w:lang w:val="es-ES"/>
        </w:rPr>
        <w:br/>
      </w:r>
      <w:r>
        <w:rPr>
          <w:rFonts w:eastAsia="Times New Roman"/>
          <w:sz w:val="30"/>
          <w:szCs w:val="30"/>
          <w:lang w:val="es-ES"/>
        </w:rPr>
        <w:br/>
        <w:t>1. Regular y supervisar, en el ámbito de su competencia, las operaciones de los participantes, y velar porque se cumplan las disposiciones de la Ley;</w:t>
      </w:r>
      <w:r>
        <w:rPr>
          <w:rFonts w:eastAsia="Times New Roman"/>
          <w:sz w:val="30"/>
          <w:szCs w:val="30"/>
          <w:lang w:val="es-ES"/>
        </w:rPr>
        <w:br/>
      </w:r>
      <w:r>
        <w:rPr>
          <w:rFonts w:eastAsia="Times New Roman"/>
          <w:sz w:val="30"/>
          <w:szCs w:val="30"/>
          <w:lang w:val="es-ES"/>
        </w:rPr>
        <w:br/>
        <w:t>2. Proporcionar a los intermediarios de valores la infraestructura</w:t>
      </w:r>
      <w:r>
        <w:rPr>
          <w:rFonts w:eastAsia="Times New Roman"/>
          <w:sz w:val="30"/>
          <w:szCs w:val="30"/>
          <w:lang w:val="es-ES"/>
        </w:rPr>
        <w:t xml:space="preserve"> física y tecnológica que les permita el acceso transparente de las propuestas de compra y venta de valores inscritos;</w:t>
      </w:r>
      <w:r>
        <w:rPr>
          <w:rFonts w:eastAsia="Times New Roman"/>
          <w:sz w:val="30"/>
          <w:szCs w:val="30"/>
          <w:lang w:val="es-ES"/>
        </w:rPr>
        <w:br/>
      </w:r>
      <w:r>
        <w:rPr>
          <w:rFonts w:eastAsia="Times New Roman"/>
          <w:sz w:val="30"/>
          <w:szCs w:val="30"/>
          <w:lang w:val="es-ES"/>
        </w:rPr>
        <w:br/>
        <w:t>3. Ser accionista de la compañía anónima proveedora y administradora del sistema único bursátil;</w:t>
      </w:r>
      <w:r>
        <w:rPr>
          <w:rFonts w:eastAsia="Times New Roman"/>
          <w:sz w:val="30"/>
          <w:szCs w:val="30"/>
          <w:lang w:val="es-ES"/>
        </w:rPr>
        <w:br/>
      </w:r>
      <w:r>
        <w:rPr>
          <w:rFonts w:eastAsia="Times New Roman"/>
          <w:sz w:val="30"/>
          <w:szCs w:val="30"/>
          <w:lang w:val="es-ES"/>
        </w:rPr>
        <w:br/>
        <w:t>4. Brindar a los intermediarios autori</w:t>
      </w:r>
      <w:r>
        <w:rPr>
          <w:rFonts w:eastAsia="Times New Roman"/>
          <w:sz w:val="30"/>
          <w:szCs w:val="30"/>
          <w:lang w:val="es-ES"/>
        </w:rPr>
        <w:t>zados, a través del Sistema Único Bursátil SIUB, el mecanismo para la negociación bursátil de los valores e instrumentos financieros;</w:t>
      </w:r>
      <w:r>
        <w:rPr>
          <w:rFonts w:eastAsia="Times New Roman"/>
          <w:sz w:val="30"/>
          <w:szCs w:val="30"/>
          <w:lang w:val="es-ES"/>
        </w:rPr>
        <w:br/>
      </w:r>
      <w:r>
        <w:rPr>
          <w:rFonts w:eastAsia="Times New Roman"/>
          <w:sz w:val="30"/>
          <w:szCs w:val="30"/>
          <w:lang w:val="es-ES"/>
        </w:rPr>
        <w:br/>
        <w:t>5. Contratar los servicios de la Sociedad Proveedora y Administradora del Sistema Único Bursátil;</w:t>
      </w:r>
      <w:r>
        <w:rPr>
          <w:rFonts w:eastAsia="Times New Roman"/>
          <w:sz w:val="30"/>
          <w:szCs w:val="30"/>
          <w:lang w:val="es-ES"/>
        </w:rPr>
        <w:br/>
      </w:r>
      <w:r>
        <w:rPr>
          <w:rFonts w:eastAsia="Times New Roman"/>
          <w:sz w:val="30"/>
          <w:szCs w:val="30"/>
          <w:lang w:val="es-ES"/>
        </w:rPr>
        <w:br/>
        <w:t>6. Divulgar y mantener</w:t>
      </w:r>
      <w:r>
        <w:rPr>
          <w:rFonts w:eastAsia="Times New Roman"/>
          <w:sz w:val="30"/>
          <w:szCs w:val="30"/>
          <w:lang w:val="es-ES"/>
        </w:rPr>
        <w:t xml:space="preserve"> a disposición del mercado y del público en general información simétrica, veraz, completa y oportuna, sobre las </w:t>
      </w:r>
      <w:r>
        <w:rPr>
          <w:rFonts w:eastAsia="Times New Roman"/>
          <w:sz w:val="30"/>
          <w:szCs w:val="30"/>
          <w:lang w:val="es-ES"/>
        </w:rPr>
        <w:lastRenderedPageBreak/>
        <w:t>cotizaciones de los valores, intermediarios y las operaciones efectuadas en bolsas de valores, así como sobre la situación económica financiera</w:t>
      </w:r>
      <w:r>
        <w:rPr>
          <w:rFonts w:eastAsia="Times New Roman"/>
          <w:sz w:val="30"/>
          <w:szCs w:val="30"/>
          <w:lang w:val="es-ES"/>
        </w:rPr>
        <w:t xml:space="preserve"> y los hechos relevantes de los emisores;</w:t>
      </w:r>
      <w:r>
        <w:rPr>
          <w:rFonts w:eastAsia="Times New Roman"/>
          <w:sz w:val="30"/>
          <w:szCs w:val="30"/>
          <w:lang w:val="es-ES"/>
        </w:rPr>
        <w:br/>
      </w:r>
      <w:r>
        <w:rPr>
          <w:rFonts w:eastAsia="Times New Roman"/>
          <w:sz w:val="30"/>
          <w:szCs w:val="30"/>
          <w:lang w:val="es-ES"/>
        </w:rPr>
        <w:br/>
        <w:t>7. Entregar en tiempo real a los depósitos de compensación y liquidación de valores información relacionada con las negociaciones del mercado de valores;</w:t>
      </w:r>
      <w:r>
        <w:rPr>
          <w:rFonts w:eastAsia="Times New Roman"/>
          <w:sz w:val="30"/>
          <w:szCs w:val="30"/>
          <w:lang w:val="es-ES"/>
        </w:rPr>
        <w:br/>
      </w:r>
      <w:r>
        <w:rPr>
          <w:rFonts w:eastAsia="Times New Roman"/>
          <w:sz w:val="30"/>
          <w:szCs w:val="30"/>
          <w:lang w:val="es-ES"/>
        </w:rPr>
        <w:br/>
        <w:t>8. Mantener estándares de seguridad informática tales como</w:t>
      </w:r>
      <w:r>
        <w:rPr>
          <w:rFonts w:eastAsia="Times New Roman"/>
          <w:sz w:val="30"/>
          <w:szCs w:val="30"/>
          <w:lang w:val="es-ES"/>
        </w:rPr>
        <w:t xml:space="preserve"> protección de los sistemas informáticos, respaldos de la información en sedes distintas al lugar donde operen las Bolsas de Valores, medidas de gestión del riesgo legal, operativo y financiero, de acuerdo a lo que determine la Junta de Regulación del Merc</w:t>
      </w:r>
      <w:r>
        <w:rPr>
          <w:rFonts w:eastAsia="Times New Roman"/>
          <w:sz w:val="30"/>
          <w:szCs w:val="30"/>
          <w:lang w:val="es-ES"/>
        </w:rPr>
        <w:t>ado de Valores;</w:t>
      </w:r>
      <w:r>
        <w:rPr>
          <w:rFonts w:eastAsia="Times New Roman"/>
          <w:sz w:val="30"/>
          <w:szCs w:val="30"/>
          <w:lang w:val="es-ES"/>
        </w:rPr>
        <w:br/>
      </w:r>
      <w:r>
        <w:rPr>
          <w:rFonts w:eastAsia="Times New Roman"/>
          <w:sz w:val="30"/>
          <w:szCs w:val="30"/>
          <w:lang w:val="es-ES"/>
        </w:rPr>
        <w:br/>
        <w:t>9. (Reformado por la Disposición Reformatoria Décima Séptima, num. 3 del Código Orgánico Monetario y Financiero; R.O. 332-2S, 12-IX-2014).- Publicar y certificar la información de precios, tasas, rendimientos, montos, volúmenes y toda la i</w:t>
      </w:r>
      <w:r>
        <w:rPr>
          <w:rFonts w:eastAsia="Times New Roman"/>
          <w:sz w:val="30"/>
          <w:szCs w:val="30"/>
          <w:lang w:val="es-ES"/>
        </w:rPr>
        <w:t xml:space="preserve">nformación que la Superintendencia de Compañías, Valores y Seguros considere pertinente, de las operaciones efectuadas en bolsa de valores, y el registro de los intermediarios, operadores de valores, emisores y valores inscritos. Esta información debe ser </w:t>
      </w:r>
      <w:r>
        <w:rPr>
          <w:rFonts w:eastAsia="Times New Roman"/>
          <w:sz w:val="30"/>
          <w:szCs w:val="30"/>
          <w:lang w:val="es-ES"/>
        </w:rPr>
        <w:t>pública y de libre acceso para toda persona, en la manera que la Junta de Regulación del Mercado de Valores lo establezca;</w:t>
      </w:r>
      <w:r>
        <w:rPr>
          <w:rFonts w:eastAsia="Times New Roman"/>
          <w:sz w:val="30"/>
          <w:szCs w:val="30"/>
          <w:lang w:val="es-ES"/>
        </w:rPr>
        <w:br/>
      </w:r>
      <w:r>
        <w:rPr>
          <w:rFonts w:eastAsia="Times New Roman"/>
          <w:sz w:val="30"/>
          <w:szCs w:val="30"/>
          <w:lang w:val="es-ES"/>
        </w:rPr>
        <w:br/>
        <w:t>10. Cumplir con los principios de transparencia y objetividad que garanticen la adopción de buenas prácticas corporativas;</w:t>
      </w:r>
      <w:r>
        <w:rPr>
          <w:rFonts w:eastAsia="Times New Roman"/>
          <w:sz w:val="30"/>
          <w:szCs w:val="30"/>
          <w:lang w:val="es-ES"/>
        </w:rPr>
        <w:br/>
      </w:r>
      <w:r>
        <w:rPr>
          <w:rFonts w:eastAsia="Times New Roman"/>
          <w:sz w:val="30"/>
          <w:szCs w:val="30"/>
          <w:lang w:val="es-ES"/>
        </w:rPr>
        <w:br/>
        <w:t>11. Insc</w:t>
      </w:r>
      <w:r>
        <w:rPr>
          <w:rFonts w:eastAsia="Times New Roman"/>
          <w:sz w:val="30"/>
          <w:szCs w:val="30"/>
          <w:lang w:val="es-ES"/>
        </w:rPr>
        <w:t>ribir y registrar emisores y valores para la negociación en bolsa de valores, así como suspender o cancelar su inscripción;</w:t>
      </w:r>
      <w:r>
        <w:rPr>
          <w:rFonts w:eastAsia="Times New Roman"/>
          <w:sz w:val="30"/>
          <w:szCs w:val="30"/>
          <w:lang w:val="es-ES"/>
        </w:rPr>
        <w:br/>
      </w:r>
      <w:r>
        <w:rPr>
          <w:rFonts w:eastAsia="Times New Roman"/>
          <w:sz w:val="30"/>
          <w:szCs w:val="30"/>
          <w:lang w:val="es-ES"/>
        </w:rPr>
        <w:br/>
        <w:t>12. Sancionar a las personas jurídicas y personas naturales sometidas a su control, por transgresiones a las normas de autorregulac</w:t>
      </w:r>
      <w:r>
        <w:rPr>
          <w:rFonts w:eastAsia="Times New Roman"/>
          <w:sz w:val="30"/>
          <w:szCs w:val="30"/>
          <w:lang w:val="es-ES"/>
        </w:rPr>
        <w:t>ión; y,</w:t>
      </w:r>
      <w:r>
        <w:rPr>
          <w:rFonts w:eastAsia="Times New Roman"/>
          <w:sz w:val="30"/>
          <w:szCs w:val="30"/>
          <w:lang w:val="es-ES"/>
        </w:rPr>
        <w:br/>
      </w:r>
      <w:r>
        <w:rPr>
          <w:rFonts w:eastAsia="Times New Roman"/>
          <w:sz w:val="30"/>
          <w:szCs w:val="30"/>
          <w:lang w:val="es-ES"/>
        </w:rPr>
        <w:br/>
        <w:t>13. Las demás que de acuerdo a esta Ley, en uso de sus atribuciones, disponga la Junta de Regulación del Mercado de Valores.</w:t>
      </w:r>
      <w:r>
        <w:rPr>
          <w:rFonts w:eastAsia="Times New Roman"/>
          <w:sz w:val="30"/>
          <w:szCs w:val="30"/>
          <w:lang w:val="es-ES"/>
        </w:rPr>
        <w:br/>
      </w:r>
      <w:r>
        <w:rPr>
          <w:rFonts w:eastAsia="Times New Roman"/>
          <w:sz w:val="30"/>
          <w:szCs w:val="30"/>
          <w:lang w:val="es-ES"/>
        </w:rPr>
        <w:br/>
        <w:t>Las obligaciones establecidas en el numeral 3 no aplicarán para el caso de la bolsa de valores pública. La junta de Regul</w:t>
      </w:r>
      <w:r>
        <w:rPr>
          <w:rFonts w:eastAsia="Times New Roman"/>
          <w:sz w:val="30"/>
          <w:szCs w:val="30"/>
          <w:lang w:val="es-ES"/>
        </w:rPr>
        <w:t xml:space="preserve">ación del Mercado de Valores determinará la forma de interconexión del </w:t>
      </w:r>
      <w:r>
        <w:rPr>
          <w:rFonts w:eastAsia="Times New Roman"/>
          <w:sz w:val="30"/>
          <w:szCs w:val="30"/>
          <w:lang w:val="es-ES"/>
        </w:rPr>
        <w:lastRenderedPageBreak/>
        <w:t>sistema bursátil que utilice la bolsa de valores pública, con el Sistema Único Bursátil que proveerá la Sociedad Proveedora y Administradora del Sistema Único Bursátil para las bolsas d</w:t>
      </w:r>
      <w:r>
        <w:rPr>
          <w:rFonts w:eastAsia="Times New Roman"/>
          <w:sz w:val="30"/>
          <w:szCs w:val="30"/>
          <w:lang w:val="es-ES"/>
        </w:rPr>
        <w:t>e valores privadas.</w:t>
      </w:r>
    </w:p>
    <w:p w:rsidR="00000000" w:rsidRDefault="0018461E">
      <w:pPr>
        <w:divId w:val="1024677077"/>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 xml:space="preserve">Formas autorizadas de negociación.- </w:t>
      </w:r>
      <w:r>
        <w:rPr>
          <w:rFonts w:eastAsia="Times New Roman"/>
          <w:sz w:val="30"/>
          <w:szCs w:val="30"/>
          <w:lang w:val="es-ES"/>
        </w:rPr>
        <w:t>Son aquellos medios organizados de negociación utilizados en el mercado de valores, que permiten el encuentro ordenado de ofertas y demandas y la ejecución de las correspondientes negociacio</w:t>
      </w:r>
      <w:r>
        <w:rPr>
          <w:rFonts w:eastAsia="Times New Roman"/>
          <w:sz w:val="30"/>
          <w:szCs w:val="30"/>
          <w:lang w:val="es-ES"/>
        </w:rPr>
        <w:t>nes por parte de los intermediarios de valores. La Junta establecerá los mecanismos autorizados de negociación, los cuales deberán utilizar un único sistema transaccional para el caso del mercado bursátil.</w:t>
      </w:r>
    </w:p>
    <w:p w:rsidR="00000000" w:rsidRDefault="0018461E">
      <w:pPr>
        <w:divId w:val="45108207"/>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De la suspensión de operaciones.- (</w:t>
      </w:r>
      <w:r>
        <w:rPr>
          <w:rFonts w:eastAsia="Times New Roman"/>
          <w:sz w:val="30"/>
          <w:szCs w:val="30"/>
          <w:lang w:val="es-ES"/>
        </w:rPr>
        <w:t>Refor</w:t>
      </w:r>
      <w:r>
        <w:rPr>
          <w:rFonts w:eastAsia="Times New Roman"/>
          <w:sz w:val="30"/>
          <w:szCs w:val="30"/>
          <w:lang w:val="es-ES"/>
        </w:rPr>
        <w:t>mado por la Disposición Reformatoria Décima Séptima, num. 3 del Código Orgánico Monetario y Financiero; R.O. 332-2S, 12-IX-2014).- Las bolsas de valores de acuerdo con las normas internas que expidan para el efecto, podrán suspender las operaciones de un d</w:t>
      </w:r>
      <w:r>
        <w:rPr>
          <w:rFonts w:eastAsia="Times New Roman"/>
          <w:sz w:val="30"/>
          <w:szCs w:val="30"/>
          <w:lang w:val="es-ES"/>
        </w:rPr>
        <w:t>eterminado valor, cuando estimen que existen hechos relevantes que no son de conocimiento general, o que la información existente en el mercado, por ser incompleta o inexacta, impide que la negociación de estos valores se efectúe en condiciones transparent</w:t>
      </w:r>
      <w:r>
        <w:rPr>
          <w:rFonts w:eastAsia="Times New Roman"/>
          <w:sz w:val="30"/>
          <w:szCs w:val="30"/>
          <w:lang w:val="es-ES"/>
        </w:rPr>
        <w:t>es y competitivas.</w:t>
      </w:r>
      <w:r>
        <w:rPr>
          <w:rFonts w:eastAsia="Times New Roman"/>
          <w:sz w:val="30"/>
          <w:szCs w:val="30"/>
          <w:lang w:val="es-ES"/>
        </w:rPr>
        <w:br/>
      </w:r>
      <w:r>
        <w:rPr>
          <w:rFonts w:eastAsia="Times New Roman"/>
          <w:sz w:val="30"/>
          <w:szCs w:val="30"/>
          <w:lang w:val="es-ES"/>
        </w:rPr>
        <w:br/>
        <w:t>La suspensión de la negociación de un valor así como las causales y justificación de ésta, deberá ser comunicada inmediatamente al emisor, a la respectiva casa de valores, Superintendencia de Compañías, Valores y Seguros, demás bolsas d</w:t>
      </w:r>
      <w:r>
        <w:rPr>
          <w:rFonts w:eastAsia="Times New Roman"/>
          <w:sz w:val="30"/>
          <w:szCs w:val="30"/>
          <w:lang w:val="es-ES"/>
        </w:rPr>
        <w:t>e valores y publicitada al mercado.</w:t>
      </w:r>
      <w:r>
        <w:rPr>
          <w:rFonts w:eastAsia="Times New Roman"/>
          <w:sz w:val="30"/>
          <w:szCs w:val="30"/>
          <w:lang w:val="es-ES"/>
        </w:rPr>
        <w:br/>
      </w:r>
      <w:r>
        <w:rPr>
          <w:rFonts w:eastAsia="Times New Roman"/>
          <w:sz w:val="30"/>
          <w:szCs w:val="30"/>
          <w:lang w:val="es-ES"/>
        </w:rPr>
        <w:br/>
        <w:t>El emisor o el respectivo intermediario deberán proporcionar a la bolsa de valores correspondiente, dentro del término de cinco días, la información que sea necesaria para resolver si se mantiene o levanta la suspensión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Vencido este término y, siempre que el emisor o intermediario no hubiesen presentado los descargos correspondientes, o éstos no sean satisfactorios a criterio de la bolsa, ésta procederá a cancelar la inscripción del respectivo valor y del emisor, de se</w:t>
      </w:r>
      <w:r>
        <w:rPr>
          <w:rFonts w:eastAsia="Times New Roman"/>
          <w:sz w:val="30"/>
          <w:szCs w:val="30"/>
          <w:lang w:val="es-ES"/>
        </w:rPr>
        <w:t>r el caso.</w:t>
      </w:r>
      <w:r>
        <w:rPr>
          <w:rFonts w:eastAsia="Times New Roman"/>
          <w:sz w:val="30"/>
          <w:szCs w:val="30"/>
          <w:lang w:val="es-ES"/>
        </w:rPr>
        <w:br/>
      </w:r>
      <w:r>
        <w:rPr>
          <w:rFonts w:eastAsia="Times New Roman"/>
          <w:sz w:val="30"/>
          <w:szCs w:val="30"/>
          <w:lang w:val="es-ES"/>
        </w:rPr>
        <w:br/>
        <w:t>La suspensión de un valor no podrá mantenerse por un término mayor a diez días, transcurridos los cuales, si no es levantada, se dará por cancelada su inscripción.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suspensión o cancelación de un valor tendrá efecto simultáneo en las demás b</w:t>
      </w:r>
      <w:r>
        <w:rPr>
          <w:rFonts w:eastAsia="Times New Roman"/>
          <w:sz w:val="30"/>
          <w:szCs w:val="30"/>
          <w:lang w:val="es-ES"/>
        </w:rPr>
        <w:t>olsas de valores en las que esté inscrito el respectivo valor.</w:t>
      </w:r>
    </w:p>
    <w:p w:rsidR="00000000" w:rsidRDefault="0018461E">
      <w:pPr>
        <w:divId w:val="801845899"/>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Disolución y liquidación.-</w:t>
      </w:r>
      <w:r>
        <w:rPr>
          <w:rFonts w:eastAsia="Times New Roman"/>
          <w:sz w:val="30"/>
          <w:szCs w:val="30"/>
          <w:lang w:val="es-ES"/>
        </w:rPr>
        <w:t xml:space="preserve"> (Reformado por la Disposición Reformatoria Décima Séptima, nums. 2 y 3 del Código Orgánico Monetario y Financiero; R.O. 332-2S, 12-IX-2014).- Además de las </w:t>
      </w:r>
      <w:r>
        <w:rPr>
          <w:rFonts w:eastAsia="Times New Roman"/>
          <w:sz w:val="30"/>
          <w:szCs w:val="30"/>
          <w:lang w:val="es-ES"/>
        </w:rPr>
        <w:t>causales establecidas en la Ley de Compañías, será causal de disolución de las bolsas de valores, la reducción del capital a un monto inferior al establecido por la Junta de de Política y Regulación Monetaria y Financiera siempre y cuando no se hubiere cor</w:t>
      </w:r>
      <w:r>
        <w:rPr>
          <w:rFonts w:eastAsia="Times New Roman"/>
          <w:sz w:val="30"/>
          <w:szCs w:val="30"/>
          <w:lang w:val="es-ES"/>
        </w:rPr>
        <w:t>regido esta deficiencia en un plazo no mayor de ciento ochenta días, desde que se verificase el incumplimiento.</w:t>
      </w:r>
      <w:r>
        <w:rPr>
          <w:rFonts w:eastAsia="Times New Roman"/>
          <w:sz w:val="30"/>
          <w:szCs w:val="30"/>
          <w:lang w:val="es-ES"/>
        </w:rPr>
        <w:br/>
      </w:r>
      <w:r>
        <w:rPr>
          <w:rFonts w:eastAsia="Times New Roman"/>
          <w:sz w:val="30"/>
          <w:szCs w:val="30"/>
          <w:lang w:val="es-ES"/>
        </w:rPr>
        <w:br/>
        <w:t>En el caso en que una bolsa de valores entre en proceso de disolución y liquidación, se observarán las normas establecidas en la Ley de Compañí</w:t>
      </w:r>
      <w:r>
        <w:rPr>
          <w:rFonts w:eastAsia="Times New Roman"/>
          <w:sz w:val="30"/>
          <w:szCs w:val="30"/>
          <w:lang w:val="es-ES"/>
        </w:rPr>
        <w:t>as, en lo que fuere aplicable.</w:t>
      </w:r>
      <w:r>
        <w:rPr>
          <w:rFonts w:eastAsia="Times New Roman"/>
          <w:sz w:val="30"/>
          <w:szCs w:val="30"/>
          <w:lang w:val="es-ES"/>
        </w:rPr>
        <w:br/>
      </w:r>
      <w:r>
        <w:rPr>
          <w:rFonts w:eastAsia="Times New Roman"/>
          <w:sz w:val="30"/>
          <w:szCs w:val="30"/>
          <w:lang w:val="es-ES"/>
        </w:rPr>
        <w:br/>
        <w:t>La Superintendencia de Compañías, Valores y Seguros designará al liquidador, quien tendrá las facultades previstas en la Ley de Compañías, en esta Ley, en las leyes aplicables y en la resolución de designación.</w:t>
      </w:r>
    </w:p>
    <w:p w:rsidR="00000000"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t>REGISTRO ESPECIAL BURSÁTIL (REB)</w:t>
      </w:r>
    </w:p>
    <w:p w:rsidR="00000000" w:rsidRDefault="0018461E">
      <w:pPr>
        <w:jc w:val="center"/>
        <w:divId w:val="387609882"/>
        <w:rPr>
          <w:rFonts w:eastAsia="Times New Roman"/>
          <w:sz w:val="30"/>
          <w:szCs w:val="30"/>
          <w:lang w:val="es-ES"/>
        </w:rPr>
      </w:pPr>
      <w:r>
        <w:rPr>
          <w:rFonts w:eastAsia="Times New Roman"/>
          <w:b/>
          <w:bCs/>
          <w:sz w:val="30"/>
          <w:szCs w:val="30"/>
          <w:lang w:val="es-ES"/>
        </w:rPr>
        <w:t>(Agregado por el Art. 25 de la Ley s/n, R.O. 249-S, 20-V-2014)</w:t>
      </w:r>
    </w:p>
    <w:p w:rsidR="00000000" w:rsidRDefault="0018461E">
      <w:pPr>
        <w:divId w:val="14347025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Objeto.-</w:t>
      </w:r>
      <w:r>
        <w:rPr>
          <w:rFonts w:eastAsia="Times New Roman"/>
          <w:sz w:val="30"/>
          <w:szCs w:val="30"/>
          <w:lang w:val="es-ES"/>
        </w:rPr>
        <w:t xml:space="preserve"> (Reformado por la Disposición Reformatoria Décima Séptima, nums. 2 y 3 del Código Orgánico Monetario y Financiero; R.O. 332-2S, 12-IX-2014).- C</w:t>
      </w:r>
      <w:r>
        <w:rPr>
          <w:rFonts w:eastAsia="Times New Roman"/>
          <w:sz w:val="30"/>
          <w:szCs w:val="30"/>
          <w:lang w:val="es-ES"/>
        </w:rPr>
        <w:t>on el fin de desarrollar el mercado de valores y ampliar el número de emisores y valores que se negocien en mercados regulados, se crea dentro del mercado bursátil el Registro Especial Bursátil REB como un segmento permanente del mercado bursátil en el cua</w:t>
      </w:r>
      <w:r>
        <w:rPr>
          <w:rFonts w:eastAsia="Times New Roman"/>
          <w:sz w:val="30"/>
          <w:szCs w:val="30"/>
          <w:lang w:val="es-ES"/>
        </w:rPr>
        <w:t xml:space="preserve">l se negociarán únicamente valores de las empresas pertenecientes al sector económico de pequeñas y/o medianas empresas y de las organizaciones de la economía popular y solidaria que por sus características específicas, necesidades de política económica y </w:t>
      </w:r>
      <w:r>
        <w:rPr>
          <w:rFonts w:eastAsia="Times New Roman"/>
          <w:sz w:val="30"/>
          <w:szCs w:val="30"/>
          <w:lang w:val="es-ES"/>
        </w:rPr>
        <w:t xml:space="preserve">el nivel de desarrollo de estos valores y/o sus emisores ameriten la necesidad de negociarse en un mercado específico y especializado para esos valores, y siempre que se observe la regulación diferenciada establecida por la Junta de Política y </w:t>
      </w:r>
      <w:r>
        <w:rPr>
          <w:rFonts w:eastAsia="Times New Roman"/>
          <w:sz w:val="30"/>
          <w:szCs w:val="30"/>
          <w:lang w:val="es-ES"/>
        </w:rPr>
        <w:lastRenderedPageBreak/>
        <w:t>Regulación M</w:t>
      </w:r>
      <w:r>
        <w:rPr>
          <w:rFonts w:eastAsia="Times New Roman"/>
          <w:sz w:val="30"/>
          <w:szCs w:val="30"/>
          <w:lang w:val="es-ES"/>
        </w:rPr>
        <w:t>onetaria y Financiera y se cuente con la autorización de la Superintendencia de Compañías, Valores y Seguros.</w:t>
      </w:r>
    </w:p>
    <w:p w:rsidR="00000000" w:rsidRDefault="0018461E">
      <w:pPr>
        <w:divId w:val="103692729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Prohibición de Negociación de valores inscritos en el REB.- </w:t>
      </w:r>
      <w:r>
        <w:rPr>
          <w:rFonts w:eastAsia="Times New Roman"/>
          <w:sz w:val="30"/>
          <w:szCs w:val="30"/>
          <w:lang w:val="es-ES"/>
        </w:rPr>
        <w:t>(Reformado por la Disposición Reformatoria Décima Séptima, num. 2 del Código Org</w:t>
      </w:r>
      <w:r>
        <w:rPr>
          <w:rFonts w:eastAsia="Times New Roman"/>
          <w:sz w:val="30"/>
          <w:szCs w:val="30"/>
          <w:lang w:val="es-ES"/>
        </w:rPr>
        <w:t>ánico Monetario y Financiero; R.O. 332-2S, 12-IX-2014).- Los valores inscritos en el REB no podrán ser negociados en otros segmentos bursátiles, excepto aquellos valores que la Junta de Política y Regulación Monetaria y Financiera expresamente lo autorice,</w:t>
      </w:r>
      <w:r>
        <w:rPr>
          <w:rFonts w:eastAsia="Times New Roman"/>
          <w:sz w:val="30"/>
          <w:szCs w:val="30"/>
          <w:lang w:val="es-ES"/>
        </w:rPr>
        <w:t xml:space="preserve"> en atención a requerimientos de la política económica pública o la política pública del mercado de valores.</w:t>
      </w:r>
      <w:r>
        <w:rPr>
          <w:rFonts w:eastAsia="Times New Roman"/>
          <w:sz w:val="30"/>
          <w:szCs w:val="30"/>
          <w:lang w:val="es-ES"/>
        </w:rPr>
        <w:br/>
      </w:r>
      <w:r>
        <w:rPr>
          <w:rFonts w:eastAsia="Times New Roman"/>
          <w:sz w:val="30"/>
          <w:szCs w:val="30"/>
          <w:lang w:val="es-ES"/>
        </w:rPr>
        <w:br/>
        <w:t>La Junta de Política y Regulación Monetaria y Financiera, mediante normas de carácter general, regulará los requisitos y el funcionamiento de este</w:t>
      </w:r>
      <w:r>
        <w:rPr>
          <w:rFonts w:eastAsia="Times New Roman"/>
          <w:sz w:val="30"/>
          <w:szCs w:val="30"/>
          <w:lang w:val="es-ES"/>
        </w:rPr>
        <w:t xml:space="preserve"> segmento de negociación.</w:t>
      </w:r>
    </w:p>
    <w:p w:rsidR="00000000" w:rsidRDefault="0018461E">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SISTEMA ÚNICO BURSÁTIL (SIUB)</w:t>
      </w:r>
    </w:p>
    <w:p w:rsidR="00000000" w:rsidRDefault="0018461E">
      <w:pPr>
        <w:jc w:val="center"/>
        <w:divId w:val="1198931289"/>
        <w:rPr>
          <w:rFonts w:eastAsia="Times New Roman"/>
          <w:sz w:val="30"/>
          <w:szCs w:val="30"/>
          <w:lang w:val="es-ES"/>
        </w:rPr>
      </w:pPr>
      <w:r>
        <w:rPr>
          <w:rFonts w:eastAsia="Times New Roman"/>
          <w:b/>
          <w:bCs/>
          <w:sz w:val="30"/>
          <w:szCs w:val="30"/>
          <w:lang w:val="es-ES"/>
        </w:rPr>
        <w:t>(Sustituido por el Art. 26 de la Ley s/n, R.O. 249-S, 20-V-2014)</w:t>
      </w:r>
    </w:p>
    <w:p w:rsidR="00000000" w:rsidRDefault="0018461E">
      <w:pPr>
        <w:divId w:val="27626058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Objeto.- </w:t>
      </w:r>
      <w:r>
        <w:rPr>
          <w:rFonts w:eastAsia="Times New Roman"/>
          <w:sz w:val="30"/>
          <w:szCs w:val="30"/>
          <w:lang w:val="es-ES"/>
        </w:rPr>
        <w:t xml:space="preserve">(Reformado por la Disposición Reformatoria Décima Séptima, nums. 1, 2 y 3 del Código Orgánico Monetario y Financiero; R.O. 332-2S, 12-IX-2014).- Con el fin de disponer de un mercado bursátil único en nuestro país que sea ordenado, integrado, transparente, </w:t>
      </w:r>
      <w:r>
        <w:rPr>
          <w:rFonts w:eastAsia="Times New Roman"/>
          <w:sz w:val="30"/>
          <w:szCs w:val="30"/>
          <w:lang w:val="es-ES"/>
        </w:rPr>
        <w:t>equitativo y competitivo y que observe la aplicación de buenas prácticas corporativas entre las bolsas de valores, se establece la existencia de un sistema único bursátil, que tiene por objeto, permitir a través de una plataforma informática la negociación</w:t>
      </w:r>
      <w:r>
        <w:rPr>
          <w:rFonts w:eastAsia="Times New Roman"/>
          <w:sz w:val="30"/>
          <w:szCs w:val="30"/>
          <w:lang w:val="es-ES"/>
        </w:rPr>
        <w:t xml:space="preserve"> de valores e instrumentos financieros inscritos en el Catastro Público del Mercado de Valores y en las bolsas de valores, incluso aquellos que se negocien en el REB.</w:t>
      </w:r>
      <w:r>
        <w:rPr>
          <w:rFonts w:eastAsia="Times New Roman"/>
          <w:sz w:val="30"/>
          <w:szCs w:val="30"/>
          <w:lang w:val="es-ES"/>
        </w:rPr>
        <w:br/>
      </w:r>
      <w:r>
        <w:rPr>
          <w:rFonts w:eastAsia="Times New Roman"/>
          <w:sz w:val="30"/>
          <w:szCs w:val="30"/>
          <w:lang w:val="es-ES"/>
        </w:rPr>
        <w:br/>
        <w:t>Para el efecto, deberá constituirse una sociedad anónima y obtener la autorización de fu</w:t>
      </w:r>
      <w:r>
        <w:rPr>
          <w:rFonts w:eastAsia="Times New Roman"/>
          <w:sz w:val="30"/>
          <w:szCs w:val="30"/>
          <w:lang w:val="es-ES"/>
        </w:rPr>
        <w:t>ncionamiento ante la Superintendencia de Compañías, Valores y Seguros. Esta sociedad anónima tendrá como objeto social exclusivo y excluyente proveer y administrar un sistema único bursátil.</w:t>
      </w:r>
      <w:r>
        <w:rPr>
          <w:rFonts w:eastAsia="Times New Roman"/>
          <w:sz w:val="30"/>
          <w:szCs w:val="30"/>
          <w:lang w:val="es-ES"/>
        </w:rPr>
        <w:br/>
      </w:r>
      <w:r>
        <w:rPr>
          <w:rFonts w:eastAsia="Times New Roman"/>
          <w:sz w:val="30"/>
          <w:szCs w:val="30"/>
          <w:lang w:val="es-ES"/>
        </w:rPr>
        <w:br/>
        <w:t xml:space="preserve">El funcionamiento y organización de esta sociedad será regulado </w:t>
      </w:r>
      <w:r>
        <w:rPr>
          <w:rFonts w:eastAsia="Times New Roman"/>
          <w:sz w:val="30"/>
          <w:szCs w:val="30"/>
          <w:lang w:val="es-ES"/>
        </w:rPr>
        <w:t>por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Mediante el Art. 26 de la Ley s/n, publicada en el Suplemento del Registro Oficial 249 de 20 de mayo de 2014, se sustituyó el Título XI "De la Garantía de Ejecución" y sus respectivos Arts. 52, 53, 54 y 55, por el presente Título.</w:t>
      </w:r>
    </w:p>
    <w:p w:rsidR="00000000" w:rsidRDefault="0018461E">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 xml:space="preserve">DE LAS CASAS </w:t>
      </w:r>
      <w:r>
        <w:rPr>
          <w:rFonts w:eastAsia="Times New Roman"/>
          <w:b/>
          <w:bCs/>
          <w:sz w:val="36"/>
          <w:szCs w:val="36"/>
          <w:lang w:val="es-ES"/>
        </w:rPr>
        <w:t>DE VALORES</w:t>
      </w:r>
    </w:p>
    <w:p w:rsidR="00000000"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18461E">
      <w:pPr>
        <w:jc w:val="center"/>
        <w:divId w:val="1273123667"/>
        <w:rPr>
          <w:rFonts w:eastAsia="Times New Roman"/>
          <w:sz w:val="30"/>
          <w:szCs w:val="30"/>
          <w:lang w:val="es-ES"/>
        </w:rPr>
      </w:pPr>
      <w:r>
        <w:rPr>
          <w:rFonts w:eastAsia="Times New Roman"/>
          <w:b/>
          <w:bCs/>
          <w:sz w:val="30"/>
          <w:szCs w:val="30"/>
          <w:lang w:val="es-ES"/>
        </w:rPr>
        <w:t>(Agregado por el Art. 27 de la Ley s/n, R.O. 249-S, 20-V-2014)</w:t>
      </w:r>
    </w:p>
    <w:p w:rsidR="00000000" w:rsidRDefault="0018461E">
      <w:pPr>
        <w:divId w:val="1250385475"/>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w:t>
      </w:r>
      <w:r>
        <w:rPr>
          <w:rFonts w:eastAsia="Times New Roman"/>
          <w:b/>
          <w:bCs/>
          <w:sz w:val="30"/>
          <w:szCs w:val="30"/>
          <w:lang w:val="es-ES"/>
        </w:rPr>
        <w:t>De su naturaleza y requisitos de operación.-</w:t>
      </w:r>
      <w:r>
        <w:rPr>
          <w:rFonts w:eastAsia="Times New Roman"/>
          <w:sz w:val="30"/>
          <w:szCs w:val="30"/>
          <w:lang w:val="es-ES"/>
        </w:rPr>
        <w:t xml:space="preserve"> (Sustituido por el Art. 28 de la Ley s/n, R.O. 249-S, 20-V-2014; y, reformado por la Dispos</w:t>
      </w:r>
      <w:r>
        <w:rPr>
          <w:rFonts w:eastAsia="Times New Roman"/>
          <w:sz w:val="30"/>
          <w:szCs w:val="30"/>
          <w:lang w:val="es-ES"/>
        </w:rPr>
        <w:t>ición Reformatoria Décima Séptima, nums. 2 y 3 del Código Orgánico Monetario y Financiero; R.O. 332-2S, 12-IX-2014).- Casa de valores es la compañía anónima autorizada y controlada por la Superintendencia de Compañías para ejercer la intermediación de valo</w:t>
      </w:r>
      <w:r>
        <w:rPr>
          <w:rFonts w:eastAsia="Times New Roman"/>
          <w:sz w:val="30"/>
          <w:szCs w:val="30"/>
          <w:lang w:val="es-ES"/>
        </w:rPr>
        <w:t>res, cuyo objeto social único es la realización de las actividades previstas en esta Ley. El capital mínimo será fijado por la Junta de Regulación del Mercado de Valores en función de su objeto social, las actividades autorizadas y las condiciones del merc</w:t>
      </w:r>
      <w:r>
        <w:rPr>
          <w:rFonts w:eastAsia="Times New Roman"/>
          <w:sz w:val="30"/>
          <w:szCs w:val="30"/>
          <w:lang w:val="es-ES"/>
        </w:rPr>
        <w:t>ado, el cual deberá ser suscrito y pagado en numerario en su totalidad.</w:t>
      </w:r>
      <w:r>
        <w:rPr>
          <w:rFonts w:eastAsia="Times New Roman"/>
          <w:sz w:val="30"/>
          <w:szCs w:val="30"/>
          <w:lang w:val="es-ES"/>
        </w:rPr>
        <w:br/>
      </w:r>
      <w:r>
        <w:rPr>
          <w:rFonts w:eastAsia="Times New Roman"/>
          <w:sz w:val="30"/>
          <w:szCs w:val="30"/>
          <w:lang w:val="es-ES"/>
        </w:rPr>
        <w:br/>
        <w:t>Las casas de valores deberán cumplir los parámetros, índices, relaciones y demás normas de solvencia y prudencia financiera y controles que determine la Junta de Regulación del Mercad</w:t>
      </w:r>
      <w:r>
        <w:rPr>
          <w:rFonts w:eastAsia="Times New Roman"/>
          <w:sz w:val="30"/>
          <w:szCs w:val="30"/>
          <w:lang w:val="es-ES"/>
        </w:rPr>
        <w:t>o de Valores, tomando en consideración el desarrollo del mercado de valores y la situación económica del país. El incumplimiento de estas disposiciones reglamentarias será comunicado por las casas de valores a la Superintendencia de Compañías, Valores y Se</w:t>
      </w:r>
      <w:r>
        <w:rPr>
          <w:rFonts w:eastAsia="Times New Roman"/>
          <w:sz w:val="30"/>
          <w:szCs w:val="30"/>
          <w:lang w:val="es-ES"/>
        </w:rPr>
        <w:t>guros, dentro del término de cinco días de ocurrido el hecho y, deberá ser subsanado en el plazo y la forma que determine dicho organismo de control.</w:t>
      </w:r>
      <w:r>
        <w:rPr>
          <w:rFonts w:eastAsia="Times New Roman"/>
          <w:sz w:val="30"/>
          <w:szCs w:val="30"/>
          <w:lang w:val="es-ES"/>
        </w:rPr>
        <w:br/>
      </w:r>
      <w:r>
        <w:rPr>
          <w:rFonts w:eastAsia="Times New Roman"/>
          <w:sz w:val="30"/>
          <w:szCs w:val="30"/>
          <w:lang w:val="es-ES"/>
        </w:rPr>
        <w:br/>
        <w:t>Las casas de valores no podrán efectuar ninguna clase de operación mientras no se encuentren legalmente c</w:t>
      </w:r>
      <w:r>
        <w:rPr>
          <w:rFonts w:eastAsia="Times New Roman"/>
          <w:sz w:val="30"/>
          <w:szCs w:val="30"/>
          <w:lang w:val="es-ES"/>
        </w:rPr>
        <w:t>onstituidas, cuenten con la autorización de funcionamiento y sean miembros de una o más bolsas de valores.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Sus funciones de intermediación de valores se regirán por las normas establecidas para los contratos de comisión mercantil en lo que fuere aplicable</w:t>
      </w:r>
      <w:r>
        <w:rPr>
          <w:rFonts w:eastAsia="Times New Roman"/>
          <w:sz w:val="30"/>
          <w:szCs w:val="30"/>
          <w:lang w:val="es-ES"/>
        </w:rPr>
        <w:t>, sin perjuicio de lo dispuesto en esta Ley.</w:t>
      </w:r>
    </w:p>
    <w:p w:rsidR="00000000" w:rsidRDefault="0018461E">
      <w:pPr>
        <w:divId w:val="1424297072"/>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Intermediación y responsabilidad de las casas de valores.- </w:t>
      </w:r>
      <w:r>
        <w:rPr>
          <w:rFonts w:eastAsia="Times New Roman"/>
          <w:sz w:val="30"/>
          <w:szCs w:val="30"/>
          <w:lang w:val="es-ES"/>
        </w:rPr>
        <w:t>(Reformado por la Disposición Reformatoria Décima Séptima, nums. 1 y 11 del Código Orgánico Monetario y Financiero; R.O. 332-2S, 12-IX-2014).-</w:t>
      </w:r>
      <w:r>
        <w:rPr>
          <w:rFonts w:eastAsia="Times New Roman"/>
          <w:sz w:val="30"/>
          <w:szCs w:val="30"/>
          <w:lang w:val="es-ES"/>
        </w:rPr>
        <w:t xml:space="preserve"> Toda orden para efectuar una operación bursátil se entenderá respecto de la casa de valores y de los comitentes, efectuada sobre la base que éstos quedan sujetos a los reglamentos de la bolsa respectiva.</w:t>
      </w:r>
      <w:r>
        <w:rPr>
          <w:rFonts w:eastAsia="Times New Roman"/>
          <w:sz w:val="30"/>
          <w:szCs w:val="30"/>
          <w:lang w:val="es-ES"/>
        </w:rPr>
        <w:br/>
      </w:r>
      <w:r>
        <w:rPr>
          <w:rFonts w:eastAsia="Times New Roman"/>
          <w:sz w:val="30"/>
          <w:szCs w:val="30"/>
          <w:lang w:val="es-ES"/>
        </w:rPr>
        <w:br/>
        <w:t>Las casas de valores negociarán en el mercado de v</w:t>
      </w:r>
      <w:r>
        <w:rPr>
          <w:rFonts w:eastAsia="Times New Roman"/>
          <w:sz w:val="30"/>
          <w:szCs w:val="30"/>
          <w:lang w:val="es-ES"/>
        </w:rPr>
        <w:t>alores a través de operadores inscritos en el Registro del Mercado de Valores, quienes actuarán bajo responsabilidad solidaria con sus respectivas casas. Los representantes legales, dependientes y operadores de una casa de valores no podrán serlo simultáne</w:t>
      </w:r>
      <w:r>
        <w:rPr>
          <w:rFonts w:eastAsia="Times New Roman"/>
          <w:sz w:val="30"/>
          <w:szCs w:val="30"/>
          <w:lang w:val="es-ES"/>
        </w:rPr>
        <w:t>amente de otra casa de valores.</w:t>
      </w:r>
      <w:r>
        <w:rPr>
          <w:rFonts w:eastAsia="Times New Roman"/>
          <w:sz w:val="30"/>
          <w:szCs w:val="30"/>
          <w:lang w:val="es-ES"/>
        </w:rPr>
        <w:br/>
      </w:r>
      <w:r>
        <w:rPr>
          <w:rFonts w:eastAsia="Times New Roman"/>
          <w:sz w:val="30"/>
          <w:szCs w:val="30"/>
          <w:lang w:val="es-ES"/>
        </w:rPr>
        <w:br/>
        <w:t>Las casas de valores podrán suscribir contratos con los inversionistas institucionales para que bajo el amparo y responsabilidad de éstas, puedan realizar operaciones directas en bolsa. El C.N.V., expedirá las normas especi</w:t>
      </w:r>
      <w:r>
        <w:rPr>
          <w:rFonts w:eastAsia="Times New Roman"/>
          <w:sz w:val="30"/>
          <w:szCs w:val="30"/>
          <w:lang w:val="es-ES"/>
        </w:rPr>
        <w:t>ales para estos contratos.</w:t>
      </w:r>
      <w:r>
        <w:rPr>
          <w:rFonts w:eastAsia="Times New Roman"/>
          <w:sz w:val="30"/>
          <w:szCs w:val="30"/>
          <w:lang w:val="es-ES"/>
        </w:rPr>
        <w:br/>
      </w:r>
      <w:r>
        <w:rPr>
          <w:rFonts w:eastAsia="Times New Roman"/>
          <w:sz w:val="30"/>
          <w:szCs w:val="30"/>
          <w:lang w:val="es-ES"/>
        </w:rPr>
        <w:br/>
        <w:t>Las casas de valores que actúen en la compra o venta de valores, quedan obligadas a pagar el precio de la compra o efectuar la entrega de los valores vendidos, sin que puedan oponer la excepción de falta de provisión. Serán resp</w:t>
      </w:r>
      <w:r>
        <w:rPr>
          <w:rFonts w:eastAsia="Times New Roman"/>
          <w:sz w:val="30"/>
          <w:szCs w:val="30"/>
          <w:lang w:val="es-ES"/>
        </w:rPr>
        <w:t>onsables de la identidad y capacidad legal de las personas que contrataren por su intermedio, de la existencia e integridad de los valores que negocien y de la autenticidad del último endoso, cuando procediere; sin embargo, no serán responsables ni asumirá</w:t>
      </w:r>
      <w:r>
        <w:rPr>
          <w:rFonts w:eastAsia="Times New Roman"/>
          <w:sz w:val="30"/>
          <w:szCs w:val="30"/>
          <w:lang w:val="es-ES"/>
        </w:rPr>
        <w:t>n responsabilidad respecto de la solvencia del emisor. No podrán utilizar dineros de sus comitentes para cumplir obligaciones pendientes o propias, o de otros comitentes, ni podrán compensar las sumas que recibieron para comprar ni el precio que se les ent</w:t>
      </w:r>
      <w:r>
        <w:rPr>
          <w:rFonts w:eastAsia="Times New Roman"/>
          <w:sz w:val="30"/>
          <w:szCs w:val="30"/>
          <w:lang w:val="es-ES"/>
        </w:rPr>
        <w:t>regare por los valores vendidos, con las cantidades que les adeude el cliente comprador o vendedor.</w:t>
      </w:r>
    </w:p>
    <w:p w:rsidR="00000000" w:rsidRDefault="0018461E">
      <w:pPr>
        <w:divId w:val="987436432"/>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w:t>
      </w:r>
      <w:r>
        <w:rPr>
          <w:rFonts w:eastAsia="Times New Roman"/>
          <w:b/>
          <w:bCs/>
          <w:sz w:val="30"/>
          <w:szCs w:val="30"/>
          <w:lang w:val="es-ES"/>
        </w:rPr>
        <w:t>De las facultades de las casas de valores</w:t>
      </w:r>
      <w:r>
        <w:rPr>
          <w:rFonts w:eastAsia="Times New Roman"/>
          <w:sz w:val="30"/>
          <w:szCs w:val="30"/>
          <w:lang w:val="es-ES"/>
        </w:rPr>
        <w:t>.- (Reformado por la Disposición Reformatoria Décima Séptima, num. 2 del Código Orgánico Monetario y Fina</w:t>
      </w:r>
      <w:r>
        <w:rPr>
          <w:rFonts w:eastAsia="Times New Roman"/>
          <w:sz w:val="30"/>
          <w:szCs w:val="30"/>
          <w:lang w:val="es-ES"/>
        </w:rPr>
        <w:t>nciero; R.O. 332-2S, 12-IX-2014).-Las casas de valores tendrán las siguientes facultades:</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243840" cy="243840"/>
            <wp:effectExtent l="0" t="0" r="3810" b="3810"/>
            <wp:docPr id="36" name="Imagen 36"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 (Reformado por la Disposición Reformatoria Décima Séptima, num. 12 del Código Orgánico Monetario y Financiero; R.O. 332-2S, 12-IX-2014)</w:t>
      </w:r>
      <w:r>
        <w:rPr>
          <w:rFonts w:eastAsia="Times New Roman"/>
          <w:sz w:val="30"/>
          <w:szCs w:val="30"/>
          <w:lang w:val="es-ES"/>
        </w:rPr>
        <w:t xml:space="preserve">.- Operar, de acuerdo con las instrucciones de sus comitentes, en el mercado bursátil; </w:t>
      </w:r>
      <w:r>
        <w:rPr>
          <w:rFonts w:eastAsia="Times New Roman"/>
          <w:sz w:val="30"/>
          <w:szCs w:val="30"/>
          <w:lang w:val="es-ES"/>
        </w:rPr>
        <w:br/>
      </w:r>
      <w:r>
        <w:rPr>
          <w:rFonts w:eastAsia="Times New Roman"/>
          <w:sz w:val="30"/>
          <w:szCs w:val="30"/>
          <w:lang w:val="es-ES"/>
        </w:rPr>
        <w:br/>
        <w:t xml:space="preserve">2. (Sustituido por el lit. a del Art. 29 de la Ley s/n, R.O. 249-S, 20-V-2014; y, reformado por la Disposición Reformatoria Décima Séptima, num. 2 del Código Orgánico </w:t>
      </w:r>
      <w:r>
        <w:rPr>
          <w:rFonts w:eastAsia="Times New Roman"/>
          <w:sz w:val="30"/>
          <w:szCs w:val="30"/>
          <w:lang w:val="es-ES"/>
        </w:rPr>
        <w:t>Monetario y Financiero; R.O. 332-2S, 12-IX-2014).- Administrar portafolios de valores o dineros de terceros para invertirlos en instrumentos del Mercado de Valores de acuerdo con las instrucciones de sus comitentes. Se considera portafolio de terceros a un</w:t>
      </w:r>
      <w:r>
        <w:rPr>
          <w:rFonts w:eastAsia="Times New Roman"/>
          <w:sz w:val="30"/>
          <w:szCs w:val="30"/>
          <w:lang w:val="es-ES"/>
        </w:rPr>
        <w:t xml:space="preserve"> conjunto de valores administrados para uno o varios comitentes, de acuerdo con los límites que para el efecto determine la Junta de Regulación Política y Regulación Monetaria y Financiera; </w:t>
      </w:r>
      <w:r>
        <w:rPr>
          <w:rFonts w:eastAsia="Times New Roman"/>
          <w:sz w:val="30"/>
          <w:szCs w:val="30"/>
          <w:lang w:val="es-ES"/>
        </w:rPr>
        <w:br/>
      </w:r>
      <w:r>
        <w:rPr>
          <w:rFonts w:eastAsia="Times New Roman"/>
          <w:sz w:val="30"/>
          <w:szCs w:val="30"/>
          <w:lang w:val="es-ES"/>
        </w:rPr>
        <w:br/>
        <w:t xml:space="preserve">3. Adquirir o enajenar valores por cuenta propia;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7" name="Imagen 37"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4. Realizar operaciones de underwriting con personas jurídicas del sector público, del sector privado y con fond</w:t>
      </w:r>
      <w:r>
        <w:rPr>
          <w:rFonts w:eastAsia="Times New Roman"/>
          <w:sz w:val="30"/>
          <w:szCs w:val="30"/>
          <w:lang w:val="es-ES"/>
        </w:rPr>
        <w:t xml:space="preserve">os colectivos; </w:t>
      </w:r>
      <w:r>
        <w:rPr>
          <w:rFonts w:eastAsia="Times New Roman"/>
          <w:sz w:val="30"/>
          <w:szCs w:val="30"/>
          <w:lang w:val="es-ES"/>
        </w:rPr>
        <w:br/>
      </w:r>
      <w:r>
        <w:rPr>
          <w:rFonts w:eastAsia="Times New Roman"/>
          <w:sz w:val="30"/>
          <w:szCs w:val="30"/>
          <w:lang w:val="es-ES"/>
        </w:rPr>
        <w:br/>
        <w:t>5. (Sustituido por el lit. b del Art. 29 de la Ley s/n, R.O. 249-S, 20-V-2014).- Dar asesoría, información y prestar servicios de consultoría en materia de negociación y estructuración de portafolios de valores, a personas naturales y/o ju</w:t>
      </w:r>
      <w:r>
        <w:rPr>
          <w:rFonts w:eastAsia="Times New Roman"/>
          <w:sz w:val="30"/>
          <w:szCs w:val="30"/>
          <w:lang w:val="es-ES"/>
        </w:rPr>
        <w:t xml:space="preserve">rídicas del sector privado y a instituciones del sector público, de conformidad con esta Ley; </w:t>
      </w:r>
      <w:r>
        <w:rPr>
          <w:rFonts w:eastAsia="Times New Roman"/>
          <w:sz w:val="30"/>
          <w:szCs w:val="30"/>
          <w:lang w:val="es-ES"/>
        </w:rPr>
        <w:br/>
      </w:r>
      <w:r>
        <w:rPr>
          <w:rFonts w:eastAsia="Times New Roman"/>
          <w:sz w:val="30"/>
          <w:szCs w:val="30"/>
          <w:lang w:val="es-ES"/>
        </w:rPr>
        <w:br/>
        <w:t xml:space="preserve">6. Explotar su tecnología, sus servicios de información y procesamiento de datos y otros relacionados con su actividad; </w:t>
      </w:r>
      <w:r>
        <w:rPr>
          <w:rFonts w:eastAsia="Times New Roman"/>
          <w:sz w:val="30"/>
          <w:szCs w:val="30"/>
          <w:lang w:val="es-ES"/>
        </w:rPr>
        <w:br/>
      </w:r>
      <w:r>
        <w:rPr>
          <w:rFonts w:eastAsia="Times New Roman"/>
          <w:sz w:val="30"/>
          <w:szCs w:val="30"/>
          <w:lang w:val="es-ES"/>
        </w:rPr>
        <w:br/>
        <w:t>7. (Reformado por la Disposición Refor</w:t>
      </w:r>
      <w:r>
        <w:rPr>
          <w:rFonts w:eastAsia="Times New Roman"/>
          <w:sz w:val="30"/>
          <w:szCs w:val="30"/>
          <w:lang w:val="es-ES"/>
        </w:rPr>
        <w:t>matoria Décima Séptima, num. 1 del Código Orgánico Monetario y Financiero; R.O. 332-2S, 12-IX-2014).- Anticipar fondos de sus recursos a sus comitentes para ejecutar órdenes de compra de valores inscritos en el Catastro Público del Mercado de Valores, debi</w:t>
      </w:r>
      <w:r>
        <w:rPr>
          <w:rFonts w:eastAsia="Times New Roman"/>
          <w:sz w:val="30"/>
          <w:szCs w:val="30"/>
          <w:lang w:val="es-ES"/>
        </w:rPr>
        <w:t xml:space="preserve">endo retener en garantía tales valores hasta la reposición de los fondos y dentro de los límites y plazos que establezcan las normas que para el efecto expedirá el C.N.V.; </w:t>
      </w:r>
      <w:r>
        <w:rPr>
          <w:rFonts w:eastAsia="Times New Roman"/>
          <w:sz w:val="30"/>
          <w:szCs w:val="30"/>
          <w:lang w:val="es-ES"/>
        </w:rPr>
        <w:br/>
      </w:r>
      <w:r>
        <w:rPr>
          <w:rFonts w:eastAsia="Times New Roman"/>
          <w:sz w:val="30"/>
          <w:szCs w:val="30"/>
          <w:lang w:val="es-ES"/>
        </w:rPr>
        <w:br/>
        <w:t>8. Ser accionista o miembro de instituciones reguladas por esta Ley, con excepción</w:t>
      </w:r>
      <w:r>
        <w:rPr>
          <w:rFonts w:eastAsia="Times New Roman"/>
          <w:sz w:val="30"/>
          <w:szCs w:val="30"/>
          <w:lang w:val="es-ES"/>
        </w:rPr>
        <w:t xml:space="preserve"> de otras casas de valores, administradoras de fondos y </w:t>
      </w:r>
      <w:r>
        <w:rPr>
          <w:rFonts w:eastAsia="Times New Roman"/>
          <w:sz w:val="30"/>
          <w:szCs w:val="30"/>
          <w:lang w:val="es-ES"/>
        </w:rPr>
        <w:lastRenderedPageBreak/>
        <w:t xml:space="preserve">fideicomisos, compañías calificadoras de riesgo, auditores externos, del grupo empresarial o financiero al que pertenece la casa de valores y sus empresas vinculadas; </w:t>
      </w:r>
      <w:r>
        <w:rPr>
          <w:rFonts w:eastAsia="Times New Roman"/>
          <w:sz w:val="30"/>
          <w:szCs w:val="30"/>
          <w:lang w:val="es-ES"/>
        </w:rPr>
        <w:br/>
      </w:r>
      <w:r>
        <w:rPr>
          <w:rFonts w:eastAsia="Times New Roman"/>
          <w:sz w:val="30"/>
          <w:szCs w:val="30"/>
          <w:lang w:val="es-ES"/>
        </w:rPr>
        <w:br/>
        <w:t>9. Efectuar actividades de esta</w:t>
      </w:r>
      <w:r>
        <w:rPr>
          <w:rFonts w:eastAsia="Times New Roman"/>
          <w:sz w:val="30"/>
          <w:szCs w:val="30"/>
          <w:lang w:val="es-ES"/>
        </w:rPr>
        <w:t xml:space="preserve">bilización de precios únicamente durante la oferta pública primaria de valores, de acuerdo con las normas de carácter general que expida el C.N.V.; </w:t>
      </w:r>
      <w:r>
        <w:rPr>
          <w:rFonts w:eastAsia="Times New Roman"/>
          <w:sz w:val="30"/>
          <w:szCs w:val="30"/>
          <w:lang w:val="es-ES"/>
        </w:rPr>
        <w:br/>
      </w:r>
      <w:r>
        <w:rPr>
          <w:rFonts w:eastAsia="Times New Roman"/>
          <w:sz w:val="30"/>
          <w:szCs w:val="30"/>
          <w:lang w:val="es-ES"/>
        </w:rPr>
        <w:br/>
        <w:t xml:space="preserve">10. Realizar operaciones de reporto bursátil de acuerdo con las normas que expedirá el C.N.V.;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8" name="Imagen 38"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11. Realizar actividades de “market - maker” (hacedor del mercado), con acciones inscritas en bolsa bajo las condiciones establecidas por el C.N.V., entre las que deberán constar patrimonio mínimo, endeudamiento, posición, entre otros;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2. Las demás actividades que autorice el C.N.V., en consideración de un adecuado desarrollo del mercado de valores en base al carácter complementario que éstas tengan en relación con su actividad principal; y, </w:t>
      </w:r>
      <w:r>
        <w:rPr>
          <w:rFonts w:eastAsia="Times New Roman"/>
          <w:sz w:val="30"/>
          <w:szCs w:val="30"/>
          <w:lang w:val="es-ES"/>
        </w:rPr>
        <w:br/>
      </w:r>
      <w:r>
        <w:rPr>
          <w:rFonts w:eastAsia="Times New Roman"/>
          <w:sz w:val="30"/>
          <w:szCs w:val="30"/>
          <w:lang w:val="es-ES"/>
        </w:rPr>
        <w:br/>
        <w:t>13. (Agregado por el lit. d del Art. 29 de l</w:t>
      </w:r>
      <w:r>
        <w:rPr>
          <w:rFonts w:eastAsia="Times New Roman"/>
          <w:sz w:val="30"/>
          <w:szCs w:val="30"/>
          <w:lang w:val="es-ES"/>
        </w:rPr>
        <w:t>a Ley s/n, R.O. 249-S, 20-V-2014).- Celebrar convenios de corresponsalía con intermediarios de valores de otros países, para que, bajo la responsabilidad de la casa de valores local, tomen órdenes de compra o venta de valores, transados en mercados público</w:t>
      </w:r>
      <w:r>
        <w:rPr>
          <w:rFonts w:eastAsia="Times New Roman"/>
          <w:sz w:val="30"/>
          <w:szCs w:val="30"/>
          <w:lang w:val="es-ES"/>
        </w:rPr>
        <w:t>s e informados, por cuenta y riesgo de sus comitentes;</w:t>
      </w:r>
      <w:r>
        <w:rPr>
          <w:rFonts w:eastAsia="Times New Roman"/>
          <w:sz w:val="30"/>
          <w:szCs w:val="30"/>
          <w:lang w:val="es-ES"/>
        </w:rPr>
        <w:br/>
      </w:r>
      <w:r>
        <w:rPr>
          <w:rFonts w:eastAsia="Times New Roman"/>
          <w:sz w:val="30"/>
          <w:szCs w:val="30"/>
          <w:lang w:val="es-ES"/>
        </w:rPr>
        <w:br/>
        <w:t>14. (Agregado por el lit. d del Art. 29 de la Ley s/n, R.O. 249-S, 20-V-2014; y, reformado por la Disposición Reformatoria Décima Séptima, num. 2 del Código Orgánico Monetario y Financiero; R.O. 332-2</w:t>
      </w:r>
      <w:r>
        <w:rPr>
          <w:rFonts w:eastAsia="Times New Roman"/>
          <w:sz w:val="30"/>
          <w:szCs w:val="30"/>
          <w:lang w:val="es-ES"/>
        </w:rPr>
        <w:t>S, 12-IX-2014).- Celebrar convenios de referimiento con intermediarios de valores de otros países, para que sus clientes puedan realizar órdenes de compra o venta de valores, transados en mercados públicos e informados, por cuenta y riesgo de sus clientes.</w:t>
      </w:r>
      <w:r>
        <w:rPr>
          <w:rFonts w:eastAsia="Times New Roman"/>
          <w:sz w:val="30"/>
          <w:szCs w:val="30"/>
          <w:lang w:val="es-ES"/>
        </w:rPr>
        <w:t xml:space="preserve"> Para esta actividad la casa de valores deberá suscribir contratos de referimiento con el intermediario respectivo y con sus clientes y cumplir con los demás requisitos que establezca la Junta de Política y Regulación Monetaria y Financiera mediante normas</w:t>
      </w:r>
      <w:r>
        <w:rPr>
          <w:rFonts w:eastAsia="Times New Roman"/>
          <w:sz w:val="30"/>
          <w:szCs w:val="30"/>
          <w:lang w:val="es-ES"/>
        </w:rPr>
        <w:t xml:space="preserve"> de carácter general;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15. (Agregado por el lit. d del Art. 29 de la Ley s/n, R.O. 249-S, 20-V-2014y, reformado por la Disposición Reformatoria Décima Séptima, num. 2 del Código Orgánico Monetario y Financiero; R.O. 332-2S, 12-IX-2014).- Las demás activ</w:t>
      </w:r>
      <w:r>
        <w:rPr>
          <w:rFonts w:eastAsia="Times New Roman"/>
          <w:sz w:val="30"/>
          <w:szCs w:val="30"/>
          <w:lang w:val="es-ES"/>
        </w:rPr>
        <w:t>idades que autorice la Junta de Política y Regulación Monetaria y Financiera, en consideración de un adecuado desarrollo del mercado de valores en base al carácter complementario que éstas tengan en relación con su actividad principal.</w:t>
      </w:r>
      <w:r>
        <w:rPr>
          <w:rFonts w:eastAsia="Times New Roman"/>
          <w:sz w:val="30"/>
          <w:szCs w:val="30"/>
          <w:lang w:val="es-ES"/>
        </w:rPr>
        <w:br/>
      </w:r>
      <w:r>
        <w:rPr>
          <w:rFonts w:eastAsia="Times New Roman"/>
          <w:sz w:val="30"/>
          <w:szCs w:val="30"/>
          <w:lang w:val="es-ES"/>
        </w:rPr>
        <w:br/>
        <w:t>La Junta de Regulac</w:t>
      </w:r>
      <w:r>
        <w:rPr>
          <w:rFonts w:eastAsia="Times New Roman"/>
          <w:sz w:val="30"/>
          <w:szCs w:val="30"/>
          <w:lang w:val="es-ES"/>
        </w:rPr>
        <w:t>ión Política y Regulación Monetaria y Financiera determinará los requisitos técnicos y financieros para las casas de valores que se dediquen exclusivamente a intermediación de valores y las demás actividades previstas en esta Ley, y para las casas de valor</w:t>
      </w:r>
      <w:r>
        <w:rPr>
          <w:rFonts w:eastAsia="Times New Roman"/>
          <w:sz w:val="30"/>
          <w:szCs w:val="30"/>
          <w:lang w:val="es-ES"/>
        </w:rPr>
        <w:t>es que realicen adicionalmente actividades de banca de inversión.</w:t>
      </w:r>
    </w:p>
    <w:p w:rsidR="00000000" w:rsidRDefault="0018461E">
      <w:pPr>
        <w:divId w:val="115475862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Obligaciones de las casas de valores.- </w:t>
      </w:r>
      <w:r>
        <w:rPr>
          <w:rFonts w:eastAsia="Times New Roman"/>
          <w:sz w:val="30"/>
          <w:szCs w:val="30"/>
          <w:lang w:val="es-ES"/>
        </w:rPr>
        <w:t>(Agregado por el Art. 30 de la Ley s/n, R.O. 249-S, 20-V-2014).- Las casas de valores tendrán las siguientes obligaciones: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(Reformado por la Disposición Reformatoria Décima Séptima, num. 2 del Código Orgánico Monetario y Financiero; R.O. 332-2S, 12-IX-2014).- Llevar los registros que determine la Junta de Regulación Política y Regulación Monetaria y Financiera;</w:t>
      </w:r>
      <w:r>
        <w:rPr>
          <w:rFonts w:eastAsia="Times New Roman"/>
          <w:sz w:val="30"/>
          <w:szCs w:val="30"/>
          <w:lang w:val="es-ES"/>
        </w:rPr>
        <w:br/>
      </w:r>
      <w:r>
        <w:rPr>
          <w:rFonts w:eastAsia="Times New Roman"/>
          <w:sz w:val="30"/>
          <w:szCs w:val="30"/>
          <w:lang w:val="es-ES"/>
        </w:rPr>
        <w:br/>
        <w:t>2. Reformad</w:t>
      </w:r>
      <w:r>
        <w:rPr>
          <w:rFonts w:eastAsia="Times New Roman"/>
          <w:sz w:val="30"/>
          <w:szCs w:val="30"/>
          <w:lang w:val="es-ES"/>
        </w:rPr>
        <w:t xml:space="preserve">o por la Disposición Reformatoria Décima Séptima, num. 2 del Código Orgánico Monetario y Financiero; R.O. 332-2S, 12-IX-2014).- Mantener estándares de seguridad informática tales como protección de los sistemas informáticos, respaldos de la información en </w:t>
      </w:r>
      <w:r>
        <w:rPr>
          <w:rFonts w:eastAsia="Times New Roman"/>
          <w:sz w:val="30"/>
          <w:szCs w:val="30"/>
          <w:lang w:val="es-ES"/>
        </w:rPr>
        <w:t>sedes distintas al lugar donde operen las casas de valores, pólizas de fidelidad, medidas de gestión del riesgo legal, operativo y financiero, de acuerdo a lo que determine la Junta de Regulación Política y Regulación Monetaria y Financiera;</w:t>
      </w:r>
      <w:r>
        <w:rPr>
          <w:rFonts w:eastAsia="Times New Roman"/>
          <w:sz w:val="30"/>
          <w:szCs w:val="30"/>
          <w:lang w:val="es-ES"/>
        </w:rPr>
        <w:br/>
      </w:r>
      <w:r>
        <w:rPr>
          <w:rFonts w:eastAsia="Times New Roman"/>
          <w:sz w:val="30"/>
          <w:szCs w:val="30"/>
          <w:lang w:val="es-ES"/>
        </w:rPr>
        <w:br/>
        <w:t xml:space="preserve">3. Facilitar </w:t>
      </w:r>
      <w:r>
        <w:rPr>
          <w:rFonts w:eastAsia="Times New Roman"/>
          <w:sz w:val="30"/>
          <w:szCs w:val="30"/>
          <w:lang w:val="es-ES"/>
        </w:rPr>
        <w:t>a sus comitentes información actualizada sobre los valores en circulación en el mercado y acerca de la situación legal, administrativa, financiera y económica de las empresas emisoras. En todos los casos en los que se ofrezcan alternativas de inversión, pr</w:t>
      </w:r>
      <w:r>
        <w:rPr>
          <w:rFonts w:eastAsia="Times New Roman"/>
          <w:sz w:val="30"/>
          <w:szCs w:val="30"/>
          <w:lang w:val="es-ES"/>
        </w:rPr>
        <w:t>oductos desarrollados por la casa de valores, se debe incluir una recomendación escrita de ésta sobre la decisión de negociación de dicho valor;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Observar las normas de autorregulación;</w:t>
      </w:r>
      <w:r>
        <w:rPr>
          <w:rFonts w:eastAsia="Times New Roman"/>
          <w:sz w:val="30"/>
          <w:szCs w:val="30"/>
          <w:lang w:val="es-ES"/>
        </w:rPr>
        <w:br/>
      </w:r>
      <w:r>
        <w:rPr>
          <w:rFonts w:eastAsia="Times New Roman"/>
          <w:sz w:val="30"/>
          <w:szCs w:val="30"/>
          <w:lang w:val="es-ES"/>
        </w:rPr>
        <w:br/>
        <w:t>5. (Reformado por la Disposición Reformatoria Décima Séptima, num.</w:t>
      </w:r>
      <w:r>
        <w:rPr>
          <w:rFonts w:eastAsia="Times New Roman"/>
          <w:sz w:val="30"/>
          <w:szCs w:val="30"/>
          <w:lang w:val="es-ES"/>
        </w:rPr>
        <w:t xml:space="preserve"> 2 del Código Orgánico Monetario y Financiero; R.O. 332-2S, 12-IX-2014).- Determinar el perfil de riesgo del inversor, para lo que se deberán observar las normas que dicte la Junta de Regulación Política y Regulación Monetaria y Financiera y la autorregula</w:t>
      </w:r>
      <w:r>
        <w:rPr>
          <w:rFonts w:eastAsia="Times New Roman"/>
          <w:sz w:val="30"/>
          <w:szCs w:val="30"/>
          <w:lang w:val="es-ES"/>
        </w:rPr>
        <w:t>ción, de acuerdo a estándares internacionales para protección del inversor;</w:t>
      </w:r>
      <w:r>
        <w:rPr>
          <w:rFonts w:eastAsia="Times New Roman"/>
          <w:sz w:val="30"/>
          <w:szCs w:val="30"/>
          <w:lang w:val="es-ES"/>
        </w:rPr>
        <w:br/>
      </w:r>
      <w:r>
        <w:rPr>
          <w:rFonts w:eastAsia="Times New Roman"/>
          <w:sz w:val="30"/>
          <w:szCs w:val="30"/>
          <w:lang w:val="es-ES"/>
        </w:rPr>
        <w:br/>
        <w:t>6. Entregar el dinero de las ventas y los valores de las compras a sus comitentes en un plazo máximo de cuarenta y ocho horas, desde la compensación y liquidación de cada operació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7. Mantener los activos del portafolio propio y del portafolio de terceros administrados por ésta, separados entre sí y de su propio patrimonio;</w:t>
      </w:r>
      <w:r>
        <w:rPr>
          <w:rFonts w:eastAsia="Times New Roman"/>
          <w:sz w:val="30"/>
          <w:szCs w:val="30"/>
          <w:lang w:val="es-ES"/>
        </w:rPr>
        <w:br/>
      </w:r>
      <w:r>
        <w:rPr>
          <w:rFonts w:eastAsia="Times New Roman"/>
          <w:sz w:val="30"/>
          <w:szCs w:val="30"/>
          <w:lang w:val="es-ES"/>
        </w:rPr>
        <w:br/>
        <w:t>8. Responder a los titulares de los portafolios administrados por los perjuicios o pérdidas que ella o cua</w:t>
      </w:r>
      <w:r>
        <w:rPr>
          <w:rFonts w:eastAsia="Times New Roman"/>
          <w:sz w:val="30"/>
          <w:szCs w:val="30"/>
          <w:lang w:val="es-ES"/>
        </w:rPr>
        <w:t>lquiera de sus empleados, funcionarios o personas que le presten servicios, les causare como consecuencia de infracciones a esta Ley o sus normas complementarias por dolo, o culpa, y en general por el incumplimiento de sus obligaciones, sin perjuicio de la</w:t>
      </w:r>
      <w:r>
        <w:rPr>
          <w:rFonts w:eastAsia="Times New Roman"/>
          <w:sz w:val="30"/>
          <w:szCs w:val="30"/>
          <w:lang w:val="es-ES"/>
        </w:rPr>
        <w:t xml:space="preserve"> responsabilidad administrativa, civil o penal que corresponda a las personas implicadas; y,</w:t>
      </w:r>
      <w:r>
        <w:rPr>
          <w:rFonts w:eastAsia="Times New Roman"/>
          <w:sz w:val="30"/>
          <w:szCs w:val="30"/>
          <w:lang w:val="es-ES"/>
        </w:rPr>
        <w:br/>
      </w:r>
      <w:r>
        <w:rPr>
          <w:rFonts w:eastAsia="Times New Roman"/>
          <w:sz w:val="30"/>
          <w:szCs w:val="30"/>
          <w:lang w:val="es-ES"/>
        </w:rPr>
        <w:br/>
        <w:t>9. Reformado por la Disposición Reformatoria Décima Séptima, num. 2 del Código Orgánico Monetario y Financiero; R.O. 332-2S, 12-IX-2014).- Las demás que determine</w:t>
      </w:r>
      <w:r>
        <w:rPr>
          <w:rFonts w:eastAsia="Times New Roman"/>
          <w:sz w:val="30"/>
          <w:szCs w:val="30"/>
          <w:lang w:val="es-ES"/>
        </w:rPr>
        <w:t xml:space="preserve"> la Junta de Regulación Política y Regulación Monetaria y Financiera.</w:t>
      </w:r>
    </w:p>
    <w:p w:rsidR="00000000" w:rsidRDefault="0018461E">
      <w:pPr>
        <w:divId w:val="1676953372"/>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De las prohibiciones a las casas de valores.- </w:t>
      </w:r>
      <w:r>
        <w:rPr>
          <w:rFonts w:eastAsia="Times New Roman"/>
          <w:sz w:val="30"/>
          <w:szCs w:val="30"/>
          <w:lang w:val="es-ES"/>
        </w:rPr>
        <w:t>A las casas de valores les está prohibido:</w:t>
      </w:r>
      <w:r>
        <w:rPr>
          <w:rFonts w:eastAsia="Times New Roman"/>
          <w:sz w:val="30"/>
          <w:szCs w:val="30"/>
          <w:lang w:val="es-ES"/>
        </w:rPr>
        <w:br/>
      </w:r>
      <w:r>
        <w:rPr>
          <w:rFonts w:eastAsia="Times New Roman"/>
          <w:sz w:val="30"/>
          <w:szCs w:val="30"/>
          <w:lang w:val="es-ES"/>
        </w:rPr>
        <w:br/>
        <w:t xml:space="preserve">1. Realizar actividades de intermediación financiera; </w:t>
      </w:r>
      <w:r>
        <w:rPr>
          <w:rFonts w:eastAsia="Times New Roman"/>
          <w:sz w:val="30"/>
          <w:szCs w:val="30"/>
          <w:lang w:val="es-ES"/>
        </w:rPr>
        <w:br/>
      </w:r>
      <w:r>
        <w:rPr>
          <w:rFonts w:eastAsia="Times New Roman"/>
          <w:sz w:val="30"/>
          <w:szCs w:val="30"/>
          <w:lang w:val="es-ES"/>
        </w:rPr>
        <w:br/>
        <w:t>2. Recibir por cualquier medio</w:t>
      </w:r>
      <w:r>
        <w:rPr>
          <w:rFonts w:eastAsia="Times New Roman"/>
          <w:sz w:val="30"/>
          <w:szCs w:val="30"/>
          <w:lang w:val="es-ES"/>
        </w:rPr>
        <w:t xml:space="preserve"> captaciones del público; </w:t>
      </w:r>
      <w:r>
        <w:rPr>
          <w:rFonts w:eastAsia="Times New Roman"/>
          <w:sz w:val="30"/>
          <w:szCs w:val="30"/>
          <w:lang w:val="es-ES"/>
        </w:rPr>
        <w:br/>
      </w:r>
      <w:r>
        <w:rPr>
          <w:rFonts w:eastAsia="Times New Roman"/>
          <w:sz w:val="30"/>
          <w:szCs w:val="30"/>
          <w:lang w:val="es-ES"/>
        </w:rPr>
        <w:br/>
        <w:t xml:space="preserve">3. (Reformado por la Disposición Reformatoria Décima Séptima, nums. 1 y 13 del Código Orgánico Monetario y Financiero; R.O. 332-2S, 12-IX-2014).- Realizar negociaciones con valores no inscritos en </w:t>
      </w:r>
      <w:r>
        <w:rPr>
          <w:rFonts w:eastAsia="Times New Roman"/>
          <w:sz w:val="30"/>
          <w:szCs w:val="30"/>
          <w:lang w:val="es-ES"/>
        </w:rPr>
        <w:lastRenderedPageBreak/>
        <w:t>el Registro del Mercado de Valo</w:t>
      </w:r>
      <w:r>
        <w:rPr>
          <w:rFonts w:eastAsia="Times New Roman"/>
          <w:sz w:val="30"/>
          <w:szCs w:val="30"/>
          <w:lang w:val="es-ES"/>
        </w:rPr>
        <w:t>res;</w:t>
      </w:r>
      <w:r>
        <w:rPr>
          <w:rFonts w:eastAsia="Times New Roman"/>
          <w:sz w:val="30"/>
          <w:szCs w:val="30"/>
          <w:lang w:val="es-ES"/>
        </w:rPr>
        <w:br/>
      </w:r>
      <w:r>
        <w:rPr>
          <w:rFonts w:eastAsia="Times New Roman"/>
          <w:sz w:val="30"/>
          <w:szCs w:val="30"/>
          <w:lang w:val="es-ES"/>
        </w:rPr>
        <w:br/>
        <w:t xml:space="preserve">4. Realizar actos o efectuar operaciones ficticias o que tengan por objeto manipular o fijar artificialmente precios o cotizaciones; </w:t>
      </w:r>
      <w:r>
        <w:rPr>
          <w:rFonts w:eastAsia="Times New Roman"/>
          <w:sz w:val="30"/>
          <w:szCs w:val="30"/>
          <w:lang w:val="es-ES"/>
        </w:rPr>
        <w:br/>
      </w:r>
      <w:r>
        <w:rPr>
          <w:rFonts w:eastAsia="Times New Roman"/>
          <w:sz w:val="30"/>
          <w:szCs w:val="30"/>
          <w:lang w:val="es-ES"/>
        </w:rPr>
        <w:br/>
        <w:t xml:space="preserve">5. Garantizar rendimientos o asumir pérdidas de sus comitentes; </w:t>
      </w:r>
      <w:r>
        <w:rPr>
          <w:rFonts w:eastAsia="Times New Roman"/>
          <w:sz w:val="30"/>
          <w:szCs w:val="30"/>
          <w:lang w:val="es-ES"/>
        </w:rPr>
        <w:br/>
      </w:r>
      <w:r>
        <w:rPr>
          <w:rFonts w:eastAsia="Times New Roman"/>
          <w:sz w:val="30"/>
          <w:szCs w:val="30"/>
          <w:lang w:val="es-ES"/>
        </w:rPr>
        <w:br/>
        <w:t>6. Divulgar por cualquier medio, directa o indire</w:t>
      </w:r>
      <w:r>
        <w:rPr>
          <w:rFonts w:eastAsia="Times New Roman"/>
          <w:sz w:val="30"/>
          <w:szCs w:val="30"/>
          <w:lang w:val="es-ES"/>
        </w:rPr>
        <w:t xml:space="preserve">ctamente información falsa, tendenciosa, imprecisa o privilegiada; </w:t>
      </w:r>
      <w:r>
        <w:rPr>
          <w:rFonts w:eastAsia="Times New Roman"/>
          <w:sz w:val="30"/>
          <w:szCs w:val="30"/>
          <w:lang w:val="es-ES"/>
        </w:rPr>
        <w:br/>
      </w:r>
      <w:r>
        <w:rPr>
          <w:rFonts w:eastAsia="Times New Roman"/>
          <w:sz w:val="30"/>
          <w:szCs w:val="30"/>
          <w:lang w:val="es-ES"/>
        </w:rPr>
        <w:br/>
        <w:t xml:space="preserve">7. Marginarse utilidades en una transacción en la que, habiendo sido intermediario, ha procedido a cobrar su correspondiente comisión; </w:t>
      </w:r>
      <w:r>
        <w:rPr>
          <w:rFonts w:eastAsia="Times New Roman"/>
          <w:sz w:val="30"/>
          <w:szCs w:val="30"/>
          <w:lang w:val="es-ES"/>
        </w:rPr>
        <w:br/>
      </w:r>
      <w:r>
        <w:rPr>
          <w:rFonts w:eastAsia="Times New Roman"/>
          <w:sz w:val="30"/>
          <w:szCs w:val="30"/>
          <w:lang w:val="es-ES"/>
        </w:rPr>
        <w:br/>
        <w:t xml:space="preserve">8. Adquirir valores que se les ordenó vender, así </w:t>
      </w:r>
      <w:r>
        <w:rPr>
          <w:rFonts w:eastAsia="Times New Roman"/>
          <w:sz w:val="30"/>
          <w:szCs w:val="30"/>
          <w:lang w:val="es-ES"/>
        </w:rPr>
        <w:t xml:space="preserve">como vender de los suyos a quien les ordenó adquirir, sin autorización expresa del cliente. Esta autorización deberá constar en documento escrito; </w:t>
      </w:r>
      <w:r>
        <w:rPr>
          <w:rFonts w:eastAsia="Times New Roman"/>
          <w:sz w:val="30"/>
          <w:szCs w:val="30"/>
          <w:lang w:val="es-ES"/>
        </w:rPr>
        <w:br/>
      </w:r>
      <w:r>
        <w:rPr>
          <w:rFonts w:eastAsia="Times New Roman"/>
          <w:sz w:val="30"/>
          <w:szCs w:val="30"/>
          <w:lang w:val="es-ES"/>
        </w:rPr>
        <w:br/>
        <w:t xml:space="preserve">9. Realizar las actividades asignadas en la presente Ley a las administradoras de fondos y fideicomisos;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9" name="Imagen 39"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10. Realizar operaciones de “market - maker” (hacedor del mercado), con acciones emitidas por empresas vinculadas con la casa de valores o cualquier otra compañía relacionada por gestión, propiedad o administración; </w:t>
      </w:r>
      <w:r>
        <w:rPr>
          <w:rFonts w:eastAsia="Times New Roman"/>
          <w:sz w:val="30"/>
          <w:szCs w:val="30"/>
          <w:lang w:val="es-ES"/>
        </w:rPr>
        <w:br/>
      </w:r>
      <w:r>
        <w:rPr>
          <w:rFonts w:eastAsia="Times New Roman"/>
          <w:sz w:val="30"/>
          <w:szCs w:val="30"/>
          <w:lang w:val="es-ES"/>
        </w:rPr>
        <w:br/>
        <w:t>11. Ser ac</w:t>
      </w:r>
      <w:r>
        <w:rPr>
          <w:rFonts w:eastAsia="Times New Roman"/>
          <w:sz w:val="30"/>
          <w:szCs w:val="30"/>
          <w:lang w:val="es-ES"/>
        </w:rPr>
        <w:t xml:space="preserve">cionista de una administradora de fondos y fideicomisos; y, </w:t>
      </w:r>
      <w:r>
        <w:rPr>
          <w:rFonts w:eastAsia="Times New Roman"/>
          <w:sz w:val="30"/>
          <w:szCs w:val="30"/>
          <w:lang w:val="es-ES"/>
        </w:rPr>
        <w:br/>
      </w:r>
      <w:r>
        <w:rPr>
          <w:rFonts w:eastAsia="Times New Roman"/>
          <w:sz w:val="30"/>
          <w:szCs w:val="30"/>
          <w:lang w:val="es-ES"/>
        </w:rPr>
        <w:br/>
        <w:t>12. (Agregado por el Art. 31 de la Ley s/n, R.O. 249-S, 20-V-2014).- Poner a nombre de la casa de valores los valores de sus comitentes y de los portafolios administrados de terceros, salvo auto</w:t>
      </w:r>
      <w:r>
        <w:rPr>
          <w:rFonts w:eastAsia="Times New Roman"/>
          <w:sz w:val="30"/>
          <w:szCs w:val="30"/>
          <w:lang w:val="es-ES"/>
        </w:rPr>
        <w:t>rización expresa, documentada del comitente.</w:t>
      </w:r>
    </w:p>
    <w:p w:rsidR="00000000" w:rsidRDefault="0018461E">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BANCA DE INVERSIÓN</w:t>
      </w:r>
    </w:p>
    <w:p w:rsidR="00000000" w:rsidRDefault="0018461E">
      <w:pPr>
        <w:jc w:val="center"/>
        <w:divId w:val="545683311"/>
        <w:rPr>
          <w:rFonts w:eastAsia="Times New Roman"/>
          <w:sz w:val="30"/>
          <w:szCs w:val="30"/>
          <w:lang w:val="es-ES"/>
        </w:rPr>
      </w:pPr>
      <w:r>
        <w:rPr>
          <w:rFonts w:eastAsia="Times New Roman"/>
          <w:b/>
          <w:bCs/>
          <w:sz w:val="30"/>
          <w:szCs w:val="30"/>
          <w:lang w:val="es-ES"/>
        </w:rPr>
        <w:t>(Agregado por el Art. 32 de la Ley s/n, R.O. 249-S, 20-V-2014)</w:t>
      </w:r>
    </w:p>
    <w:p w:rsidR="00000000" w:rsidRDefault="0018461E">
      <w:pPr>
        <w:divId w:val="199472180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Concepto.- </w:t>
      </w:r>
      <w:r>
        <w:rPr>
          <w:rFonts w:eastAsia="Times New Roman"/>
          <w:sz w:val="30"/>
          <w:szCs w:val="30"/>
          <w:lang w:val="es-ES"/>
        </w:rPr>
        <w:t>Es aquella actividad especializada orientada a la búsqueda de opciones de inversión y financiamie</w:t>
      </w:r>
      <w:r>
        <w:rPr>
          <w:rFonts w:eastAsia="Times New Roman"/>
          <w:sz w:val="30"/>
          <w:szCs w:val="30"/>
          <w:lang w:val="es-ES"/>
        </w:rPr>
        <w:t>nto a través del mercado de valores, efectuada por entes dedicados especialmente a esta actividad.</w:t>
      </w:r>
      <w:r>
        <w:rPr>
          <w:rFonts w:eastAsia="Times New Roman"/>
          <w:sz w:val="30"/>
          <w:szCs w:val="30"/>
          <w:lang w:val="es-ES"/>
        </w:rPr>
        <w:br/>
      </w:r>
      <w:r>
        <w:rPr>
          <w:rFonts w:eastAsia="Times New Roman"/>
          <w:sz w:val="30"/>
          <w:szCs w:val="30"/>
          <w:lang w:val="es-ES"/>
        </w:rPr>
        <w:lastRenderedPageBreak/>
        <w:br/>
        <w:t>Solamente podrán realizar actividades de banca de inversión las casas de valores y el Banco del Instituto Ecuatoriano de Seguridad Social.</w:t>
      </w:r>
    </w:p>
    <w:p w:rsidR="00000000" w:rsidRDefault="0018461E">
      <w:pPr>
        <w:divId w:val="6595988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Constituc</w:t>
      </w:r>
      <w:r>
        <w:rPr>
          <w:rFonts w:eastAsia="Times New Roman"/>
          <w:b/>
          <w:bCs/>
          <w:sz w:val="30"/>
          <w:szCs w:val="30"/>
          <w:lang w:val="es-ES"/>
        </w:rPr>
        <w:t xml:space="preserve">ión y Autorización de funcionamiento.- </w:t>
      </w:r>
      <w:r>
        <w:rPr>
          <w:rFonts w:eastAsia="Times New Roman"/>
          <w:sz w:val="30"/>
          <w:szCs w:val="30"/>
          <w:lang w:val="es-ES"/>
        </w:rPr>
        <w:t>(Reformado por la Disposición Reformatoria Décima Séptima, nums. 2 y 3 del Código Orgánico Monetario y Financiero; R.O. 332-2S, 12-IX-2014).- Las casas de valores que deseen especializarse en la búsqueda de opciones d</w:t>
      </w:r>
      <w:r>
        <w:rPr>
          <w:rFonts w:eastAsia="Times New Roman"/>
          <w:sz w:val="30"/>
          <w:szCs w:val="30"/>
          <w:lang w:val="es-ES"/>
        </w:rPr>
        <w:t>e financiamiento a través del mercado de valores podrán utilizar adicionalmente la expresión Banca de Inversión.</w:t>
      </w:r>
      <w:r>
        <w:rPr>
          <w:rFonts w:eastAsia="Times New Roman"/>
          <w:sz w:val="30"/>
          <w:szCs w:val="30"/>
          <w:lang w:val="es-ES"/>
        </w:rPr>
        <w:br/>
      </w:r>
      <w:r>
        <w:rPr>
          <w:rFonts w:eastAsia="Times New Roman"/>
          <w:sz w:val="30"/>
          <w:szCs w:val="30"/>
          <w:lang w:val="es-ES"/>
        </w:rPr>
        <w:br/>
        <w:t>Las casas de valores no podrán efectuar actividades exclusivas de banca de inversión mientras no se encuentren legalmente autorizadas por la S</w:t>
      </w:r>
      <w:r>
        <w:rPr>
          <w:rFonts w:eastAsia="Times New Roman"/>
          <w:sz w:val="30"/>
          <w:szCs w:val="30"/>
          <w:lang w:val="es-ES"/>
        </w:rPr>
        <w:t>uperintendencia de Compañías, Valores y Seguros, de conformidad con las normas de carácter general que expida la Junta de Política y Regulación Monetaria y Financiera.</w:t>
      </w:r>
    </w:p>
    <w:p w:rsidR="00000000" w:rsidRDefault="0018461E">
      <w:pPr>
        <w:divId w:val="5586209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Facultades de la banca de inversión.-</w:t>
      </w:r>
      <w:r>
        <w:rPr>
          <w:rFonts w:eastAsia="Times New Roman"/>
          <w:sz w:val="30"/>
          <w:szCs w:val="30"/>
          <w:lang w:val="es-ES"/>
        </w:rPr>
        <w:t xml:space="preserve"> Adicionalmente a las facultades previstas </w:t>
      </w:r>
      <w:r>
        <w:rPr>
          <w:rFonts w:eastAsia="Times New Roman"/>
          <w:sz w:val="30"/>
          <w:szCs w:val="30"/>
          <w:lang w:val="es-ES"/>
        </w:rPr>
        <w:t>para las casas de valores, la banca de inversión tendrá las siguientes facultades:</w:t>
      </w:r>
      <w:r>
        <w:rPr>
          <w:rFonts w:eastAsia="Times New Roman"/>
          <w:sz w:val="30"/>
          <w:szCs w:val="30"/>
          <w:lang w:val="es-ES"/>
        </w:rPr>
        <w:br/>
      </w:r>
      <w:r>
        <w:rPr>
          <w:rFonts w:eastAsia="Times New Roman"/>
          <w:sz w:val="30"/>
          <w:szCs w:val="30"/>
          <w:lang w:val="es-ES"/>
        </w:rPr>
        <w:br/>
        <w:t>1. Actuar como estructurador, impulsador y promotor de proyectos de inversión y financiamiento, tanto públicos como privados;</w:t>
      </w:r>
      <w:r>
        <w:rPr>
          <w:rFonts w:eastAsia="Times New Roman"/>
          <w:sz w:val="30"/>
          <w:szCs w:val="30"/>
          <w:lang w:val="es-ES"/>
        </w:rPr>
        <w:br/>
      </w:r>
      <w:r>
        <w:rPr>
          <w:rFonts w:eastAsia="Times New Roman"/>
          <w:sz w:val="30"/>
          <w:szCs w:val="30"/>
          <w:lang w:val="es-ES"/>
        </w:rPr>
        <w:br/>
        <w:t>2. (Reformado por la Disposición Reformatoria</w:t>
      </w:r>
      <w:r>
        <w:rPr>
          <w:rFonts w:eastAsia="Times New Roman"/>
          <w:sz w:val="30"/>
          <w:szCs w:val="30"/>
          <w:lang w:val="es-ES"/>
        </w:rPr>
        <w:t xml:space="preserve"> Décima Séptima, num. 2 del Código Orgánico Monetario y Financiero; R.O. 332-2S, 12-IX-2014).- Estructurar procesos de emisión de valores negociables en el mercado de valores, de conformidad con las normas y requisitos que establezca la Junta de Política y</w:t>
      </w:r>
      <w:r>
        <w:rPr>
          <w:rFonts w:eastAsia="Times New Roman"/>
          <w:sz w:val="30"/>
          <w:szCs w:val="30"/>
          <w:lang w:val="es-ES"/>
        </w:rPr>
        <w:t xml:space="preserve"> Regulación Monetaria y Financiera, para lo cual deberán acreditar capacidad técnica y jurídica y la posibilidad de disponer directa o indirectamente de personal especializado para esta tarea. En todo caso, la banca de inversión asumirá la responsabilidad </w:t>
      </w:r>
      <w:r>
        <w:rPr>
          <w:rFonts w:eastAsia="Times New Roman"/>
          <w:sz w:val="30"/>
          <w:szCs w:val="30"/>
          <w:lang w:val="es-ES"/>
        </w:rPr>
        <w:t>de las actividades realizadas en estos procesos de estructuración;</w:t>
      </w:r>
      <w:r>
        <w:rPr>
          <w:rFonts w:eastAsia="Times New Roman"/>
          <w:sz w:val="30"/>
          <w:szCs w:val="30"/>
          <w:lang w:val="es-ES"/>
        </w:rPr>
        <w:br/>
      </w:r>
      <w:r>
        <w:rPr>
          <w:rFonts w:eastAsia="Times New Roman"/>
          <w:sz w:val="30"/>
          <w:szCs w:val="30"/>
          <w:lang w:val="es-ES"/>
        </w:rPr>
        <w:br/>
        <w:t xml:space="preserve">3. Dar asesoría e información en materia de finanzas, valores, estructuración de portafolios de valores, fusiones, escisiones, adquisiciones, negociación de paquetes accionarios, compra y </w:t>
      </w:r>
      <w:r>
        <w:rPr>
          <w:rFonts w:eastAsia="Times New Roman"/>
          <w:sz w:val="30"/>
          <w:szCs w:val="30"/>
          <w:lang w:val="es-ES"/>
        </w:rPr>
        <w:t>venta de empresas, y otras operaciones del mercado de valores;</w:t>
      </w:r>
      <w:r>
        <w:rPr>
          <w:rFonts w:eastAsia="Times New Roman"/>
          <w:sz w:val="30"/>
          <w:szCs w:val="30"/>
          <w:lang w:val="es-ES"/>
        </w:rPr>
        <w:br/>
      </w:r>
      <w:r>
        <w:rPr>
          <w:rFonts w:eastAsia="Times New Roman"/>
          <w:sz w:val="30"/>
          <w:szCs w:val="30"/>
          <w:lang w:val="es-ES"/>
        </w:rPr>
        <w:br/>
        <w:t xml:space="preserve">4. Explotar su tecnología, sus servicios de información y </w:t>
      </w:r>
      <w:r>
        <w:rPr>
          <w:rFonts w:eastAsia="Times New Roman"/>
          <w:sz w:val="30"/>
          <w:szCs w:val="30"/>
          <w:lang w:val="es-ES"/>
        </w:rPr>
        <w:lastRenderedPageBreak/>
        <w:t>procesamiento de datos, en el ámbito relacionado con el mercado de valores para las empresas privadas e instituciones públicas, y obte</w:t>
      </w:r>
      <w:r>
        <w:rPr>
          <w:rFonts w:eastAsia="Times New Roman"/>
          <w:sz w:val="30"/>
          <w:szCs w:val="30"/>
          <w:lang w:val="es-ES"/>
        </w:rPr>
        <w:t>ner los recursos o los instrumentos financieros necesarios para realizar determinada inversión, mediante la emisión y venta de valores en los mercados de capitales;</w:t>
      </w:r>
      <w:r>
        <w:rPr>
          <w:rFonts w:eastAsia="Times New Roman"/>
          <w:sz w:val="30"/>
          <w:szCs w:val="30"/>
          <w:lang w:val="es-ES"/>
        </w:rPr>
        <w:br/>
      </w:r>
      <w:r>
        <w:rPr>
          <w:rFonts w:eastAsia="Times New Roman"/>
          <w:sz w:val="30"/>
          <w:szCs w:val="30"/>
          <w:lang w:val="es-ES"/>
        </w:rPr>
        <w:br/>
        <w:t>5. (Reformado por la Disposición Reformatoria Décima Séptima, num. 2 del Código Orgánico M</w:t>
      </w:r>
      <w:r>
        <w:rPr>
          <w:rFonts w:eastAsia="Times New Roman"/>
          <w:sz w:val="30"/>
          <w:szCs w:val="30"/>
          <w:lang w:val="es-ES"/>
        </w:rPr>
        <w:t xml:space="preserve">onetario y Financiero; R.O. 332-2S, 12-IX-2014).- Realizar actividades de hacedor del mercado (market maker), con valores de renta variable o de renta fija del sector público y privado, inscritos en Bolsas de Valores, bajo las condiciones establecidas por </w:t>
      </w:r>
      <w:r>
        <w:rPr>
          <w:rFonts w:eastAsia="Times New Roman"/>
          <w:sz w:val="30"/>
          <w:szCs w:val="30"/>
          <w:lang w:val="es-ES"/>
        </w:rPr>
        <w:t>la Junta de Política y Regulación Monetaria y Financiera mediante disposiciones de carácter general;</w:t>
      </w:r>
      <w:r>
        <w:rPr>
          <w:rFonts w:eastAsia="Times New Roman"/>
          <w:sz w:val="30"/>
          <w:szCs w:val="30"/>
          <w:lang w:val="es-ES"/>
        </w:rPr>
        <w:br/>
      </w:r>
      <w:r>
        <w:rPr>
          <w:rFonts w:eastAsia="Times New Roman"/>
          <w:sz w:val="30"/>
          <w:szCs w:val="30"/>
          <w:lang w:val="es-ES"/>
        </w:rPr>
        <w:br/>
        <w:t>6. Realizar operaciones de underwriting o suscripción de una emisión o parte de ella, para su posterior reventa en el mercado;</w:t>
      </w:r>
      <w:r>
        <w:rPr>
          <w:rFonts w:eastAsia="Times New Roman"/>
          <w:sz w:val="30"/>
          <w:szCs w:val="30"/>
          <w:lang w:val="es-ES"/>
        </w:rPr>
        <w:br/>
      </w:r>
      <w:r>
        <w:rPr>
          <w:rFonts w:eastAsia="Times New Roman"/>
          <w:sz w:val="30"/>
          <w:szCs w:val="30"/>
          <w:lang w:val="es-ES"/>
        </w:rPr>
        <w:br/>
        <w:t>7. Efectuar valoraciones f</w:t>
      </w:r>
      <w:r>
        <w:rPr>
          <w:rFonts w:eastAsia="Times New Roman"/>
          <w:sz w:val="30"/>
          <w:szCs w:val="30"/>
          <w:lang w:val="es-ES"/>
        </w:rPr>
        <w:t>inancieras de empresas o proyectos; y,</w:t>
      </w:r>
      <w:r>
        <w:rPr>
          <w:rFonts w:eastAsia="Times New Roman"/>
          <w:sz w:val="30"/>
          <w:szCs w:val="30"/>
          <w:lang w:val="es-ES"/>
        </w:rPr>
        <w:br/>
      </w:r>
      <w:r>
        <w:rPr>
          <w:rFonts w:eastAsia="Times New Roman"/>
          <w:sz w:val="30"/>
          <w:szCs w:val="30"/>
          <w:lang w:val="es-ES"/>
        </w:rPr>
        <w:br/>
        <w:t>8. (Reformado por la Disposición Reformatoria Décima Séptima, num. 2 del Código Orgánico Monetario y Financiero; R.O. 332-2S, 12-IX-2014).- Las demás actividades que autorice la Junta de Política y Regulación Monetar</w:t>
      </w:r>
      <w:r>
        <w:rPr>
          <w:rFonts w:eastAsia="Times New Roman"/>
          <w:sz w:val="30"/>
          <w:szCs w:val="30"/>
          <w:lang w:val="es-ES"/>
        </w:rPr>
        <w:t>ia y Financiera.</w:t>
      </w:r>
      <w:r>
        <w:rPr>
          <w:rFonts w:eastAsia="Times New Roman"/>
          <w:sz w:val="30"/>
          <w:szCs w:val="30"/>
          <w:lang w:val="es-ES"/>
        </w:rPr>
        <w:br/>
      </w:r>
      <w:r>
        <w:rPr>
          <w:rFonts w:eastAsia="Times New Roman"/>
          <w:sz w:val="30"/>
          <w:szCs w:val="30"/>
          <w:lang w:val="es-ES"/>
        </w:rPr>
        <w:br/>
        <w:t>Asimismo, podrán realizar actividades de hacedor del mercado (market maker) la Corporación Financiera Nacional y aquellas instituciones financieras públicas cuyas leyes propias lo permitan.</w:t>
      </w:r>
    </w:p>
    <w:p w:rsidR="00000000" w:rsidRDefault="0018461E">
      <w:pPr>
        <w:divId w:val="129220407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Obligaciones de la banca de inversión.-</w:t>
      </w:r>
      <w:r>
        <w:rPr>
          <w:rFonts w:eastAsia="Times New Roman"/>
          <w:sz w:val="30"/>
          <w:szCs w:val="30"/>
          <w:lang w:val="es-ES"/>
        </w:rPr>
        <w:br/>
      </w:r>
      <w:r>
        <w:rPr>
          <w:rFonts w:eastAsia="Times New Roman"/>
          <w:sz w:val="30"/>
          <w:szCs w:val="30"/>
          <w:lang w:val="es-ES"/>
        </w:rPr>
        <w:br/>
        <w:t>Adicionalmente a las obligaciones previstas para las casas de valores, la banca de inversión tendrá las siguientes obligaciones:</w:t>
      </w:r>
      <w:r>
        <w:rPr>
          <w:rFonts w:eastAsia="Times New Roman"/>
          <w:sz w:val="30"/>
          <w:szCs w:val="30"/>
          <w:lang w:val="es-ES"/>
        </w:rPr>
        <w:br/>
      </w:r>
      <w:r>
        <w:rPr>
          <w:rFonts w:eastAsia="Times New Roman"/>
          <w:sz w:val="30"/>
          <w:szCs w:val="30"/>
          <w:lang w:val="es-ES"/>
        </w:rPr>
        <w:br/>
        <w:t>1. Contar con la debida capacidad técnica y jurídica en la estructuración de procesos de emisión de valores, y contar directa</w:t>
      </w:r>
      <w:r>
        <w:rPr>
          <w:rFonts w:eastAsia="Times New Roman"/>
          <w:sz w:val="30"/>
          <w:szCs w:val="30"/>
          <w:lang w:val="es-ES"/>
        </w:rPr>
        <w:t xml:space="preserve"> o indirectamente con el personal especializado para esta tarea. En todo caso, la banca de inversión asumirá la responsabilidad de las actividades realizadas en estos procesos de estructuración;</w:t>
      </w:r>
      <w:r>
        <w:rPr>
          <w:rFonts w:eastAsia="Times New Roman"/>
          <w:sz w:val="30"/>
          <w:szCs w:val="30"/>
          <w:lang w:val="es-ES"/>
        </w:rPr>
        <w:br/>
      </w:r>
      <w:r>
        <w:rPr>
          <w:rFonts w:eastAsia="Times New Roman"/>
          <w:sz w:val="30"/>
          <w:szCs w:val="30"/>
          <w:lang w:val="es-ES"/>
        </w:rPr>
        <w:br/>
        <w:t>2. En la estructuración de procesos de titularización o de e</w:t>
      </w:r>
      <w:r>
        <w:rPr>
          <w:rFonts w:eastAsia="Times New Roman"/>
          <w:sz w:val="30"/>
          <w:szCs w:val="30"/>
          <w:lang w:val="es-ES"/>
        </w:rPr>
        <w:t xml:space="preserve">misión de obligaciones, la banca de inversión será la responsable de determinar </w:t>
      </w:r>
      <w:r>
        <w:rPr>
          <w:rFonts w:eastAsia="Times New Roman"/>
          <w:sz w:val="30"/>
          <w:szCs w:val="30"/>
          <w:lang w:val="es-ES"/>
        </w:rPr>
        <w:lastRenderedPageBreak/>
        <w:t>la probabilidad de ocurrencia de los flujos futuros esperados que se destinarían para el pago de los valores emitidos y deberá determinar el índice de siniestralidad de la cart</w:t>
      </w:r>
      <w:r>
        <w:rPr>
          <w:rFonts w:eastAsia="Times New Roman"/>
          <w:sz w:val="30"/>
          <w:szCs w:val="30"/>
          <w:lang w:val="es-ES"/>
        </w:rPr>
        <w:t>era a titularizar o de determinar el índice de desviación en la generación de los flujos proyectados en otros procesos de titularización, la verificación de la existencia legal del activo titularizado que generará el flujo futuro que servirá para el pago a</w:t>
      </w:r>
      <w:r>
        <w:rPr>
          <w:rFonts w:eastAsia="Times New Roman"/>
          <w:sz w:val="30"/>
          <w:szCs w:val="30"/>
          <w:lang w:val="es-ES"/>
        </w:rPr>
        <w:t xml:space="preserve"> los inversionistas, siguiendo para el efecto las disposiciones de carácter general que determine la Junta de Regulación del Mercado de Valores; y,</w:t>
      </w:r>
      <w:r>
        <w:rPr>
          <w:rFonts w:eastAsia="Times New Roman"/>
          <w:sz w:val="30"/>
          <w:szCs w:val="30"/>
          <w:lang w:val="es-ES"/>
        </w:rPr>
        <w:br/>
      </w:r>
      <w:r>
        <w:rPr>
          <w:rFonts w:eastAsia="Times New Roman"/>
          <w:sz w:val="30"/>
          <w:szCs w:val="30"/>
          <w:lang w:val="es-ES"/>
        </w:rPr>
        <w:br/>
        <w:t>3. Las demás que determine la Junta de Regulación del Mercado de Valores.</w:t>
      </w:r>
    </w:p>
    <w:p w:rsidR="00000000" w:rsidRDefault="0018461E">
      <w:pPr>
        <w:divId w:val="176403363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Prohibiciones.-</w:t>
      </w:r>
      <w:r>
        <w:rPr>
          <w:rFonts w:eastAsia="Times New Roman"/>
          <w:sz w:val="30"/>
          <w:szCs w:val="30"/>
          <w:lang w:val="es-ES"/>
        </w:rPr>
        <w:t xml:space="preserve"> Adicional</w:t>
      </w:r>
      <w:r>
        <w:rPr>
          <w:rFonts w:eastAsia="Times New Roman"/>
          <w:sz w:val="30"/>
          <w:szCs w:val="30"/>
          <w:lang w:val="es-ES"/>
        </w:rPr>
        <w:t>mente a las prohibiciones previstas para las casas de valores, a la banca de inversión le está prohibido:</w:t>
      </w:r>
      <w:r>
        <w:rPr>
          <w:rFonts w:eastAsia="Times New Roman"/>
          <w:sz w:val="30"/>
          <w:szCs w:val="30"/>
          <w:lang w:val="es-ES"/>
        </w:rPr>
        <w:br/>
      </w:r>
      <w:r>
        <w:rPr>
          <w:rFonts w:eastAsia="Times New Roman"/>
          <w:sz w:val="30"/>
          <w:szCs w:val="30"/>
          <w:lang w:val="es-ES"/>
        </w:rPr>
        <w:br/>
        <w:t>1. Realizar operaciones de hacedor del mercado (market maker), con acciones emitidas por empresas vinculadas a la banca de inversión o cualquier otra</w:t>
      </w:r>
      <w:r>
        <w:rPr>
          <w:rFonts w:eastAsia="Times New Roman"/>
          <w:sz w:val="30"/>
          <w:szCs w:val="30"/>
          <w:lang w:val="es-ES"/>
        </w:rPr>
        <w:t xml:space="preserve"> compañía relacionada por gestión, propiedad o administración; y,</w:t>
      </w:r>
      <w:r>
        <w:rPr>
          <w:rFonts w:eastAsia="Times New Roman"/>
          <w:sz w:val="30"/>
          <w:szCs w:val="30"/>
          <w:lang w:val="es-ES"/>
        </w:rPr>
        <w:br/>
      </w:r>
      <w:r>
        <w:rPr>
          <w:rFonts w:eastAsia="Times New Roman"/>
          <w:sz w:val="30"/>
          <w:szCs w:val="30"/>
          <w:lang w:val="es-ES"/>
        </w:rPr>
        <w:br/>
        <w:t>2. Las casas de valores que realicen las actividades de banca de inversión no podrán captar depósitos ni dar préstamos, ni en general, efectuar operaciones exclusivas de las instituciones q</w:t>
      </w:r>
      <w:r>
        <w:rPr>
          <w:rFonts w:eastAsia="Times New Roman"/>
          <w:sz w:val="30"/>
          <w:szCs w:val="30"/>
          <w:lang w:val="es-ES"/>
        </w:rPr>
        <w:t>ue efectúan intermediación financiera.</w:t>
      </w:r>
    </w:p>
    <w:p w:rsidR="00000000" w:rsidRDefault="0018461E">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LOS DEPÓSITOS CENTRALIZADOS DE COMPENSACIÓN Y LIQUIDACIÓN DE VALORES</w:t>
      </w:r>
    </w:p>
    <w:p w:rsidR="00000000"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18461E">
      <w:pPr>
        <w:jc w:val="center"/>
        <w:divId w:val="516235251"/>
        <w:rPr>
          <w:rFonts w:eastAsia="Times New Roman"/>
          <w:sz w:val="30"/>
          <w:szCs w:val="30"/>
          <w:lang w:val="es-ES"/>
        </w:rPr>
      </w:pPr>
      <w:r>
        <w:rPr>
          <w:rFonts w:eastAsia="Times New Roman"/>
          <w:b/>
          <w:bCs/>
          <w:sz w:val="30"/>
          <w:szCs w:val="30"/>
          <w:lang w:val="es-ES"/>
        </w:rPr>
        <w:t>(Agregado por el Art. 33 de la Ley s/n, R.O. 249-S, 20-V-2014)</w:t>
      </w:r>
    </w:p>
    <w:p w:rsidR="00000000" w:rsidRDefault="0018461E">
      <w:pPr>
        <w:divId w:val="786463858"/>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w:t>
      </w:r>
      <w:r>
        <w:rPr>
          <w:rFonts w:eastAsia="Times New Roman"/>
          <w:b/>
          <w:bCs/>
          <w:sz w:val="30"/>
          <w:szCs w:val="30"/>
          <w:lang w:val="es-ES"/>
        </w:rPr>
        <w:t>De la naturaleza, autor</w:t>
      </w:r>
      <w:r>
        <w:rPr>
          <w:rFonts w:eastAsia="Times New Roman"/>
          <w:b/>
          <w:bCs/>
          <w:sz w:val="30"/>
          <w:szCs w:val="30"/>
          <w:lang w:val="es-ES"/>
        </w:rPr>
        <w:t>ización y requisitos de operación.-</w:t>
      </w:r>
      <w:r>
        <w:rPr>
          <w:rFonts w:eastAsia="Times New Roman"/>
          <w:sz w:val="30"/>
          <w:szCs w:val="30"/>
          <w:lang w:val="es-ES"/>
        </w:rPr>
        <w:t xml:space="preserve"> (Reformado por el Art. 15 de la Ley s/n, R.O. 498-3S, 31-XII-2008; y, Sustituido por el Art. 34 de la Ley s/n, R.O. 249-S, 20-V-2014; y, reformado por la Disposición Reformatoria Décima Séptima, nums. 1, 2 y 3 del Código</w:t>
      </w:r>
      <w:r>
        <w:rPr>
          <w:rFonts w:eastAsia="Times New Roman"/>
          <w:sz w:val="30"/>
          <w:szCs w:val="30"/>
          <w:lang w:val="es-ES"/>
        </w:rPr>
        <w:t xml:space="preserve"> Orgánico Monetario y Financiero; R.O. 332-2S, 12-IX-2014).- Depósitos Centralizados de Compensación y Liquidación de Valores serán las instituciones públicas o las compañías anónimas, </w:t>
      </w:r>
      <w:r>
        <w:rPr>
          <w:rFonts w:eastAsia="Times New Roman"/>
          <w:sz w:val="30"/>
          <w:szCs w:val="30"/>
          <w:lang w:val="es-ES"/>
        </w:rPr>
        <w:lastRenderedPageBreak/>
        <w:t>que sean autorizadas por la Superintendencia de Compañías, Valores y Se</w:t>
      </w:r>
      <w:r>
        <w:rPr>
          <w:rFonts w:eastAsia="Times New Roman"/>
          <w:sz w:val="30"/>
          <w:szCs w:val="30"/>
          <w:lang w:val="es-ES"/>
        </w:rPr>
        <w:t>guros para recibir en depósito valores inscritos en el Catastro Público del Mercado de Valores, encargarse de su custodia y conservación y brindar los servicios de liquidación y de registro de transferencias y, operar como cámara de compensación de valores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En el caso de las compañías anónimas el capital mínimo será fijado por la Junta de Política y Regulación Monetaria y Financiera en función de su objeto social, las actividades autorizadas y las condiciones del mercado, el cual deberá ser suscrito y paga</w:t>
      </w:r>
      <w:r>
        <w:rPr>
          <w:rFonts w:eastAsia="Times New Roman"/>
          <w:sz w:val="30"/>
          <w:szCs w:val="30"/>
          <w:lang w:val="es-ES"/>
        </w:rPr>
        <w:t>do en numerario en su totalidad. El capital pagado que estará dividido en acciones nominativas podrá pertenecer a las bolsas de valores, las casas de valores, las entidades del sector público legalmente autorizadas para ello, los emisores inscritos en el C</w:t>
      </w:r>
      <w:r>
        <w:rPr>
          <w:rFonts w:eastAsia="Times New Roman"/>
          <w:sz w:val="30"/>
          <w:szCs w:val="30"/>
          <w:lang w:val="es-ES"/>
        </w:rPr>
        <w:t>atastro Público del Mercado de Valores y otras personas autorizadas por la Junta de Política y Regulación Monetaria y Financiera.</w:t>
      </w:r>
      <w:r>
        <w:rPr>
          <w:rFonts w:eastAsia="Times New Roman"/>
          <w:sz w:val="30"/>
          <w:szCs w:val="30"/>
          <w:lang w:val="es-ES"/>
        </w:rPr>
        <w:br/>
      </w:r>
      <w:r>
        <w:rPr>
          <w:rFonts w:eastAsia="Times New Roman"/>
          <w:sz w:val="30"/>
          <w:szCs w:val="30"/>
          <w:lang w:val="es-ES"/>
        </w:rPr>
        <w:br/>
        <w:t>Los depósitos de compensación y liquidación de valores deben mantener los parámetros, índices, relaciones, capital, patrimoni</w:t>
      </w:r>
      <w:r>
        <w:rPr>
          <w:rFonts w:eastAsia="Times New Roman"/>
          <w:sz w:val="30"/>
          <w:szCs w:val="30"/>
          <w:lang w:val="es-ES"/>
        </w:rPr>
        <w:t>o mínimo y demás normas de funcionamiento, aplicación de procesos, solvencia y prudencia financiera que determine la Junta de Política y Regulación Monetaria y Financiera, tomando en consideración el desarrollo del mercado de valores.</w:t>
      </w:r>
      <w:r>
        <w:rPr>
          <w:rFonts w:eastAsia="Times New Roman"/>
          <w:sz w:val="30"/>
          <w:szCs w:val="30"/>
          <w:lang w:val="es-ES"/>
        </w:rPr>
        <w:br/>
      </w:r>
      <w:r>
        <w:rPr>
          <w:rFonts w:eastAsia="Times New Roman"/>
          <w:sz w:val="30"/>
          <w:szCs w:val="30"/>
          <w:lang w:val="es-ES"/>
        </w:rPr>
        <w:br/>
        <w:t>El incumplimiento de</w:t>
      </w:r>
      <w:r>
        <w:rPr>
          <w:rFonts w:eastAsia="Times New Roman"/>
          <w:sz w:val="30"/>
          <w:szCs w:val="30"/>
          <w:lang w:val="es-ES"/>
        </w:rPr>
        <w:t xml:space="preserve"> estas disposiciones reglamentarias será comunicado por los depósitos centralizados de compensación y liquidación a la Superintendencia de Compañías, Valores y Seguros, dentro del término de cinco días de ocurrido el hecho y, deberá ser subsanado en el pla</w:t>
      </w:r>
      <w:r>
        <w:rPr>
          <w:rFonts w:eastAsia="Times New Roman"/>
          <w:sz w:val="30"/>
          <w:szCs w:val="30"/>
          <w:lang w:val="es-ES"/>
        </w:rPr>
        <w:t>zo y la forma que determine dicho organismo de control.</w:t>
      </w:r>
      <w:r>
        <w:rPr>
          <w:rFonts w:eastAsia="Times New Roman"/>
          <w:sz w:val="30"/>
          <w:szCs w:val="30"/>
          <w:lang w:val="es-ES"/>
        </w:rPr>
        <w:br/>
      </w:r>
      <w:r>
        <w:rPr>
          <w:rFonts w:eastAsia="Times New Roman"/>
          <w:sz w:val="30"/>
          <w:szCs w:val="30"/>
          <w:lang w:val="es-ES"/>
        </w:rPr>
        <w:br/>
        <w:t>Los límites de participación accionaria en estas sociedades serán establecidos por la Junta de Política y Regulación Monetaria y Financiera mediante norma de carácter general, para cuya expedición de</w:t>
      </w:r>
      <w:r>
        <w:rPr>
          <w:rFonts w:eastAsia="Times New Roman"/>
          <w:sz w:val="30"/>
          <w:szCs w:val="30"/>
          <w:lang w:val="es-ES"/>
        </w:rPr>
        <w:t>berá considerar la participación consolidada de empresas vinculadas.</w:t>
      </w:r>
    </w:p>
    <w:p w:rsidR="00000000" w:rsidRDefault="0018461E">
      <w:pPr>
        <w:divId w:val="1434401073"/>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Autorización de funcionamiento.- </w:t>
      </w:r>
      <w:r>
        <w:rPr>
          <w:rFonts w:eastAsia="Times New Roman"/>
          <w:sz w:val="30"/>
          <w:szCs w:val="30"/>
          <w:lang w:val="es-ES"/>
        </w:rPr>
        <w:t>(Reformado por la Disposición Reformatoria Décima Séptima, num. 1 del Código Orgánico Monetario y Financiero; R.O. 332-2S, 12-IX-2014).- La Supe</w:t>
      </w:r>
      <w:r>
        <w:rPr>
          <w:rFonts w:eastAsia="Times New Roman"/>
          <w:sz w:val="30"/>
          <w:szCs w:val="30"/>
          <w:lang w:val="es-ES"/>
        </w:rPr>
        <w:t xml:space="preserve">rintendencia de Compañías autorizará el funcionamiento de un </w:t>
      </w:r>
      <w:r>
        <w:rPr>
          <w:rFonts w:eastAsia="Times New Roman"/>
          <w:sz w:val="30"/>
          <w:szCs w:val="30"/>
          <w:lang w:val="es-ES"/>
        </w:rPr>
        <w:lastRenderedPageBreak/>
        <w:t>depósito centralizado, procediendo a su inscripción y a la de sus reglamentos en el Catastro Público del Mercado de Valores, en cuanto verifique que se ha constituido cumpliendo los requisitos es</w:t>
      </w:r>
      <w:r>
        <w:rPr>
          <w:rFonts w:eastAsia="Times New Roman"/>
          <w:sz w:val="30"/>
          <w:szCs w:val="30"/>
          <w:lang w:val="es-ES"/>
        </w:rPr>
        <w:t>tablecidos en el artículo anterior y, que tiene las facilidades, mecanismos, reglamentos y procedimientos que garanticen su funcionamiento, de acuerdo a lo dispuesto en esta Ley.</w:t>
      </w:r>
    </w:p>
    <w:p w:rsidR="00000000" w:rsidRDefault="0018461E">
      <w:pPr>
        <w:divId w:val="942155090"/>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De las operaciones autorizadas.- </w:t>
      </w:r>
      <w:r>
        <w:rPr>
          <w:rFonts w:eastAsia="Times New Roman"/>
          <w:sz w:val="30"/>
          <w:szCs w:val="30"/>
          <w:lang w:val="es-ES"/>
        </w:rPr>
        <w:t>Los depósitos centralizados de com</w:t>
      </w:r>
      <w:r>
        <w:rPr>
          <w:rFonts w:eastAsia="Times New Roman"/>
          <w:sz w:val="30"/>
          <w:szCs w:val="30"/>
          <w:lang w:val="es-ES"/>
        </w:rPr>
        <w:t>pensación y liquidación de valores están autorizados para realizar las siguientes operaciones:</w:t>
      </w:r>
      <w:r>
        <w:rPr>
          <w:rFonts w:eastAsia="Times New Roman"/>
          <w:sz w:val="30"/>
          <w:szCs w:val="30"/>
          <w:lang w:val="es-ES"/>
        </w:rPr>
        <w:br/>
      </w:r>
      <w:r>
        <w:rPr>
          <w:rFonts w:eastAsia="Times New Roman"/>
          <w:sz w:val="30"/>
          <w:szCs w:val="30"/>
          <w:lang w:val="es-ES"/>
        </w:rPr>
        <w:br/>
        <w:t>a) (Reformado por la Disposición Reformatoria Décima Séptima, num. 1 del Código Orgánico Monetario y Financiero; R.O. 332-2S, 12-IX-2014).- Recibir depósitos de</w:t>
      </w:r>
      <w:r>
        <w:rPr>
          <w:rFonts w:eastAsia="Times New Roman"/>
          <w:sz w:val="30"/>
          <w:szCs w:val="30"/>
          <w:lang w:val="es-ES"/>
        </w:rPr>
        <w:t xml:space="preserve"> valores inscritos en el Catastro Público del Mercado de Valores y encargarse de su custodia y conservación hasta su restitución a quien corresponda;</w:t>
      </w:r>
      <w:r>
        <w:rPr>
          <w:rFonts w:eastAsia="Times New Roman"/>
          <w:sz w:val="30"/>
          <w:szCs w:val="30"/>
          <w:lang w:val="es-ES"/>
        </w:rPr>
        <w:br/>
      </w:r>
      <w:r>
        <w:rPr>
          <w:rFonts w:eastAsia="Times New Roman"/>
          <w:sz w:val="30"/>
          <w:szCs w:val="30"/>
          <w:lang w:val="es-ES"/>
        </w:rPr>
        <w:br/>
        <w:t>b) Llevar a nombre de los emisores los registros de acciones, obligaciones y otros valores, los libros de</w:t>
      </w:r>
      <w:r>
        <w:rPr>
          <w:rFonts w:eastAsia="Times New Roman"/>
          <w:sz w:val="30"/>
          <w:szCs w:val="30"/>
          <w:lang w:val="es-ES"/>
        </w:rPr>
        <w:t xml:space="preserve"> acciones y accionistas de las sociedades que inscriban sus acciones en la bolsa y, efectuar el registro de transferencias, así como la liquidación y compensación de los valores depositados que se negocien en bolsa y en el mercado extrabursátil;</w:t>
      </w:r>
      <w:r>
        <w:rPr>
          <w:rFonts w:eastAsia="Times New Roman"/>
          <w:sz w:val="30"/>
          <w:szCs w:val="30"/>
          <w:lang w:val="es-ES"/>
        </w:rPr>
        <w:br/>
      </w:r>
      <w:r>
        <w:rPr>
          <w:rFonts w:eastAsia="Times New Roman"/>
          <w:sz w:val="30"/>
          <w:szCs w:val="30"/>
          <w:lang w:val="es-ES"/>
        </w:rPr>
        <w:br/>
        <w:t>c) Los en</w:t>
      </w:r>
      <w:r>
        <w:rPr>
          <w:rFonts w:eastAsia="Times New Roman"/>
          <w:sz w:val="30"/>
          <w:szCs w:val="30"/>
          <w:lang w:val="es-ES"/>
        </w:rPr>
        <w:t xml:space="preserve">tes partícipes del mercado de valores informarán al Depósito los nombres y apellidos o denominaciones o razones sociales según corresponda, de las personas a las que pertenezcan los valores depositados. El depósito procederá a abrir una cuenta a nombre de </w:t>
      </w:r>
      <w:r>
        <w:rPr>
          <w:rFonts w:eastAsia="Times New Roman"/>
          <w:sz w:val="30"/>
          <w:szCs w:val="30"/>
          <w:lang w:val="es-ES"/>
        </w:rPr>
        <w:t>cada depositante. Cada una de estas cuentas se subdividirá, a su vez, en tantas cuentas y subcuentas como comitentes declare y clase, serie y emisor de títulos valores deposite respectivamente; reportará además, sus montos y características generales y ent</w:t>
      </w:r>
      <w:r>
        <w:rPr>
          <w:rFonts w:eastAsia="Times New Roman"/>
          <w:sz w:val="30"/>
          <w:szCs w:val="30"/>
          <w:lang w:val="es-ES"/>
        </w:rPr>
        <w:t>regará constancia de la existencia de dichas cuentas de acuerdo a las disposiciones que para el efecto expida el C.N.V., mediante norma de carácter general;</w:t>
      </w:r>
      <w:r>
        <w:rPr>
          <w:rFonts w:eastAsia="Times New Roman"/>
          <w:sz w:val="30"/>
          <w:szCs w:val="30"/>
          <w:lang w:val="es-ES"/>
        </w:rPr>
        <w:br/>
      </w:r>
      <w:r>
        <w:rPr>
          <w:rFonts w:eastAsia="Times New Roman"/>
          <w:sz w:val="30"/>
          <w:szCs w:val="30"/>
          <w:lang w:val="es-ES"/>
        </w:rPr>
        <w:br/>
        <w:t>d) Presentar a aceptación o a pago los valores que le sean entregados para el efecto y levantar pr</w:t>
      </w:r>
      <w:r>
        <w:rPr>
          <w:rFonts w:eastAsia="Times New Roman"/>
          <w:sz w:val="30"/>
          <w:szCs w:val="30"/>
          <w:lang w:val="es-ES"/>
        </w:rPr>
        <w:t>otestos por falta de aceptación o de pago de los valores, particularizando en acto pertinente de conformidad con las disposiciones legales aplicables; estos protestos tendrán el mismo valor y eficacia que los protestos judiciales o notariales;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Podrá un</w:t>
      </w:r>
      <w:r>
        <w:rPr>
          <w:rFonts w:eastAsia="Times New Roman"/>
          <w:sz w:val="30"/>
          <w:szCs w:val="30"/>
          <w:lang w:val="es-ES"/>
        </w:rPr>
        <w:t>ificar los títulos del mismo género y emisión que reciba de sus depositantes, en un título que represente la totalidad de esos valores depositados. El fraccionamiento y las transferencias futuras se registrarán mediante el sistema de anotación de cuenta. E</w:t>
      </w:r>
      <w:r>
        <w:rPr>
          <w:rFonts w:eastAsia="Times New Roman"/>
          <w:sz w:val="30"/>
          <w:szCs w:val="30"/>
          <w:lang w:val="es-ES"/>
        </w:rPr>
        <w:t xml:space="preserve">l sistema de anotación en cuenta con cargo al título unificado implica el registro o inscripción computarizada de los valores, sin que sea necesario la emisión física de los mismos, particular que será comunicado inmediatamente al emisor, de ser el caso; </w:t>
      </w:r>
      <w:r>
        <w:rPr>
          <w:rFonts w:eastAsia="Times New Roman"/>
          <w:sz w:val="30"/>
          <w:szCs w:val="30"/>
          <w:lang w:val="es-ES"/>
        </w:rPr>
        <w:br/>
      </w:r>
      <w:r>
        <w:rPr>
          <w:rFonts w:eastAsia="Times New Roman"/>
          <w:sz w:val="30"/>
          <w:szCs w:val="30"/>
          <w:lang w:val="es-ES"/>
        </w:rPr>
        <w:br/>
        <w:t>f) (Sustituido por el lit. a del Art. 35 de la Ley s/n, R.O. 249-S, 20-V-2014; y, reformado por la Disposición Reformatoria Décima Séptima, num. 1 del Código Orgánico Monetario y Financiero; R.O. 332-2S, 12-IX-2014).- Efectuar la desmaterialización de los</w:t>
      </w:r>
      <w:r>
        <w:rPr>
          <w:rFonts w:eastAsia="Times New Roman"/>
          <w:sz w:val="30"/>
          <w:szCs w:val="30"/>
          <w:lang w:val="es-ES"/>
        </w:rPr>
        <w:t xml:space="preserve"> valores inscritos en el Catatsro Público del mercado de valores mediante su anotación en cuenta. El sistema de anotación en cuenta implica el registro o inscripción contable de los valores, sin que sea necesaria la emisión física de éstos;</w:t>
      </w:r>
      <w:r>
        <w:rPr>
          <w:rFonts w:eastAsia="Times New Roman"/>
          <w:sz w:val="30"/>
          <w:szCs w:val="30"/>
          <w:lang w:val="es-ES"/>
        </w:rPr>
        <w:br/>
      </w:r>
      <w:r>
        <w:rPr>
          <w:rFonts w:eastAsia="Times New Roman"/>
          <w:sz w:val="30"/>
          <w:szCs w:val="30"/>
          <w:lang w:val="es-ES"/>
        </w:rPr>
        <w:br/>
        <w:t>g) (Agregado p</w:t>
      </w:r>
      <w:r>
        <w:rPr>
          <w:rFonts w:eastAsia="Times New Roman"/>
          <w:sz w:val="30"/>
          <w:szCs w:val="30"/>
          <w:lang w:val="es-ES"/>
        </w:rPr>
        <w:t>or el lit. b del Art. 35 de la Ley s/n, R.O. 249-S, 20-V-2014; y, reformado por la Disposición Reformatoria Décima Séptima, num. 3 del Código Orgánico Monetario y Financiero; R.O. 332-2S, 12-IX-2014) Mantener cuentas en otros depósitos de compensación y li</w:t>
      </w:r>
      <w:r>
        <w:rPr>
          <w:rFonts w:eastAsia="Times New Roman"/>
          <w:sz w:val="30"/>
          <w:szCs w:val="30"/>
          <w:lang w:val="es-ES"/>
        </w:rPr>
        <w:t>quidación de valores del país o de terceros países, previa autorización de la Superintendencia de Compañías, Valores y Seguros;</w:t>
      </w:r>
      <w:r>
        <w:rPr>
          <w:rFonts w:eastAsia="Times New Roman"/>
          <w:sz w:val="30"/>
          <w:szCs w:val="30"/>
          <w:lang w:val="es-ES"/>
        </w:rPr>
        <w:br/>
      </w:r>
      <w:r>
        <w:rPr>
          <w:rFonts w:eastAsia="Times New Roman"/>
          <w:sz w:val="30"/>
          <w:szCs w:val="30"/>
          <w:lang w:val="es-ES"/>
        </w:rPr>
        <w:br/>
        <w:t>h) (Agregado por el lit. b del Art. 35 de la Ley s/n, R.O. 249-S, 20-V-2014).- Actuar como agente pagador de emisiones desmater</w:t>
      </w:r>
      <w:r>
        <w:rPr>
          <w:rFonts w:eastAsia="Times New Roman"/>
          <w:sz w:val="30"/>
          <w:szCs w:val="30"/>
          <w:lang w:val="es-ES"/>
        </w:rPr>
        <w:t>ializadas autorizadas por la Superintendencia de Compañías, Valores y Seguros;</w:t>
      </w:r>
      <w:r>
        <w:rPr>
          <w:rFonts w:eastAsia="Times New Roman"/>
          <w:sz w:val="30"/>
          <w:szCs w:val="30"/>
          <w:lang w:val="es-ES"/>
        </w:rPr>
        <w:br/>
      </w:r>
      <w:r>
        <w:rPr>
          <w:rFonts w:eastAsia="Times New Roman"/>
          <w:sz w:val="30"/>
          <w:szCs w:val="30"/>
          <w:lang w:val="es-ES"/>
        </w:rPr>
        <w:br/>
        <w:t>i) (Agregado por el lit. b del Art. 35 de la Ley s/n, R.O. 249-S, 20-V-2014; y, reformado por la Disposición Reformatoria Décima Séptima, num. 2 y 3 del Código Orgánico Monetar</w:t>
      </w:r>
      <w:r>
        <w:rPr>
          <w:rFonts w:eastAsia="Times New Roman"/>
          <w:sz w:val="30"/>
          <w:szCs w:val="30"/>
          <w:lang w:val="es-ES"/>
        </w:rPr>
        <w:t>io y Financiero; R.O. 332-2S, 12-IX-2014).- Prestar los servicios de agencia numeradora bajo las normas que expida la Junta de Política y Regulación Monetaria y Financiera y la supervisión de la Superintendencia de Compañías, Valores y Seguros; y,</w:t>
      </w:r>
      <w:r>
        <w:rPr>
          <w:rFonts w:eastAsia="Times New Roman"/>
          <w:sz w:val="30"/>
          <w:szCs w:val="30"/>
          <w:lang w:val="es-ES"/>
        </w:rPr>
        <w:br/>
      </w:r>
      <w:r>
        <w:rPr>
          <w:rFonts w:eastAsia="Times New Roman"/>
          <w:sz w:val="30"/>
          <w:szCs w:val="30"/>
          <w:lang w:val="es-ES"/>
        </w:rPr>
        <w:br/>
        <w:t>j) (Agr</w:t>
      </w:r>
      <w:r>
        <w:rPr>
          <w:rFonts w:eastAsia="Times New Roman"/>
          <w:sz w:val="30"/>
          <w:szCs w:val="30"/>
          <w:lang w:val="es-ES"/>
        </w:rPr>
        <w:t>egado por el lit. b del Art. 35 de la Ley s/n, R.O. 249-S, 20-V-</w:t>
      </w:r>
      <w:r>
        <w:rPr>
          <w:rFonts w:eastAsia="Times New Roman"/>
          <w:sz w:val="30"/>
          <w:szCs w:val="30"/>
          <w:lang w:val="es-ES"/>
        </w:rPr>
        <w:lastRenderedPageBreak/>
        <w:t xml:space="preserve">2014 y, reformado por la Disposición Reformatoria Décima Séptima, num. 2 del Código Orgánico Monetario y Financiero; R.O. 332-2S, 12-IX-2014).- Otras actividades conexas que autorice la Junta </w:t>
      </w:r>
      <w:r>
        <w:rPr>
          <w:rFonts w:eastAsia="Times New Roman"/>
          <w:sz w:val="30"/>
          <w:szCs w:val="30"/>
          <w:lang w:val="es-ES"/>
        </w:rPr>
        <w:t>de Política y Regulación Monetaria y Financiera.</w:t>
      </w:r>
      <w:r>
        <w:rPr>
          <w:rFonts w:eastAsia="Times New Roman"/>
          <w:sz w:val="30"/>
          <w:szCs w:val="30"/>
          <w:lang w:val="es-ES"/>
        </w:rPr>
        <w:br/>
      </w:r>
      <w:r>
        <w:rPr>
          <w:rFonts w:eastAsia="Times New Roman"/>
          <w:sz w:val="30"/>
          <w:szCs w:val="30"/>
          <w:lang w:val="es-ES"/>
        </w:rPr>
        <w:br/>
        <w:t>Para el cumplimiento de sus fines, podrán realizar todas aquellas actividades que directa o indirectamente permitan la ejecución de las operaciones autorizadas.</w:t>
      </w:r>
    </w:p>
    <w:p w:rsidR="00000000" w:rsidRDefault="0018461E">
      <w:pPr>
        <w:divId w:val="1508129882"/>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Del contrato de depósito.</w:t>
      </w:r>
      <w:r>
        <w:rPr>
          <w:rFonts w:eastAsia="Times New Roman"/>
          <w:sz w:val="30"/>
          <w:szCs w:val="30"/>
          <w:lang w:val="es-ES"/>
        </w:rPr>
        <w:t>- (Reforma</w:t>
      </w:r>
      <w:r>
        <w:rPr>
          <w:rFonts w:eastAsia="Times New Roman"/>
          <w:sz w:val="30"/>
          <w:szCs w:val="30"/>
          <w:lang w:val="es-ES"/>
        </w:rPr>
        <w:t>do por la Disposición Reformatoria Décima Séptima, num. 1 del Código Orgánico Monetario y Financiero; R.O. 332-2S, 12-IX-2014).- El contrato de depósito de valores, que ha de constar por escrito en formatos aprobados por la Superintendencia de Compañías, s</w:t>
      </w:r>
      <w:r>
        <w:rPr>
          <w:rFonts w:eastAsia="Times New Roman"/>
          <w:sz w:val="30"/>
          <w:szCs w:val="30"/>
          <w:lang w:val="es-ES"/>
        </w:rPr>
        <w:t>e perfecciona por la entrega real de los títulos o de los registros electrónicos en caso de valores en cuentas, acompañados de los actos circulatorios correspondientes de conformidad con lo previsto en los artículos 233 y 234 de esta Ley. Para el efecto, e</w:t>
      </w:r>
      <w:r>
        <w:rPr>
          <w:rFonts w:eastAsia="Times New Roman"/>
          <w:sz w:val="30"/>
          <w:szCs w:val="30"/>
          <w:lang w:val="es-ES"/>
        </w:rPr>
        <w:t>l C.N.V., emitirá normas de carácter general que establecerán los códigos de seguridad que deberán contener los registros electrónicos contentivos de los valores en cuenta. Podrán actuar como depositantes directos las bolsas de valores, las casas de valore</w:t>
      </w:r>
      <w:r>
        <w:rPr>
          <w:rFonts w:eastAsia="Times New Roman"/>
          <w:sz w:val="30"/>
          <w:szCs w:val="30"/>
          <w:lang w:val="es-ES"/>
        </w:rPr>
        <w:t>s, las instituciones del sistema financiero, los emisores inscritos en el Catastro Público del Mercado de Valores, los inversionistas institucionales y las demás personas que determine el C.N.V., mediante norma de carácter general. El depositante, sin nece</w:t>
      </w:r>
      <w:r>
        <w:rPr>
          <w:rFonts w:eastAsia="Times New Roman"/>
          <w:sz w:val="30"/>
          <w:szCs w:val="30"/>
          <w:lang w:val="es-ES"/>
        </w:rPr>
        <w:t>sidad de estipulación expresa, garantizará la autenticidad, integridad y titularidad de los valores. A partir de la entrega, es responsabilidad del depósito en cumplimiento de su deber de custodia y conservación de los valores, el garantizar la autenticida</w:t>
      </w:r>
      <w:r>
        <w:rPr>
          <w:rFonts w:eastAsia="Times New Roman"/>
          <w:sz w:val="30"/>
          <w:szCs w:val="30"/>
          <w:lang w:val="es-ES"/>
        </w:rPr>
        <w:t>d de los actos de transferencia, gravamen o limitación que inscriba en los registros a su cargo.</w:t>
      </w:r>
    </w:p>
    <w:p w:rsidR="00000000" w:rsidRDefault="0018461E">
      <w:pPr>
        <w:divId w:val="1753698724"/>
        <w:rPr>
          <w:rFonts w:eastAsia="Times New Roman"/>
          <w:sz w:val="30"/>
          <w:szCs w:val="30"/>
          <w:lang w:val="es-ES"/>
        </w:rPr>
      </w:pPr>
      <w:r>
        <w:rPr>
          <w:rFonts w:eastAsia="Times New Roman"/>
          <w:b/>
          <w:bCs/>
          <w:sz w:val="30"/>
          <w:szCs w:val="30"/>
          <w:lang w:val="es-ES"/>
        </w:rPr>
        <w:t xml:space="preserve">Art. 64.- Titularidad de los valores.- </w:t>
      </w:r>
      <w:r>
        <w:rPr>
          <w:rFonts w:eastAsia="Times New Roman"/>
          <w:sz w:val="30"/>
          <w:szCs w:val="30"/>
          <w:lang w:val="es-ES"/>
        </w:rPr>
        <w:t>Para los fines de toda operación con valores en custodia en un depósito centralizado de compensación y liquidación de valores, se reputará como titular o propietario a quien aparezca inscrito como tal en los registros del depósito.</w:t>
      </w:r>
    </w:p>
    <w:p w:rsidR="00000000" w:rsidRDefault="0018461E">
      <w:pPr>
        <w:divId w:val="656881056"/>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r>
        <w:rPr>
          <w:rFonts w:eastAsia="Times New Roman"/>
          <w:b/>
          <w:bCs/>
          <w:sz w:val="30"/>
          <w:szCs w:val="30"/>
          <w:lang w:val="es-ES"/>
        </w:rPr>
        <w:t>Ejercicio de l</w:t>
      </w:r>
      <w:r>
        <w:rPr>
          <w:rFonts w:eastAsia="Times New Roman"/>
          <w:b/>
          <w:bCs/>
          <w:sz w:val="30"/>
          <w:szCs w:val="30"/>
          <w:lang w:val="es-ES"/>
        </w:rPr>
        <w:t xml:space="preserve">os derechos patrimoniales.- </w:t>
      </w:r>
      <w:r>
        <w:rPr>
          <w:rFonts w:eastAsia="Times New Roman"/>
          <w:sz w:val="30"/>
          <w:szCs w:val="30"/>
          <w:lang w:val="es-ES"/>
        </w:rPr>
        <w:t xml:space="preserve">El depósito centralizado de compensación y liquidación de valores ejercerá en representación de los depositantes los derechos patrimoniales inherentes a los valores que se hallen a su custodia; por lo tanto, cobrarán intereses, </w:t>
      </w:r>
      <w:r>
        <w:rPr>
          <w:rFonts w:eastAsia="Times New Roman"/>
          <w:sz w:val="30"/>
          <w:szCs w:val="30"/>
          <w:lang w:val="es-ES"/>
        </w:rPr>
        <w:t xml:space="preserve">dividendos, reajustes y el principal de los mismos, cuando sea del caso. Se prohíbe a los depósitos centralizados ejercer </w:t>
      </w:r>
      <w:r>
        <w:rPr>
          <w:rFonts w:eastAsia="Times New Roman"/>
          <w:sz w:val="30"/>
          <w:szCs w:val="30"/>
          <w:lang w:val="es-ES"/>
        </w:rPr>
        <w:lastRenderedPageBreak/>
        <w:t>los derechos extra patrimoniales, como intervenir en juntas generales de accionistas u obligacionistas, impugnar acuerdos sociales u o</w:t>
      </w:r>
      <w:r>
        <w:rPr>
          <w:rFonts w:eastAsia="Times New Roman"/>
          <w:sz w:val="30"/>
          <w:szCs w:val="30"/>
          <w:lang w:val="es-ES"/>
        </w:rPr>
        <w:t>tros, ni siquiera en ejercicio de mandatos conferidos para el efecto.</w:t>
      </w:r>
    </w:p>
    <w:p w:rsidR="00000000" w:rsidRDefault="0018461E">
      <w:pPr>
        <w:divId w:val="1605728284"/>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w:t>
      </w:r>
      <w:r>
        <w:rPr>
          <w:rFonts w:eastAsia="Times New Roman"/>
          <w:b/>
          <w:bCs/>
          <w:sz w:val="30"/>
          <w:szCs w:val="30"/>
          <w:lang w:val="es-ES"/>
        </w:rPr>
        <w:t xml:space="preserve">Registros contables.- </w:t>
      </w:r>
      <w:r>
        <w:rPr>
          <w:rFonts w:eastAsia="Times New Roman"/>
          <w:sz w:val="30"/>
          <w:szCs w:val="30"/>
          <w:lang w:val="es-ES"/>
        </w:rPr>
        <w:t xml:space="preserve">Los depósitos centralizados deberán llevar registros contables de los depósitos que se regirán por los principios de prioridad de inscripción y de tracto </w:t>
      </w:r>
      <w:r>
        <w:rPr>
          <w:rFonts w:eastAsia="Times New Roman"/>
          <w:sz w:val="30"/>
          <w:szCs w:val="30"/>
          <w:lang w:val="es-ES"/>
        </w:rPr>
        <w:t>sucesivo.</w:t>
      </w:r>
      <w:r>
        <w:rPr>
          <w:rFonts w:eastAsia="Times New Roman"/>
          <w:sz w:val="30"/>
          <w:szCs w:val="30"/>
          <w:lang w:val="es-ES"/>
        </w:rPr>
        <w:br/>
      </w:r>
      <w:r>
        <w:rPr>
          <w:rFonts w:eastAsia="Times New Roman"/>
          <w:sz w:val="30"/>
          <w:szCs w:val="30"/>
          <w:lang w:val="es-ES"/>
        </w:rPr>
        <w:br/>
        <w:t>Los depósitos centralizados comunicarán a los emisores de los valores depositados todas las inscripciones que practiquen, al día hábil siguiente.</w:t>
      </w:r>
      <w:r>
        <w:rPr>
          <w:rFonts w:eastAsia="Times New Roman"/>
          <w:sz w:val="30"/>
          <w:szCs w:val="30"/>
          <w:lang w:val="es-ES"/>
        </w:rPr>
        <w:br/>
      </w:r>
      <w:r>
        <w:rPr>
          <w:rFonts w:eastAsia="Times New Roman"/>
          <w:sz w:val="30"/>
          <w:szCs w:val="30"/>
          <w:lang w:val="es-ES"/>
        </w:rPr>
        <w:br/>
        <w:t>En virtud del principio de prioridad, una vez producida cualquier inscripción no podrá practicarse</w:t>
      </w:r>
      <w:r>
        <w:rPr>
          <w:rFonts w:eastAsia="Times New Roman"/>
          <w:sz w:val="30"/>
          <w:szCs w:val="30"/>
          <w:lang w:val="es-ES"/>
        </w:rPr>
        <w:t xml:space="preserve"> ninguna otra respecto de los mismos valores que obedezca a un hecho producido con anterioridad en lo que resulte opuesta o incompatible con la anterior. Así mismo, el acto que acceda primeramente al registro será preferente sobre los que accedan con poste</w:t>
      </w:r>
      <w:r>
        <w:rPr>
          <w:rFonts w:eastAsia="Times New Roman"/>
          <w:sz w:val="30"/>
          <w:szCs w:val="30"/>
          <w:lang w:val="es-ES"/>
        </w:rPr>
        <w:t>rioridad, debiendo el Depósito Centralizado practicar las operaciones correspondientes según el orden de presentación.</w:t>
      </w:r>
      <w:r>
        <w:rPr>
          <w:rFonts w:eastAsia="Times New Roman"/>
          <w:sz w:val="30"/>
          <w:szCs w:val="30"/>
          <w:lang w:val="es-ES"/>
        </w:rPr>
        <w:br/>
      </w:r>
      <w:r>
        <w:rPr>
          <w:rFonts w:eastAsia="Times New Roman"/>
          <w:sz w:val="30"/>
          <w:szCs w:val="30"/>
          <w:lang w:val="es-ES"/>
        </w:rPr>
        <w:br/>
        <w:t>En virtud del principio de tracto sucesivo, para la inscripción de la transmisión de valores será precisa la previa inscripción de los m</w:t>
      </w:r>
      <w:r>
        <w:rPr>
          <w:rFonts w:eastAsia="Times New Roman"/>
          <w:sz w:val="30"/>
          <w:szCs w:val="30"/>
          <w:lang w:val="es-ES"/>
        </w:rPr>
        <w:t>ismos en el registro contable a favor del cedente. Igualmente, la inscripción de la constitución, modificación o extinción de derechos reales sobre valores inscritos requerirá de su previa inscripción a favor del disponente.</w:t>
      </w:r>
    </w:p>
    <w:p w:rsidR="00000000" w:rsidRDefault="0018461E">
      <w:pPr>
        <w:divId w:val="2139717201"/>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w:t>
      </w:r>
      <w:r>
        <w:rPr>
          <w:rFonts w:eastAsia="Times New Roman"/>
          <w:b/>
          <w:bCs/>
          <w:sz w:val="30"/>
          <w:szCs w:val="30"/>
          <w:lang w:val="es-ES"/>
        </w:rPr>
        <w:t xml:space="preserve">Fungibilidad de los valores.- </w:t>
      </w:r>
      <w:r>
        <w:rPr>
          <w:rFonts w:eastAsia="Times New Roman"/>
          <w:sz w:val="30"/>
          <w:szCs w:val="30"/>
          <w:lang w:val="es-ES"/>
        </w:rPr>
        <w:t>Los valores que consten de anotaciones en cuenta correspondientes a una misma emisión que tengan unas mismas características tienen carácter fungible; por lo tanto, quien aparezca como titular en el registro contable lo será d</w:t>
      </w:r>
      <w:r>
        <w:rPr>
          <w:rFonts w:eastAsia="Times New Roman"/>
          <w:sz w:val="30"/>
          <w:szCs w:val="30"/>
          <w:lang w:val="es-ES"/>
        </w:rPr>
        <w:t>e una cantidad determinada de los mismos sin referencia que identifique individualmente los valores.</w:t>
      </w:r>
    </w:p>
    <w:p w:rsidR="00000000" w:rsidRDefault="0018461E">
      <w:pPr>
        <w:divId w:val="487981250"/>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Emisión de certificaciones.- </w:t>
      </w:r>
      <w:r>
        <w:rPr>
          <w:rFonts w:eastAsia="Times New Roman"/>
          <w:sz w:val="30"/>
          <w:szCs w:val="30"/>
          <w:lang w:val="es-ES"/>
        </w:rPr>
        <w:t>El Depósito Centralizado, a solicitud del depositante, de la casa de valores que lo represente, de las Superintenden</w:t>
      </w:r>
      <w:r>
        <w:rPr>
          <w:rFonts w:eastAsia="Times New Roman"/>
          <w:sz w:val="30"/>
          <w:szCs w:val="30"/>
          <w:lang w:val="es-ES"/>
        </w:rPr>
        <w:t>cias de Compañías o de Bancos y Seguros o por orden judicial, podrá extender certificados relativos a las operaciones realizadas.</w:t>
      </w:r>
      <w:r>
        <w:rPr>
          <w:rFonts w:eastAsia="Times New Roman"/>
          <w:sz w:val="30"/>
          <w:szCs w:val="30"/>
          <w:lang w:val="es-ES"/>
        </w:rPr>
        <w:br/>
      </w:r>
      <w:r>
        <w:rPr>
          <w:rFonts w:eastAsia="Times New Roman"/>
          <w:sz w:val="30"/>
          <w:szCs w:val="30"/>
          <w:lang w:val="es-ES"/>
        </w:rPr>
        <w:br/>
        <w:t xml:space="preserve">A solicitud del depositante o del titular podrá extender certificados relativos a los valores que tenga en custodia, los que </w:t>
      </w:r>
      <w:r>
        <w:rPr>
          <w:rFonts w:eastAsia="Times New Roman"/>
          <w:sz w:val="30"/>
          <w:szCs w:val="30"/>
          <w:lang w:val="es-ES"/>
        </w:rPr>
        <w:t xml:space="preserve">tendrán el carácter de no negociables y en cuyo texto necesariamente constará la </w:t>
      </w:r>
      <w:r>
        <w:rPr>
          <w:rFonts w:eastAsia="Times New Roman"/>
          <w:sz w:val="30"/>
          <w:szCs w:val="30"/>
          <w:lang w:val="es-ES"/>
        </w:rPr>
        <w:lastRenderedPageBreak/>
        <w:t>finalidad para la cual se extienden y su plazo de vigencia, que no podrá exceder de treinta días. En ningún caso podrán constituirse derechos sobre tales certificados. Los val</w:t>
      </w:r>
      <w:r>
        <w:rPr>
          <w:rFonts w:eastAsia="Times New Roman"/>
          <w:sz w:val="30"/>
          <w:szCs w:val="30"/>
          <w:lang w:val="es-ES"/>
        </w:rPr>
        <w:t>ores respecto de los cuales se emitan estos certificados quedarán inmovilizados durante el plazo de vigencia del certificado.</w:t>
      </w:r>
      <w:r>
        <w:rPr>
          <w:rFonts w:eastAsia="Times New Roman"/>
          <w:sz w:val="30"/>
          <w:szCs w:val="30"/>
          <w:lang w:val="es-ES"/>
        </w:rPr>
        <w:br/>
      </w:r>
      <w:r>
        <w:rPr>
          <w:rFonts w:eastAsia="Times New Roman"/>
          <w:sz w:val="30"/>
          <w:szCs w:val="30"/>
          <w:lang w:val="es-ES"/>
        </w:rPr>
        <w:br/>
        <w:t>En todos los casos en que las leyes exijan la presentación de títulos, bastará el certificado conferido por el depósito centraliz</w:t>
      </w:r>
      <w:r>
        <w:rPr>
          <w:rFonts w:eastAsia="Times New Roman"/>
          <w:sz w:val="30"/>
          <w:szCs w:val="30"/>
          <w:lang w:val="es-ES"/>
        </w:rPr>
        <w:t>ado de compensación y liquidación de valores.</w:t>
      </w:r>
    </w:p>
    <w:p w:rsidR="00000000" w:rsidRDefault="0018461E">
      <w:pPr>
        <w:divId w:val="500392148"/>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Tarifas.- </w:t>
      </w:r>
      <w:r>
        <w:rPr>
          <w:rFonts w:eastAsia="Times New Roman"/>
          <w:sz w:val="30"/>
          <w:szCs w:val="30"/>
          <w:lang w:val="es-ES"/>
        </w:rPr>
        <w:t>(Sustituido por el lit. f) del num. 13 de la Ley s/n, R.O. 986-S, 18-IV-2017).- Los Depósitos Centralizados de Compensación y Liquidación de Valores establecerán los cargos o tarifas que cob</w:t>
      </w:r>
      <w:r>
        <w:rPr>
          <w:rFonts w:eastAsia="Times New Roman"/>
          <w:sz w:val="30"/>
          <w:szCs w:val="30"/>
          <w:lang w:val="es-ES"/>
        </w:rPr>
        <w:t>rarán a los usuarios de sus servicios. Tales cargos o tarifas, como sus modificaciones, serán comunicadas a la Superintendencia de Compañías, Valores y Seguros, y en ningún caso podrán superar los límites establecidos por la propia Superintendencia.</w:t>
      </w:r>
    </w:p>
    <w:p w:rsidR="00000000" w:rsidRDefault="0018461E">
      <w:pPr>
        <w:divId w:val="1321732883"/>
        <w:rPr>
          <w:rFonts w:eastAsia="Times New Roman"/>
          <w:sz w:val="30"/>
          <w:szCs w:val="30"/>
          <w:lang w:val="es-ES"/>
        </w:rPr>
      </w:pPr>
      <w:r>
        <w:rPr>
          <w:rFonts w:eastAsia="Times New Roman"/>
          <w:sz w:val="30"/>
          <w:szCs w:val="30"/>
          <w:lang w:val="es-ES"/>
        </w:rPr>
        <w:t>Art. 7</w:t>
      </w:r>
      <w:r>
        <w:rPr>
          <w:rFonts w:eastAsia="Times New Roman"/>
          <w:sz w:val="30"/>
          <w:szCs w:val="30"/>
          <w:lang w:val="es-ES"/>
        </w:rPr>
        <w:t xml:space="preserve">0.- </w:t>
      </w:r>
      <w:r>
        <w:rPr>
          <w:rFonts w:eastAsia="Times New Roman"/>
          <w:b/>
          <w:bCs/>
          <w:sz w:val="30"/>
          <w:szCs w:val="30"/>
          <w:lang w:val="es-ES"/>
        </w:rPr>
        <w:t xml:space="preserve">Responsabilidad del depósito.- </w:t>
      </w:r>
      <w:r>
        <w:rPr>
          <w:rFonts w:eastAsia="Times New Roman"/>
          <w:sz w:val="30"/>
          <w:szCs w:val="30"/>
          <w:lang w:val="es-ES"/>
        </w:rPr>
        <w:t>La omisión de las inscripciones, las inexactitudes y retrasos en las mismas, la disposición arbitraria de los efectos depositados y, en general, las infracciones de los deberes legales y reglamentarios relativos al depósi</w:t>
      </w:r>
      <w:r>
        <w:rPr>
          <w:rFonts w:eastAsia="Times New Roman"/>
          <w:sz w:val="30"/>
          <w:szCs w:val="30"/>
          <w:lang w:val="es-ES"/>
        </w:rPr>
        <w:t>to, compensación, liquidación y registro, darán derecho a los perjudicados a reclamar al Depósito Centralizado la indemnización de los daños sufridos, excepto el caso de culpa exclusiva del usuario de los servicios.</w:t>
      </w:r>
      <w:r>
        <w:rPr>
          <w:rFonts w:eastAsia="Times New Roman"/>
          <w:sz w:val="30"/>
          <w:szCs w:val="30"/>
          <w:lang w:val="es-ES"/>
        </w:rPr>
        <w:br/>
      </w:r>
      <w:r>
        <w:rPr>
          <w:rFonts w:eastAsia="Times New Roman"/>
          <w:sz w:val="30"/>
          <w:szCs w:val="30"/>
          <w:lang w:val="es-ES"/>
        </w:rPr>
        <w:br/>
        <w:t>El reclamo de la indemnización de daños</w:t>
      </w:r>
      <w:r>
        <w:rPr>
          <w:rFonts w:eastAsia="Times New Roman"/>
          <w:sz w:val="30"/>
          <w:szCs w:val="30"/>
          <w:lang w:val="es-ES"/>
        </w:rPr>
        <w:t xml:space="preserve"> y perjuicios no impedirá el ejercicio de las acciones penales a que hubiere lugar.</w:t>
      </w:r>
      <w:r>
        <w:rPr>
          <w:rFonts w:eastAsia="Times New Roman"/>
          <w:sz w:val="30"/>
          <w:szCs w:val="30"/>
          <w:lang w:val="es-ES"/>
        </w:rPr>
        <w:br/>
      </w:r>
      <w:r>
        <w:rPr>
          <w:rFonts w:eastAsia="Times New Roman"/>
          <w:sz w:val="30"/>
          <w:szCs w:val="30"/>
          <w:lang w:val="es-ES"/>
        </w:rPr>
        <w:br/>
        <w:t>Cuando el perjuicio consista en la privación de determinados valores y ello sea razonablemente posible, el Depósito Centralizado procederá a adquirir valores de las mismas</w:t>
      </w:r>
      <w:r>
        <w:rPr>
          <w:rFonts w:eastAsia="Times New Roman"/>
          <w:sz w:val="30"/>
          <w:szCs w:val="30"/>
          <w:lang w:val="es-ES"/>
        </w:rPr>
        <w:t xml:space="preserve"> características para su entrega al perjudicado. De no ser posible esta forma de restitución, el depósito deberá entregar al perjudicado el valor en efectivo, correspondiente al último precio de negociación.</w:t>
      </w:r>
    </w:p>
    <w:p w:rsidR="00000000" w:rsidRDefault="0018461E">
      <w:pPr>
        <w:divId w:val="1912230369"/>
        <w:rPr>
          <w:rFonts w:eastAsia="Times New Roman"/>
          <w:sz w:val="30"/>
          <w:szCs w:val="30"/>
          <w:lang w:val="es-ES"/>
        </w:rPr>
      </w:pPr>
      <w:r>
        <w:rPr>
          <w:rFonts w:eastAsia="Times New Roman"/>
          <w:b/>
          <w:bCs/>
          <w:sz w:val="30"/>
          <w:szCs w:val="30"/>
          <w:lang w:val="es-ES"/>
        </w:rPr>
        <w:t xml:space="preserve">Art. 71.- De las prohibiciones.- </w:t>
      </w:r>
      <w:r>
        <w:rPr>
          <w:rFonts w:eastAsia="Times New Roman"/>
          <w:sz w:val="30"/>
          <w:szCs w:val="30"/>
          <w:lang w:val="es-ES"/>
        </w:rPr>
        <w:t>Al Depósito Cen</w:t>
      </w:r>
      <w:r>
        <w:rPr>
          <w:rFonts w:eastAsia="Times New Roman"/>
          <w:sz w:val="30"/>
          <w:szCs w:val="30"/>
          <w:lang w:val="es-ES"/>
        </w:rPr>
        <w:t>tralizado de Compensación y Liquidación de Valores le está prohibido:</w:t>
      </w:r>
      <w:r>
        <w:rPr>
          <w:rFonts w:eastAsia="Times New Roman"/>
          <w:sz w:val="30"/>
          <w:szCs w:val="30"/>
          <w:lang w:val="es-ES"/>
        </w:rPr>
        <w:br/>
      </w:r>
      <w:r>
        <w:rPr>
          <w:rFonts w:eastAsia="Times New Roman"/>
          <w:sz w:val="30"/>
          <w:szCs w:val="30"/>
          <w:lang w:val="es-ES"/>
        </w:rPr>
        <w:br/>
        <w:t xml:space="preserve">1. Ejercer derecho alguno sobre los valores registrados en él, o disponer de tales valores;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(Reformado por la Disposición Reformatoria Décima Séptima, num. 1 del Código Orgánico Mo</w:t>
      </w:r>
      <w:r>
        <w:rPr>
          <w:rFonts w:eastAsia="Times New Roman"/>
          <w:sz w:val="30"/>
          <w:szCs w:val="30"/>
          <w:lang w:val="es-ES"/>
        </w:rPr>
        <w:t>netario y Financiero; R.O. 332-2S, 12-IX-2014).- Efectuar transferencias encomendadas por intermediarios u otras personas no inscritas en el Catastro Público del Mercado de Valores, con excepción de las transacciones privadas y las transmisiones o transfer</w:t>
      </w:r>
      <w:r>
        <w:rPr>
          <w:rFonts w:eastAsia="Times New Roman"/>
          <w:sz w:val="30"/>
          <w:szCs w:val="30"/>
          <w:lang w:val="es-ES"/>
        </w:rPr>
        <w:t xml:space="preserve">encias de dominio a título gratuito; y, </w:t>
      </w:r>
      <w:r>
        <w:rPr>
          <w:rFonts w:eastAsia="Times New Roman"/>
          <w:sz w:val="30"/>
          <w:szCs w:val="30"/>
          <w:lang w:val="es-ES"/>
        </w:rPr>
        <w:br/>
      </w:r>
      <w:r>
        <w:rPr>
          <w:rFonts w:eastAsia="Times New Roman"/>
          <w:sz w:val="30"/>
          <w:szCs w:val="30"/>
          <w:lang w:val="es-ES"/>
        </w:rPr>
        <w:br/>
        <w:t>3. Salvo los casos de mandato judicial y de disposiciones de la respectiva Superintendencia, proporcionar información sobre los datos que aparezcan en sus registros, a terceras personas que no tengan derechos sobre</w:t>
      </w:r>
      <w:r>
        <w:rPr>
          <w:rFonts w:eastAsia="Times New Roman"/>
          <w:sz w:val="30"/>
          <w:szCs w:val="30"/>
          <w:lang w:val="es-ES"/>
        </w:rPr>
        <w:t xml:space="preserve"> ellos. Exclúyese de esta norma a los emisores de valores respecto de valores por ellos emitidos y a los intermediarios que efectuaron la entrega de los valores.</w:t>
      </w:r>
    </w:p>
    <w:p w:rsidR="00000000" w:rsidRDefault="0018461E">
      <w:pPr>
        <w:divId w:val="1113136702"/>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Normas para la compensación y liquidación.- </w:t>
      </w:r>
      <w:r>
        <w:rPr>
          <w:rFonts w:eastAsia="Times New Roman"/>
          <w:sz w:val="30"/>
          <w:szCs w:val="30"/>
          <w:lang w:val="es-ES"/>
        </w:rPr>
        <w:t xml:space="preserve">El C.N.V., dictará las normas generales </w:t>
      </w:r>
      <w:r>
        <w:rPr>
          <w:rFonts w:eastAsia="Times New Roman"/>
          <w:sz w:val="30"/>
          <w:szCs w:val="30"/>
          <w:lang w:val="es-ES"/>
        </w:rPr>
        <w:t>aplicables a los procesos de compensación y liquidación de los valores depositados.</w:t>
      </w:r>
    </w:p>
    <w:p w:rsidR="00000000" w:rsidRDefault="0018461E">
      <w:pPr>
        <w:divId w:val="113772361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Inmovilización, desmaterialización y circulación de valores.-</w:t>
      </w:r>
      <w:r>
        <w:rPr>
          <w:rFonts w:eastAsia="Times New Roman"/>
          <w:sz w:val="30"/>
          <w:szCs w:val="30"/>
          <w:lang w:val="es-ES"/>
        </w:rPr>
        <w:t xml:space="preserve"> (Agregado por el Art. 36 de la Ley s/n, R.O. 249-S, 20-V-2014).- Los valores admitidos al depósito al </w:t>
      </w:r>
      <w:r>
        <w:rPr>
          <w:rFonts w:eastAsia="Times New Roman"/>
          <w:sz w:val="30"/>
          <w:szCs w:val="30"/>
          <w:lang w:val="es-ES"/>
        </w:rPr>
        <w:t>que se refiere esta Ley se entienden inmovilizados porque se prescinde en ellos de la representación cartular para su respectiva circulación, encontrándose soportados mediante registros contables electrónicos, dentro de un sistema de anotaciones en cuenta.</w:t>
      </w:r>
      <w:r>
        <w:rPr>
          <w:rFonts w:eastAsia="Times New Roman"/>
          <w:sz w:val="30"/>
          <w:szCs w:val="30"/>
          <w:lang w:val="es-ES"/>
        </w:rPr>
        <w:br/>
      </w:r>
      <w:r>
        <w:rPr>
          <w:rFonts w:eastAsia="Times New Roman"/>
          <w:sz w:val="30"/>
          <w:szCs w:val="30"/>
          <w:lang w:val="es-ES"/>
        </w:rPr>
        <w:br/>
        <w:t>Una vez recibidos los valores a depósito, su circulación y las transferencias de dominio futuras que operen sobre dichos valores desmaterializados se efectuarán mediante el sistema de anotaciones en cuenta, al tenor de las disposiciones de esta Ley.</w:t>
      </w:r>
    </w:p>
    <w:p w:rsidR="00000000" w:rsidRDefault="0018461E">
      <w:pPr>
        <w:divId w:val="536091751"/>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w:t>
      </w:r>
      <w:r>
        <w:rPr>
          <w:rFonts w:eastAsia="Times New Roman"/>
          <w:b/>
          <w:bCs/>
          <w:sz w:val="30"/>
          <w:szCs w:val="30"/>
          <w:lang w:val="es-ES"/>
        </w:rPr>
        <w:t xml:space="preserve">Transferencia de valores.- </w:t>
      </w:r>
      <w:r>
        <w:rPr>
          <w:rFonts w:eastAsia="Times New Roman"/>
          <w:sz w:val="30"/>
          <w:szCs w:val="30"/>
          <w:lang w:val="es-ES"/>
        </w:rPr>
        <w:t>(Agregado por el Art. 36 de la Ley s/n, R.O. 249-S, 20-V-2014; y, reformado por la Disposición Reformatoria Décima Séptima, num. 2 del Código Orgánico Monetario y Financiero; R.O. 332-2S, 12-IX-2014).- La transferencia de los</w:t>
      </w:r>
      <w:r>
        <w:rPr>
          <w:rFonts w:eastAsia="Times New Roman"/>
          <w:sz w:val="30"/>
          <w:szCs w:val="30"/>
          <w:lang w:val="es-ES"/>
        </w:rPr>
        <w:t xml:space="preserve"> valores representados por anotaciones en cuenta tendrá lugar por registro contable. La inscripción a favor del adquirente producirá los mismos efectos que la tradición de los títulos.</w:t>
      </w:r>
      <w:r>
        <w:rPr>
          <w:rFonts w:eastAsia="Times New Roman"/>
          <w:sz w:val="30"/>
          <w:szCs w:val="30"/>
          <w:lang w:val="es-ES"/>
        </w:rPr>
        <w:br/>
      </w:r>
      <w:r>
        <w:rPr>
          <w:rFonts w:eastAsia="Times New Roman"/>
          <w:sz w:val="30"/>
          <w:szCs w:val="30"/>
          <w:lang w:val="es-ES"/>
        </w:rPr>
        <w:br/>
        <w:t>Para los valores, sea que consten de títulos o de anotaciones en cuent</w:t>
      </w:r>
      <w:r>
        <w:rPr>
          <w:rFonts w:eastAsia="Times New Roman"/>
          <w:sz w:val="30"/>
          <w:szCs w:val="30"/>
          <w:lang w:val="es-ES"/>
        </w:rPr>
        <w:t xml:space="preserve">a, que se hallan depositados en un depósito de compensación y liquidación de valores, la transferencia se perfeccionará con la anotación en el registro del depósito en virtud de orden emitida </w:t>
      </w:r>
      <w:r>
        <w:rPr>
          <w:rFonts w:eastAsia="Times New Roman"/>
          <w:sz w:val="30"/>
          <w:szCs w:val="30"/>
          <w:lang w:val="es-ES"/>
        </w:rPr>
        <w:lastRenderedPageBreak/>
        <w:t>mediante comunicación escrita o electrónica dada por el deposita</w:t>
      </w:r>
      <w:r>
        <w:rPr>
          <w:rFonts w:eastAsia="Times New Roman"/>
          <w:sz w:val="30"/>
          <w:szCs w:val="30"/>
          <w:lang w:val="es-ES"/>
        </w:rPr>
        <w:t>nte directo debidamente autorizado o su titular, de conformidad con las normas de carácter general que dictará la Junta de Política y Regulación Monetaria y Financiera</w:t>
      </w:r>
    </w:p>
    <w:p w:rsidR="00000000" w:rsidRDefault="0018461E">
      <w:pPr>
        <w:divId w:val="873157884"/>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Gravámenes y limitaciones.- </w:t>
      </w:r>
      <w:r>
        <w:rPr>
          <w:rFonts w:eastAsia="Times New Roman"/>
          <w:sz w:val="30"/>
          <w:szCs w:val="30"/>
          <w:lang w:val="es-ES"/>
        </w:rPr>
        <w:t xml:space="preserve">(Agregado por el Art. 36 de la Ley s/n, R.O. 249-S, </w:t>
      </w:r>
      <w:r>
        <w:rPr>
          <w:rFonts w:eastAsia="Times New Roman"/>
          <w:sz w:val="30"/>
          <w:szCs w:val="30"/>
          <w:lang w:val="es-ES"/>
        </w:rPr>
        <w:t>20-V-2014).- Se registrarán en la cuenta correspondiente los gravámenes reales y de limitaciones al dominio.</w:t>
      </w:r>
      <w:r>
        <w:rPr>
          <w:rFonts w:eastAsia="Times New Roman"/>
          <w:sz w:val="30"/>
          <w:szCs w:val="30"/>
          <w:lang w:val="es-ES"/>
        </w:rPr>
        <w:br/>
      </w:r>
      <w:r>
        <w:rPr>
          <w:rFonts w:eastAsia="Times New Roman"/>
          <w:sz w:val="30"/>
          <w:szCs w:val="30"/>
          <w:lang w:val="es-ES"/>
        </w:rPr>
        <w:br/>
        <w:t>Este registro equivale al desplazamiento posesorio del título para efectos de la constitución de prenda comercial ordinaria.</w:t>
      </w:r>
    </w:p>
    <w:p w:rsidR="00000000" w:rsidRDefault="0018461E">
      <w:pPr>
        <w:divId w:val="2007585952"/>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Liquidación</w:t>
      </w:r>
      <w:r>
        <w:rPr>
          <w:rFonts w:eastAsia="Times New Roman"/>
          <w:b/>
          <w:bCs/>
          <w:sz w:val="30"/>
          <w:szCs w:val="30"/>
          <w:lang w:val="es-ES"/>
        </w:rPr>
        <w:t xml:space="preserve"> del depósito.- </w:t>
      </w:r>
      <w:r>
        <w:rPr>
          <w:rFonts w:eastAsia="Times New Roman"/>
          <w:sz w:val="30"/>
          <w:szCs w:val="30"/>
          <w:lang w:val="es-ES"/>
        </w:rPr>
        <w:t>En caso de disolución y liquidación del depósito, corresponderá a la Superintendencia de Compañías designar a la o a las personas que desempeñarán las funciones de liquidador, pudiendo encargársele al mismo Depósito. La Superintendencia det</w:t>
      </w:r>
      <w:r>
        <w:rPr>
          <w:rFonts w:eastAsia="Times New Roman"/>
          <w:sz w:val="30"/>
          <w:szCs w:val="30"/>
          <w:lang w:val="es-ES"/>
        </w:rPr>
        <w:t>erminará si los valores depositados serán administrados temporalmente por el depósito en cuestión o por la persona que aquélla designe. En ningún caso dichos valores formarán parte del patrimonio en liquidación.</w:t>
      </w:r>
    </w:p>
    <w:p w:rsidR="00000000" w:rsidRDefault="0018461E">
      <w:pPr>
        <w:jc w:val="center"/>
        <w:rPr>
          <w:rFonts w:eastAsia="Times New Roman"/>
          <w:sz w:val="36"/>
          <w:szCs w:val="36"/>
          <w:lang w:val="es-ES"/>
        </w:rPr>
      </w:pPr>
      <w:r>
        <w:rPr>
          <w:rFonts w:eastAsia="Times New Roman"/>
          <w:b/>
          <w:bCs/>
          <w:sz w:val="36"/>
          <w:szCs w:val="36"/>
          <w:lang w:val="es-ES"/>
        </w:rPr>
        <w:br/>
        <w:t>Capitulo II</w:t>
      </w:r>
      <w:r>
        <w:rPr>
          <w:rFonts w:eastAsia="Times New Roman"/>
          <w:b/>
          <w:bCs/>
          <w:sz w:val="36"/>
          <w:szCs w:val="36"/>
          <w:lang w:val="es-ES"/>
        </w:rPr>
        <w:br/>
        <w:t>DE LA COMPENSACIÓN Y LIQUIDACIÓ</w:t>
      </w:r>
      <w:r>
        <w:rPr>
          <w:rFonts w:eastAsia="Times New Roman"/>
          <w:b/>
          <w:bCs/>
          <w:sz w:val="36"/>
          <w:szCs w:val="36"/>
          <w:lang w:val="es-ES"/>
        </w:rPr>
        <w:t>N</w:t>
      </w:r>
    </w:p>
    <w:p w:rsidR="00000000" w:rsidRDefault="0018461E">
      <w:pPr>
        <w:jc w:val="center"/>
        <w:divId w:val="488909812"/>
        <w:rPr>
          <w:rFonts w:eastAsia="Times New Roman"/>
          <w:sz w:val="30"/>
          <w:szCs w:val="30"/>
          <w:lang w:val="es-ES"/>
        </w:rPr>
      </w:pPr>
      <w:r>
        <w:rPr>
          <w:rFonts w:eastAsia="Times New Roman"/>
          <w:b/>
          <w:bCs/>
          <w:sz w:val="30"/>
          <w:szCs w:val="30"/>
          <w:lang w:val="es-ES"/>
        </w:rPr>
        <w:t>(Agregado por el Art. 37 de la Ley s/n, R.O. 249-S, 20-V-2014)</w:t>
      </w:r>
    </w:p>
    <w:p w:rsidR="00000000" w:rsidRDefault="0018461E">
      <w:pPr>
        <w:divId w:val="103481356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Compensación y liquidación de operaciones.- </w:t>
      </w:r>
      <w:r>
        <w:rPr>
          <w:rFonts w:eastAsia="Times New Roman"/>
          <w:sz w:val="30"/>
          <w:szCs w:val="30"/>
          <w:lang w:val="es-ES"/>
        </w:rPr>
        <w:t>(Reformado por la Disposición Reformatoria Décima Séptima, num. 2 del Código Orgánico Monetario y Financiero; R.O. 332-2S, 12-IX-2014).- Se</w:t>
      </w:r>
      <w:r>
        <w:rPr>
          <w:rFonts w:eastAsia="Times New Roman"/>
          <w:sz w:val="30"/>
          <w:szCs w:val="30"/>
          <w:lang w:val="es-ES"/>
        </w:rPr>
        <w:t xml:space="preserve"> denomina compensación de valores de las operaciones bursátiles al proceso mediante el cual los depósitos, luego de recibir la información de las bolsas de valores, confirman a través de los depositantes directos la identidad de los titulares de las subcue</w:t>
      </w:r>
      <w:r>
        <w:rPr>
          <w:rFonts w:eastAsia="Times New Roman"/>
          <w:sz w:val="30"/>
          <w:szCs w:val="30"/>
          <w:lang w:val="es-ES"/>
        </w:rPr>
        <w:t>ntas, y su disponibilidad de valores y de fondos; y por liquidación al perfeccionamiento de la entrega de los fondos y valores a los depositantes directos y a los titulares de las subcuentas.</w:t>
      </w:r>
      <w:r>
        <w:rPr>
          <w:rFonts w:eastAsia="Times New Roman"/>
          <w:sz w:val="30"/>
          <w:szCs w:val="30"/>
          <w:lang w:val="es-ES"/>
        </w:rPr>
        <w:br/>
      </w:r>
      <w:r>
        <w:rPr>
          <w:rFonts w:eastAsia="Times New Roman"/>
          <w:sz w:val="30"/>
          <w:szCs w:val="30"/>
          <w:lang w:val="es-ES"/>
        </w:rPr>
        <w:br/>
        <w:t>Los procesos de compensación y liquidación de operaciones son u</w:t>
      </w:r>
      <w:r>
        <w:rPr>
          <w:rFonts w:eastAsia="Times New Roman"/>
          <w:sz w:val="30"/>
          <w:szCs w:val="30"/>
          <w:lang w:val="es-ES"/>
        </w:rPr>
        <w:t>na función exclusiva de los depósitos de compensación y liquidación de valores públicos o privados.</w:t>
      </w:r>
      <w:r>
        <w:rPr>
          <w:rFonts w:eastAsia="Times New Roman"/>
          <w:sz w:val="30"/>
          <w:szCs w:val="30"/>
          <w:lang w:val="es-ES"/>
        </w:rPr>
        <w:br/>
      </w:r>
      <w:r>
        <w:rPr>
          <w:rFonts w:eastAsia="Times New Roman"/>
          <w:sz w:val="30"/>
          <w:szCs w:val="30"/>
          <w:lang w:val="es-ES"/>
        </w:rPr>
        <w:br/>
        <w:t xml:space="preserve">En consecuencia, los procesos de compensación y liquidación de las operaciones en los cuales participe como comprador una institución </w:t>
      </w:r>
      <w:r>
        <w:rPr>
          <w:rFonts w:eastAsia="Times New Roman"/>
          <w:sz w:val="30"/>
          <w:szCs w:val="30"/>
          <w:lang w:val="es-ES"/>
        </w:rPr>
        <w:lastRenderedPageBreak/>
        <w:t>del sector público, t</w:t>
      </w:r>
      <w:r>
        <w:rPr>
          <w:rFonts w:eastAsia="Times New Roman"/>
          <w:sz w:val="30"/>
          <w:szCs w:val="30"/>
          <w:lang w:val="es-ES"/>
        </w:rPr>
        <w:t>anto en el mercado bursátil como en el REB, se efectuarán, por el lado de la compra, a través de un depósito de compensación y liquidación de valores perteneciente al sector público y los procesos de compensación y liquidación de las operaciones en los cua</w:t>
      </w:r>
      <w:r>
        <w:rPr>
          <w:rFonts w:eastAsia="Times New Roman"/>
          <w:sz w:val="30"/>
          <w:szCs w:val="30"/>
          <w:lang w:val="es-ES"/>
        </w:rPr>
        <w:t>les participe como vendedor una institución del sector público, tanto en el mercado bursátil como en el REB, se efectuarán, por el lado de la venta, a través de un depósito de compensación y liquidación de valores perteneciente al sector público.</w:t>
      </w:r>
      <w:r>
        <w:rPr>
          <w:rFonts w:eastAsia="Times New Roman"/>
          <w:sz w:val="30"/>
          <w:szCs w:val="30"/>
          <w:lang w:val="es-ES"/>
        </w:rPr>
        <w:br/>
      </w:r>
      <w:r>
        <w:rPr>
          <w:rFonts w:eastAsia="Times New Roman"/>
          <w:sz w:val="30"/>
          <w:szCs w:val="30"/>
          <w:lang w:val="es-ES"/>
        </w:rPr>
        <w:br/>
        <w:t>En el ca</w:t>
      </w:r>
      <w:r>
        <w:rPr>
          <w:rFonts w:eastAsia="Times New Roman"/>
          <w:sz w:val="30"/>
          <w:szCs w:val="30"/>
          <w:lang w:val="es-ES"/>
        </w:rPr>
        <w:t>so de que no existiere un depósito de compensación y liquidación de valores públicos, la compensación y liquidación de operaciones del sector público podrá efectuarse a través de un depósito de valores privado.</w:t>
      </w:r>
      <w:r>
        <w:rPr>
          <w:rFonts w:eastAsia="Times New Roman"/>
          <w:sz w:val="30"/>
          <w:szCs w:val="30"/>
          <w:lang w:val="es-ES"/>
        </w:rPr>
        <w:br/>
      </w:r>
      <w:r>
        <w:rPr>
          <w:rFonts w:eastAsia="Times New Roman"/>
          <w:sz w:val="30"/>
          <w:szCs w:val="30"/>
          <w:lang w:val="es-ES"/>
        </w:rPr>
        <w:br/>
        <w:t>Los procesos de compensación y liquidación d</w:t>
      </w:r>
      <w:r>
        <w:rPr>
          <w:rFonts w:eastAsia="Times New Roman"/>
          <w:sz w:val="30"/>
          <w:szCs w:val="30"/>
          <w:lang w:val="es-ES"/>
        </w:rPr>
        <w:t>e las operaciones de una persona natural o jurídica del sector privado, tanto en el mercado bursátil como en el REB, se podrán efectuar a través de un depósito de compensación y liquidación de valores público o privado.</w:t>
      </w:r>
      <w:r>
        <w:rPr>
          <w:rFonts w:eastAsia="Times New Roman"/>
          <w:sz w:val="30"/>
          <w:szCs w:val="30"/>
          <w:lang w:val="es-ES"/>
        </w:rPr>
        <w:br/>
      </w:r>
      <w:r>
        <w:rPr>
          <w:rFonts w:eastAsia="Times New Roman"/>
          <w:sz w:val="30"/>
          <w:szCs w:val="30"/>
          <w:lang w:val="es-ES"/>
        </w:rPr>
        <w:br/>
        <w:t>Tendrán la calidad de participantes</w:t>
      </w:r>
      <w:r>
        <w:rPr>
          <w:rFonts w:eastAsia="Times New Roman"/>
          <w:sz w:val="30"/>
          <w:szCs w:val="30"/>
          <w:lang w:val="es-ES"/>
        </w:rPr>
        <w:t xml:space="preserve"> en un sistema de compensación y liquidación, los depositantes directos de los depósitos de compensación y liquidación de valores.</w:t>
      </w:r>
      <w:r>
        <w:rPr>
          <w:rFonts w:eastAsia="Times New Roman"/>
          <w:sz w:val="30"/>
          <w:szCs w:val="30"/>
          <w:lang w:val="es-ES"/>
        </w:rPr>
        <w:br/>
      </w:r>
      <w:r>
        <w:rPr>
          <w:rFonts w:eastAsia="Times New Roman"/>
          <w:sz w:val="30"/>
          <w:szCs w:val="30"/>
          <w:lang w:val="es-ES"/>
        </w:rPr>
        <w:br/>
        <w:t xml:space="preserve">La regulación aplicable a la compensación y liquidación debe prever mecanismos para el manejo de los riesgos de crédito, de </w:t>
      </w:r>
      <w:r>
        <w:rPr>
          <w:rFonts w:eastAsia="Times New Roman"/>
          <w:sz w:val="30"/>
          <w:szCs w:val="30"/>
          <w:lang w:val="es-ES"/>
        </w:rPr>
        <w:t>liquidez, operacional, legal y sistémico, y los demás que señale la Junta de Política y Regulación Monetaria y Financiera.</w:t>
      </w:r>
      <w:r>
        <w:rPr>
          <w:rFonts w:eastAsia="Times New Roman"/>
          <w:sz w:val="30"/>
          <w:szCs w:val="30"/>
          <w:lang w:val="es-ES"/>
        </w:rPr>
        <w:br/>
      </w:r>
      <w:r>
        <w:rPr>
          <w:rFonts w:eastAsia="Times New Roman"/>
          <w:sz w:val="30"/>
          <w:szCs w:val="30"/>
          <w:lang w:val="es-ES"/>
        </w:rPr>
        <w:br/>
        <w:t>Las normas de compensación y liquidación deben constar en reglamentos aprobados por la Junta de Política y Regulación Monetaria y Fi</w:t>
      </w:r>
      <w:r>
        <w:rPr>
          <w:rFonts w:eastAsia="Times New Roman"/>
          <w:sz w:val="30"/>
          <w:szCs w:val="30"/>
          <w:lang w:val="es-ES"/>
        </w:rPr>
        <w:t>nanciera, acorde con las disposiciones de carácter general que dicte el órgano regulador del mercado de valores.</w:t>
      </w:r>
    </w:p>
    <w:p w:rsidR="00000000" w:rsidRDefault="0018461E">
      <w:pPr>
        <w:divId w:val="78218518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Garantía de Compensación y Liquidación.-</w:t>
      </w:r>
      <w:r>
        <w:rPr>
          <w:rFonts w:eastAsia="Times New Roman"/>
          <w:sz w:val="30"/>
          <w:szCs w:val="30"/>
          <w:lang w:val="es-ES"/>
        </w:rPr>
        <w:t xml:space="preserve"> La garantía de compensación y liquidación tendrá por objeto asegurar el cumplimiento de las obli</w:t>
      </w:r>
      <w:r>
        <w:rPr>
          <w:rFonts w:eastAsia="Times New Roman"/>
          <w:sz w:val="30"/>
          <w:szCs w:val="30"/>
          <w:lang w:val="es-ES"/>
        </w:rPr>
        <w:t xml:space="preserve">gaciones de pago y de transferencia de los valores de los participantes en los procesos de compensación y liquidación, derivadas exclusivamente de operaciones bursátiles y del Registro Especial Bursátil frente a los depósitos de compensación y liquidación </w:t>
      </w:r>
      <w:r>
        <w:rPr>
          <w:rFonts w:eastAsia="Times New Roman"/>
          <w:sz w:val="30"/>
          <w:szCs w:val="30"/>
          <w:lang w:val="es-ES"/>
        </w:rPr>
        <w:t>de valores.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Esta garantía operará cuando al momento de compensar y liquidar las operaciones, los recursos, los valores, o ambos, resultaren insuficientes.</w:t>
      </w:r>
    </w:p>
    <w:p w:rsidR="00000000" w:rsidRDefault="0018461E">
      <w:pPr>
        <w:divId w:val="122776773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Constitución de la garantía.- </w:t>
      </w:r>
      <w:r>
        <w:rPr>
          <w:rFonts w:eastAsia="Times New Roman"/>
          <w:sz w:val="30"/>
          <w:szCs w:val="30"/>
          <w:lang w:val="es-ES"/>
        </w:rPr>
        <w:t>(Reformado por la Disposición Reformatoria Décima Séptima, num</w:t>
      </w:r>
      <w:r>
        <w:rPr>
          <w:rFonts w:eastAsia="Times New Roman"/>
          <w:sz w:val="30"/>
          <w:szCs w:val="30"/>
          <w:lang w:val="es-ES"/>
        </w:rPr>
        <w:t>s. 2 y 14 del Código Orgánico Monetario y Financiero; R.O. 332-2S, 12-IX-2014).- Los intermediarios autorizados por cada bolsa de valores mantendrán una garantía individual, previamente al inicio de sus operaciones, de acuerdo a las disposiciones de caráct</w:t>
      </w:r>
      <w:r>
        <w:rPr>
          <w:rFonts w:eastAsia="Times New Roman"/>
          <w:sz w:val="30"/>
          <w:szCs w:val="30"/>
          <w:lang w:val="es-ES"/>
        </w:rPr>
        <w:t>er general que determine la Junta de Regulación del Mercado de Valores.</w:t>
      </w:r>
      <w:r>
        <w:rPr>
          <w:rFonts w:eastAsia="Times New Roman"/>
          <w:sz w:val="30"/>
          <w:szCs w:val="30"/>
          <w:lang w:val="es-ES"/>
        </w:rPr>
        <w:br/>
      </w:r>
      <w:r>
        <w:rPr>
          <w:rFonts w:eastAsia="Times New Roman"/>
          <w:sz w:val="30"/>
          <w:szCs w:val="30"/>
          <w:lang w:val="es-ES"/>
        </w:rPr>
        <w:br/>
        <w:t xml:space="preserve">La Junta de Regulación del Mercado de Valores establecerá los parámetros que apliquen los depósitos de compensación y liquidación de valores, conjuntamente, para que éstos determinen </w:t>
      </w:r>
      <w:r>
        <w:rPr>
          <w:rFonts w:eastAsia="Times New Roman"/>
          <w:sz w:val="30"/>
          <w:szCs w:val="30"/>
          <w:lang w:val="es-ES"/>
        </w:rPr>
        <w:t>las garantías que deberán mantener los intermediarios de valores para realizar sus operaciones en el mercado de valores, así como para la fijación de límites a los montos de las operaciones que puedan realizar los intermediarios en el mercado de valores en</w:t>
      </w:r>
      <w:r>
        <w:rPr>
          <w:rFonts w:eastAsia="Times New Roman"/>
          <w:sz w:val="30"/>
          <w:szCs w:val="30"/>
          <w:lang w:val="es-ES"/>
        </w:rPr>
        <w:t xml:space="preserve"> función de dichas garantías.</w:t>
      </w:r>
      <w:r>
        <w:rPr>
          <w:rFonts w:eastAsia="Times New Roman"/>
          <w:sz w:val="30"/>
          <w:szCs w:val="30"/>
          <w:lang w:val="es-ES"/>
        </w:rPr>
        <w:br/>
      </w:r>
      <w:r>
        <w:rPr>
          <w:rFonts w:eastAsia="Times New Roman"/>
          <w:sz w:val="30"/>
          <w:szCs w:val="30"/>
          <w:lang w:val="es-ES"/>
        </w:rPr>
        <w:br/>
        <w:t>El fiduciario del Fideicomiso de Administración de la Garantía de Compensación y Liquidación será la Corporación Financiera Nacional.</w:t>
      </w:r>
      <w:r>
        <w:rPr>
          <w:rFonts w:eastAsia="Times New Roman"/>
          <w:sz w:val="30"/>
          <w:szCs w:val="30"/>
          <w:lang w:val="es-ES"/>
        </w:rPr>
        <w:br/>
      </w:r>
      <w:r>
        <w:rPr>
          <w:rFonts w:eastAsia="Times New Roman"/>
          <w:sz w:val="30"/>
          <w:szCs w:val="30"/>
          <w:lang w:val="es-ES"/>
        </w:rPr>
        <w:br/>
        <w:t>Los recursos que conforman el Fideicomiso de Administración de la Garantía de Compensación</w:t>
      </w:r>
      <w:r>
        <w:rPr>
          <w:rFonts w:eastAsia="Times New Roman"/>
          <w:sz w:val="30"/>
          <w:szCs w:val="30"/>
          <w:lang w:val="es-ES"/>
        </w:rPr>
        <w:t xml:space="preserve"> y Liquidación podrán ser invertidos en los valores que mediante norma de carácter general determine la Junta de Regulación del Mercado de Valores, observando criterios mínimos de seguridad, liquidez y rentabilidad, acordes con la naturaleza y el objeto de</w:t>
      </w:r>
      <w:r>
        <w:rPr>
          <w:rFonts w:eastAsia="Times New Roman"/>
          <w:sz w:val="30"/>
          <w:szCs w:val="30"/>
          <w:lang w:val="es-ES"/>
        </w:rPr>
        <w:t xml:space="preserve"> este Fideicomiso.</w:t>
      </w:r>
      <w:r>
        <w:rPr>
          <w:rFonts w:eastAsia="Times New Roman"/>
          <w:sz w:val="30"/>
          <w:szCs w:val="30"/>
          <w:lang w:val="es-ES"/>
        </w:rPr>
        <w:br/>
      </w:r>
      <w:r>
        <w:rPr>
          <w:rFonts w:eastAsia="Times New Roman"/>
          <w:sz w:val="30"/>
          <w:szCs w:val="30"/>
          <w:lang w:val="es-ES"/>
        </w:rPr>
        <w:br/>
        <w:t>La garantía de cada intermediario debe mantenerse mientras esté vigente su autorización de funcionamiento y se hayan compensado y liquidado la totalidad de las operaciones en las cuales haya participado este intermediario.</w:t>
      </w:r>
      <w:r>
        <w:rPr>
          <w:rFonts w:eastAsia="Times New Roman"/>
          <w:sz w:val="30"/>
          <w:szCs w:val="30"/>
          <w:lang w:val="es-ES"/>
        </w:rPr>
        <w:br/>
      </w:r>
      <w:r>
        <w:rPr>
          <w:rFonts w:eastAsia="Times New Roman"/>
          <w:sz w:val="30"/>
          <w:szCs w:val="30"/>
          <w:lang w:val="es-ES"/>
        </w:rPr>
        <w:br/>
        <w:t xml:space="preserve">La garantía </w:t>
      </w:r>
      <w:r>
        <w:rPr>
          <w:rFonts w:eastAsia="Times New Roman"/>
          <w:sz w:val="30"/>
          <w:szCs w:val="30"/>
          <w:lang w:val="es-ES"/>
        </w:rPr>
        <w:t>de la compensación y la liquidación servirá de respaldo solamente para la operación en la bolsa de valores.</w:t>
      </w:r>
    </w:p>
    <w:p w:rsidR="00000000" w:rsidRDefault="0018461E">
      <w:pPr>
        <w:divId w:val="79537197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Entidad de Contraparte Central.-</w:t>
      </w:r>
      <w:r>
        <w:rPr>
          <w:rFonts w:eastAsia="Times New Roman"/>
          <w:sz w:val="30"/>
          <w:szCs w:val="30"/>
          <w:lang w:val="es-ES"/>
        </w:rPr>
        <w:t xml:space="preserve"> (Reformado por la Disposición Reformatoria Décima Séptima, nums. 2 y 3del Código </w:t>
      </w:r>
      <w:r>
        <w:rPr>
          <w:rFonts w:eastAsia="Times New Roman"/>
          <w:sz w:val="30"/>
          <w:szCs w:val="30"/>
          <w:lang w:val="es-ES"/>
        </w:rPr>
        <w:lastRenderedPageBreak/>
        <w:t>Orgánico Monetario y Financi</w:t>
      </w:r>
      <w:r>
        <w:rPr>
          <w:rFonts w:eastAsia="Times New Roman"/>
          <w:sz w:val="30"/>
          <w:szCs w:val="30"/>
          <w:lang w:val="es-ES"/>
        </w:rPr>
        <w:t>ero; R.O. 332-2S, 12-IX-2014).- La Junta de Política y Regulación Monetaria y Financiera mediante norma de carácter general, en función del desarrollo y especialización del mercado, dispondrá el establecimiento de una entidad de contraparte central.</w:t>
      </w:r>
      <w:r>
        <w:rPr>
          <w:rFonts w:eastAsia="Times New Roman"/>
          <w:sz w:val="30"/>
          <w:szCs w:val="30"/>
          <w:lang w:val="es-ES"/>
        </w:rPr>
        <w:br/>
      </w:r>
      <w:r>
        <w:rPr>
          <w:rFonts w:eastAsia="Times New Roman"/>
          <w:sz w:val="30"/>
          <w:szCs w:val="30"/>
          <w:lang w:val="es-ES"/>
        </w:rPr>
        <w:br/>
        <w:t>Deben</w:t>
      </w:r>
      <w:r>
        <w:rPr>
          <w:rFonts w:eastAsia="Times New Roman"/>
          <w:sz w:val="30"/>
          <w:szCs w:val="30"/>
          <w:lang w:val="es-ES"/>
        </w:rPr>
        <w:t xml:space="preserve"> constituirse y obtener autorización de funcionamiento ante la Superintendencia de Compañías, Valores y Seguros, observando los requisitos y procedimientos determinados en la disposición de carácter general que emita la Junta de Política y Regulación Monet</w:t>
      </w:r>
      <w:r>
        <w:rPr>
          <w:rFonts w:eastAsia="Times New Roman"/>
          <w:sz w:val="30"/>
          <w:szCs w:val="30"/>
          <w:lang w:val="es-ES"/>
        </w:rPr>
        <w:t>aria y Financiera. La Entidad de Contraparte Central tendrá por objeto mitigar los riesgos de incumplimiento de las obligaciones de efectivo y de instrumentos financieros derivados que se negocien en el Mercado de Valores.</w:t>
      </w:r>
    </w:p>
    <w:p w:rsidR="00000000" w:rsidRDefault="0018461E">
      <w:pPr>
        <w:jc w:val="center"/>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 LOS INVERSIONISTAS</w:t>
      </w:r>
      <w:r>
        <w:rPr>
          <w:rFonts w:eastAsia="Times New Roman"/>
          <w:b/>
          <w:bCs/>
          <w:sz w:val="36"/>
          <w:szCs w:val="36"/>
          <w:lang w:val="es-ES"/>
        </w:rPr>
        <w:t xml:space="preserve"> INSTITUCIONALES</w:t>
      </w:r>
    </w:p>
    <w:p w:rsidR="00000000"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INVERSIONISTAS INSTITUCIONALES</w:t>
      </w:r>
    </w:p>
    <w:p w:rsidR="00000000" w:rsidRDefault="0018461E">
      <w:pPr>
        <w:divId w:val="811557503"/>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De los inversionistas institucionales.- </w:t>
      </w:r>
      <w:r>
        <w:rPr>
          <w:rFonts w:eastAsia="Times New Roman"/>
          <w:sz w:val="30"/>
          <w:szCs w:val="30"/>
          <w:lang w:val="es-ES"/>
        </w:rPr>
        <w:t>(Reformado por el Art. 38 de la Ley s/n, R.O. 249-S, 20-V-2014).-</w:t>
      </w:r>
      <w:r>
        <w:rPr>
          <w:rFonts w:eastAsia="Times New Roman"/>
          <w:b/>
          <w:bCs/>
          <w:sz w:val="30"/>
          <w:szCs w:val="30"/>
          <w:lang w:val="es-ES"/>
        </w:rPr>
        <w:t xml:space="preserve"> </w:t>
      </w:r>
      <w:r>
        <w:rPr>
          <w:rFonts w:eastAsia="Times New Roman"/>
          <w:sz w:val="30"/>
          <w:szCs w:val="30"/>
          <w:lang w:val="es-ES"/>
        </w:rPr>
        <w:t>Para efectos de esta Ley, se entenderá por inversionistas institucionales, a las</w:t>
      </w:r>
      <w:r>
        <w:rPr>
          <w:rFonts w:eastAsia="Times New Roman"/>
          <w:sz w:val="30"/>
          <w:szCs w:val="30"/>
          <w:lang w:val="es-ES"/>
        </w:rPr>
        <w:t xml:space="preserve"> instituciones del sistema financiero públicas o privadas, a las mutualistas de ahorro y crédito para la vivienda, a las cooperativas de ahorro y crédito que realicen intermediación financiera con el público, a las compañías de seguros y reaseguros, a las </w:t>
      </w:r>
      <w:r>
        <w:rPr>
          <w:rFonts w:eastAsia="Times New Roman"/>
          <w:sz w:val="30"/>
          <w:szCs w:val="30"/>
          <w:lang w:val="es-ES"/>
        </w:rPr>
        <w:t>corporaciones de garantía y retrogarantía, a las sociedades administradoras de fondos y fideicomisos y, toda otra persona jurídica y entidades que el C.N.V. señale como tal, mediante norma de carácter general, en atención a que el giro principal de aquélla</w:t>
      </w:r>
      <w:r>
        <w:rPr>
          <w:rFonts w:eastAsia="Times New Roman"/>
          <w:sz w:val="30"/>
          <w:szCs w:val="30"/>
          <w:lang w:val="es-ES"/>
        </w:rPr>
        <w:t>s sea la realización de inversiones en valores u otros bienes y que el volumen de las transacciones u otras características permita calificar de significativa su participación en el mercado.</w:t>
      </w:r>
      <w:r>
        <w:rPr>
          <w:rFonts w:eastAsia="Times New Roman"/>
          <w:sz w:val="30"/>
          <w:szCs w:val="30"/>
          <w:lang w:val="es-ES"/>
        </w:rPr>
        <w:br/>
      </w:r>
      <w:r>
        <w:rPr>
          <w:rFonts w:eastAsia="Times New Roman"/>
          <w:sz w:val="30"/>
          <w:szCs w:val="30"/>
          <w:lang w:val="es-ES"/>
        </w:rPr>
        <w:br/>
        <w:t>Los inversionistas institucionales operarán en el mercado bursát</w:t>
      </w:r>
      <w:r>
        <w:rPr>
          <w:rFonts w:eastAsia="Times New Roman"/>
          <w:sz w:val="30"/>
          <w:szCs w:val="30"/>
          <w:lang w:val="es-ES"/>
        </w:rPr>
        <w:t>il por intermedio de casas de valores.</w:t>
      </w:r>
      <w:r>
        <w:rPr>
          <w:rFonts w:eastAsia="Times New Roman"/>
          <w:sz w:val="30"/>
          <w:szCs w:val="30"/>
          <w:lang w:val="es-ES"/>
        </w:rPr>
        <w:br/>
      </w:r>
      <w:r>
        <w:rPr>
          <w:rFonts w:eastAsia="Times New Roman"/>
          <w:sz w:val="30"/>
          <w:szCs w:val="30"/>
          <w:lang w:val="es-ES"/>
        </w:rPr>
        <w:br/>
        <w:t xml:space="preserve">Los inversionistas institucionales estarán obligados a entregar </w:t>
      </w:r>
      <w:r>
        <w:rPr>
          <w:rFonts w:eastAsia="Times New Roman"/>
          <w:sz w:val="30"/>
          <w:szCs w:val="30"/>
          <w:lang w:val="es-ES"/>
        </w:rPr>
        <w:lastRenderedPageBreak/>
        <w:t>información respecto a las transacciones que efectúen, en forma veraz, completa y oportuna, de acuerdo con las normas que expida el C.N.V.</w:t>
      </w:r>
    </w:p>
    <w:p w:rsidR="00000000"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t>DE LOS FONDOS DE INVERSIÓN</w:t>
      </w:r>
    </w:p>
    <w:p w:rsidR="00000000" w:rsidRDefault="0018461E">
      <w:pPr>
        <w:divId w:val="1486360491"/>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w:t>
      </w:r>
      <w:r>
        <w:rPr>
          <w:rFonts w:eastAsia="Times New Roman"/>
          <w:b/>
          <w:bCs/>
          <w:sz w:val="30"/>
          <w:szCs w:val="30"/>
          <w:lang w:val="es-ES"/>
        </w:rPr>
        <w:t>Fondos de inversión: definición y objeto</w:t>
      </w:r>
      <w:r>
        <w:rPr>
          <w:rFonts w:eastAsia="Times New Roman"/>
          <w:sz w:val="30"/>
          <w:szCs w:val="30"/>
          <w:lang w:val="es-ES"/>
        </w:rPr>
        <w:t xml:space="preserve">.- (Reformado por el Art. 39 de la Ley s/n, R.O. 249-S, 20-V-2014).- Fondo de inversión es el patrimonio común, integrado por aportes de varios inversionistas, personas naturales </w:t>
      </w:r>
      <w:r>
        <w:rPr>
          <w:rFonts w:eastAsia="Times New Roman"/>
          <w:sz w:val="30"/>
          <w:szCs w:val="30"/>
          <w:lang w:val="es-ES"/>
        </w:rPr>
        <w:t>o jurídicas y, las asociaciones de empleados legalmente reconocidas, para su inversión en los valores, bienes y demás activos que esta Ley permite, correspondiendo la gestión del mismo a una compañía administradora de fondos y fideicomisos.</w:t>
      </w:r>
      <w:r>
        <w:rPr>
          <w:rFonts w:eastAsia="Times New Roman"/>
          <w:sz w:val="30"/>
          <w:szCs w:val="30"/>
          <w:lang w:val="es-ES"/>
        </w:rPr>
        <w:br/>
      </w:r>
      <w:r>
        <w:rPr>
          <w:rFonts w:eastAsia="Times New Roman"/>
          <w:sz w:val="30"/>
          <w:szCs w:val="30"/>
          <w:lang w:val="es-ES"/>
        </w:rPr>
        <w:br/>
        <w:t>Los aportes qu</w:t>
      </w:r>
      <w:r>
        <w:rPr>
          <w:rFonts w:eastAsia="Times New Roman"/>
          <w:sz w:val="30"/>
          <w:szCs w:val="30"/>
          <w:lang w:val="es-ES"/>
        </w:rPr>
        <w:t>edarán expresados, para el caso de los fondos administrados, en unidades de participación, de igual valor y características, teniendo el carácter de no negociables. En el caso de los fondos colectivos, los aportes se expresarán en cuotas, que son valores n</w:t>
      </w:r>
      <w:r>
        <w:rPr>
          <w:rFonts w:eastAsia="Times New Roman"/>
          <w:sz w:val="30"/>
          <w:szCs w:val="30"/>
          <w:lang w:val="es-ES"/>
        </w:rPr>
        <w:t>egociables.</w:t>
      </w:r>
      <w:r>
        <w:rPr>
          <w:rFonts w:eastAsia="Times New Roman"/>
          <w:sz w:val="30"/>
          <w:szCs w:val="30"/>
          <w:lang w:val="es-ES"/>
        </w:rPr>
        <w:br/>
      </w:r>
      <w:r>
        <w:rPr>
          <w:rFonts w:eastAsia="Times New Roman"/>
          <w:sz w:val="30"/>
          <w:szCs w:val="30"/>
          <w:lang w:val="es-ES"/>
        </w:rPr>
        <w:br/>
        <w:t>Cuando en este título se haga referencia a los fondos, sin precisar si se trata de fondos administrados o colectivos, se entenderá que la remisión se aplica a ambos tipos.</w:t>
      </w:r>
    </w:p>
    <w:p w:rsidR="00000000" w:rsidRDefault="0018461E">
      <w:pPr>
        <w:divId w:val="776098281"/>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Clases de fondos.</w:t>
      </w:r>
      <w:r>
        <w:rPr>
          <w:rFonts w:eastAsia="Times New Roman"/>
          <w:sz w:val="30"/>
          <w:szCs w:val="30"/>
          <w:lang w:val="es-ES"/>
        </w:rPr>
        <w:t>- Los fondos de inversión, se clasifican en:</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a) (Reformado por el Art. 40 de la Ley s/n, R.O. 249-S, 20-V-2014).- Fondos administrados son aquellos que admiten la incorporación, en cualquier momento de aportantes, así como el retiro de uno o varios, por lo que el monto del patrimonio y el valor de</w:t>
      </w:r>
      <w:r>
        <w:rPr>
          <w:rFonts w:eastAsia="Times New Roman"/>
          <w:sz w:val="30"/>
          <w:szCs w:val="30"/>
          <w:lang w:val="es-ES"/>
        </w:rPr>
        <w:t xml:space="preserve"> sus respectivas unidades es variable. En este caso, la administradora actuará por cuenta y riesgo de sus aportantes o partícipes. </w:t>
      </w:r>
      <w:r>
        <w:rPr>
          <w:rFonts w:eastAsia="Times New Roman"/>
          <w:sz w:val="30"/>
          <w:szCs w:val="30"/>
          <w:lang w:val="es-ES"/>
        </w:rPr>
        <w:br/>
      </w:r>
      <w:r>
        <w:rPr>
          <w:rFonts w:eastAsia="Times New Roman"/>
          <w:sz w:val="30"/>
          <w:szCs w:val="30"/>
          <w:lang w:val="es-ES"/>
        </w:rPr>
        <w:br/>
        <w:t>b) (Reformado por la Disposición Reformatoria Décima Séptima, num. 15 del Código Orgánico Monetario y Financiero; R.O. 332-</w:t>
      </w:r>
      <w:r>
        <w:rPr>
          <w:rFonts w:eastAsia="Times New Roman"/>
          <w:sz w:val="30"/>
          <w:szCs w:val="30"/>
          <w:lang w:val="es-ES"/>
        </w:rPr>
        <w:t>2S, 12-IX-2014).- Fondos colectivos son aquellos que tienen como finalidad invertir en valores de proyectos productivos específicos. El fondo estará constituido por los aportes hechos por los constituyentes dentro de un proceso de oferta pública, cuyas cuo</w:t>
      </w:r>
      <w:r>
        <w:rPr>
          <w:rFonts w:eastAsia="Times New Roman"/>
          <w:sz w:val="30"/>
          <w:szCs w:val="30"/>
          <w:lang w:val="es-ES"/>
        </w:rPr>
        <w:t xml:space="preserve">tas de participación no son rescatables, incrementándose el número de sus cuotas como resultado de su suscripción y pago, durante su respectivo período de </w:t>
      </w:r>
      <w:r>
        <w:rPr>
          <w:rFonts w:eastAsia="Times New Roman"/>
          <w:sz w:val="30"/>
          <w:szCs w:val="30"/>
          <w:lang w:val="es-ES"/>
        </w:rPr>
        <w:lastRenderedPageBreak/>
        <w:t>colocación y, reduciéndose su monto sólo con ocasión de una reducción parcial de ellas, ofrecida a to</w:t>
      </w:r>
      <w:r>
        <w:rPr>
          <w:rFonts w:eastAsia="Times New Roman"/>
          <w:sz w:val="30"/>
          <w:szCs w:val="30"/>
          <w:lang w:val="es-ES"/>
        </w:rPr>
        <w:t>dos los aportantes, o en razón de su liquidación. Estos fondos y su administrador se someterán a las normas del fideicomiso mercantil. Las cuotas de estos fondos, que deberán someterse a calificación de riesgo, serán libremente negociables.</w:t>
      </w:r>
      <w:r>
        <w:rPr>
          <w:rFonts w:eastAsia="Times New Roman"/>
          <w:sz w:val="30"/>
          <w:szCs w:val="30"/>
          <w:lang w:val="es-ES"/>
        </w:rPr>
        <w:br/>
      </w:r>
      <w:r>
        <w:rPr>
          <w:rFonts w:eastAsia="Times New Roman"/>
          <w:sz w:val="30"/>
          <w:szCs w:val="30"/>
          <w:lang w:val="es-ES"/>
        </w:rPr>
        <w:br/>
        <w:t>c) (Agregado p</w:t>
      </w:r>
      <w:r>
        <w:rPr>
          <w:rFonts w:eastAsia="Times New Roman"/>
          <w:sz w:val="30"/>
          <w:szCs w:val="30"/>
          <w:lang w:val="es-ES"/>
        </w:rPr>
        <w:t>or el Art. 40 de la Ley s/n, R.O. 249-S, 20-V-2014; y, reformado por la Disposición Reformatoria Décima Séptima, num. 2 del Código Orgánico Monetario y Financiero; R.O. 332-2S, 12-IX-2014).- Fondos cotizados: Son aquellos fondos que no podrán invertir en p</w:t>
      </w:r>
      <w:r>
        <w:rPr>
          <w:rFonts w:eastAsia="Times New Roman"/>
          <w:sz w:val="30"/>
          <w:szCs w:val="30"/>
          <w:lang w:val="es-ES"/>
        </w:rPr>
        <w:t>royectos, sino exclusivamente en valores admitidos a cotización bursátil. Estos fondos podrán replicar la misma composición de un índice bursátil. La Junta de Política y Regulación Monetaria y Financiera establecerá las normas para la constitución de los f</w:t>
      </w:r>
      <w:r>
        <w:rPr>
          <w:rFonts w:eastAsia="Times New Roman"/>
          <w:sz w:val="30"/>
          <w:szCs w:val="30"/>
          <w:lang w:val="es-ES"/>
        </w:rPr>
        <w:t>ondos cotizados y la negociación y registro de sus cuotas, que constituyen valores negociables en el mercado de valores.</w:t>
      </w:r>
      <w:r>
        <w:rPr>
          <w:rFonts w:eastAsia="Times New Roman"/>
          <w:sz w:val="30"/>
          <w:szCs w:val="30"/>
          <w:lang w:val="es-ES"/>
        </w:rPr>
        <w:br/>
      </w:r>
      <w:r>
        <w:rPr>
          <w:rFonts w:eastAsia="Times New Roman"/>
          <w:sz w:val="30"/>
          <w:szCs w:val="30"/>
          <w:lang w:val="es-ES"/>
        </w:rPr>
        <w:br/>
        <w:t>Conforme a los tipos de fondos antes mencionados, se podrán organizar distintas clases de fondos para inversiones específicas, tales c</w:t>
      </w:r>
      <w:r>
        <w:rPr>
          <w:rFonts w:eastAsia="Times New Roman"/>
          <w:sz w:val="30"/>
          <w:szCs w:val="30"/>
          <w:lang w:val="es-ES"/>
        </w:rPr>
        <w:t>omo educacionales, de vivienda, de pensiones, de cesantía y otros que autorice el C.N.V.</w:t>
      </w:r>
    </w:p>
    <w:p w:rsidR="00000000" w:rsidRDefault="0018461E">
      <w:pPr>
        <w:divId w:val="77017540"/>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w:t>
      </w:r>
      <w:r>
        <w:rPr>
          <w:rFonts w:eastAsia="Times New Roman"/>
          <w:b/>
          <w:bCs/>
          <w:sz w:val="30"/>
          <w:szCs w:val="30"/>
          <w:lang w:val="es-ES"/>
        </w:rPr>
        <w:t xml:space="preserve">De los fondos internacionales.- </w:t>
      </w:r>
      <w:r>
        <w:rPr>
          <w:rFonts w:eastAsia="Times New Roman"/>
          <w:sz w:val="30"/>
          <w:szCs w:val="30"/>
          <w:lang w:val="es-ES"/>
        </w:rPr>
        <w:t xml:space="preserve">Estos fondos pueden ser de tres clases: </w:t>
      </w:r>
      <w:r>
        <w:rPr>
          <w:rFonts w:eastAsia="Times New Roman"/>
          <w:sz w:val="30"/>
          <w:szCs w:val="30"/>
          <w:lang w:val="es-ES"/>
        </w:rPr>
        <w:br/>
      </w:r>
      <w:r>
        <w:rPr>
          <w:rFonts w:eastAsia="Times New Roman"/>
          <w:sz w:val="30"/>
          <w:szCs w:val="30"/>
          <w:lang w:val="es-ES"/>
        </w:rPr>
        <w:br/>
        <w:t>1. (Reformado por la Disposición Reformatoria Décima Séptima, num. 1 del Código Org</w:t>
      </w:r>
      <w:r>
        <w:rPr>
          <w:rFonts w:eastAsia="Times New Roman"/>
          <w:sz w:val="30"/>
          <w:szCs w:val="30"/>
          <w:lang w:val="es-ES"/>
        </w:rPr>
        <w:t xml:space="preserve">ánico Monetario y Financiero; R.O. 332-2S, 12-IX-2014).- Fondos administrados o colectivos constituidos en el Ecuador que recibirán únicamente inversiones de carácter extranjero para inversión en el mercado ecuatoriano. Estos fondos deberán inscribirse en </w:t>
      </w:r>
      <w:r>
        <w:rPr>
          <w:rFonts w:eastAsia="Times New Roman"/>
          <w:sz w:val="30"/>
          <w:szCs w:val="30"/>
          <w:lang w:val="es-ES"/>
        </w:rPr>
        <w:t>el Catastro Público del Mercado de Valores y se someterán a las normas establecidas para los fondos de inversión, exceptuando los requisitos de participación máxima, debiendo cumplir con los requisitos de registro que estén vigentes para la inversión extra</w:t>
      </w:r>
      <w:r>
        <w:rPr>
          <w:rFonts w:eastAsia="Times New Roman"/>
          <w:sz w:val="30"/>
          <w:szCs w:val="30"/>
          <w:lang w:val="es-ES"/>
        </w:rPr>
        <w:t>njera en el país. Los rendimientos podrán ser reembolsados en todo momento atendiendo los plazos fijados en sus normas internas;</w:t>
      </w:r>
      <w:r>
        <w:rPr>
          <w:rFonts w:eastAsia="Times New Roman"/>
          <w:sz w:val="30"/>
          <w:szCs w:val="30"/>
          <w:lang w:val="es-ES"/>
        </w:rPr>
        <w:br/>
      </w:r>
      <w:r>
        <w:rPr>
          <w:rFonts w:eastAsia="Times New Roman"/>
          <w:sz w:val="30"/>
          <w:szCs w:val="30"/>
          <w:lang w:val="es-ES"/>
        </w:rPr>
        <w:br/>
        <w:t>2. Fondos administrados o colectivos constituidos en el Ecuador, por nacionales o extranjeros, con el fin de que dichos recurs</w:t>
      </w:r>
      <w:r>
        <w:rPr>
          <w:rFonts w:eastAsia="Times New Roman"/>
          <w:sz w:val="30"/>
          <w:szCs w:val="30"/>
          <w:lang w:val="es-ES"/>
        </w:rPr>
        <w:t xml:space="preserve">os se destinen a ser invertidos en valores tanto en el mercado nacional como en el </w:t>
      </w:r>
      <w:r>
        <w:rPr>
          <w:rFonts w:eastAsia="Times New Roman"/>
          <w:sz w:val="30"/>
          <w:szCs w:val="30"/>
          <w:lang w:val="es-ES"/>
        </w:rPr>
        <w:lastRenderedPageBreak/>
        <w:t>internacional. Estos fondos se sujetarán a las leyes y regulaciones del Ecuador. Corresponderá al C.N.V., mediante norma de carácter general regular los requerimientos de li</w:t>
      </w:r>
      <w:r>
        <w:rPr>
          <w:rFonts w:eastAsia="Times New Roman"/>
          <w:sz w:val="30"/>
          <w:szCs w:val="30"/>
          <w:lang w:val="es-ES"/>
        </w:rPr>
        <w:t xml:space="preserve">quidez, riesgo e información financiera de los mercados y valores en los que se invertirán los recursos del fondo; y, </w:t>
      </w:r>
      <w:r>
        <w:rPr>
          <w:rFonts w:eastAsia="Times New Roman"/>
          <w:sz w:val="30"/>
          <w:szCs w:val="30"/>
          <w:lang w:val="es-ES"/>
        </w:rPr>
        <w:br/>
      </w:r>
      <w:r>
        <w:rPr>
          <w:rFonts w:eastAsia="Times New Roman"/>
          <w:sz w:val="30"/>
          <w:szCs w:val="30"/>
          <w:lang w:val="es-ES"/>
        </w:rPr>
        <w:br/>
        <w:t>3. Fondos constituidos en el exterior, por nacionales o extranjeros. Estos fondos podrán actuar en el mercado nacional y constituirse co</w:t>
      </w:r>
      <w:r>
        <w:rPr>
          <w:rFonts w:eastAsia="Times New Roman"/>
          <w:sz w:val="30"/>
          <w:szCs w:val="30"/>
          <w:lang w:val="es-ES"/>
        </w:rPr>
        <w:t>n dineros provenientes de ecuatorianos o extranjeros.</w:t>
      </w:r>
      <w:r>
        <w:rPr>
          <w:rFonts w:eastAsia="Times New Roman"/>
          <w:sz w:val="30"/>
          <w:szCs w:val="30"/>
          <w:lang w:val="es-ES"/>
        </w:rPr>
        <w:br/>
      </w:r>
      <w:r>
        <w:rPr>
          <w:rFonts w:eastAsia="Times New Roman"/>
          <w:sz w:val="30"/>
          <w:szCs w:val="30"/>
          <w:lang w:val="es-ES"/>
        </w:rPr>
        <w:br/>
        <w:t xml:space="preserve">Las inversiones de los fondos de inversión constituidos con aportes de residentes en el país en moneda extranjera, se regirán por las normas de carácter general que para el efecto expida el Directorio </w:t>
      </w:r>
      <w:r>
        <w:rPr>
          <w:rFonts w:eastAsia="Times New Roman"/>
          <w:sz w:val="30"/>
          <w:szCs w:val="30"/>
          <w:lang w:val="es-ES"/>
        </w:rPr>
        <w:t>del Banco Central del Ecuador.</w:t>
      </w:r>
      <w:r>
        <w:rPr>
          <w:rFonts w:eastAsia="Times New Roman"/>
          <w:sz w:val="30"/>
          <w:szCs w:val="30"/>
          <w:lang w:val="es-ES"/>
        </w:rPr>
        <w:br/>
      </w:r>
      <w:r>
        <w:rPr>
          <w:rFonts w:eastAsia="Times New Roman"/>
          <w:sz w:val="30"/>
          <w:szCs w:val="30"/>
          <w:lang w:val="es-ES"/>
        </w:rPr>
        <w:br/>
        <w:t>En todo caso, los fondos que hayan sido constituidos en el exterior y que capten recursos de residentes en el Ecuador, deberán hacerlo por intermedio de una administradora de fondos constituida en el Ecuador, para lo cual de</w:t>
      </w:r>
      <w:r>
        <w:rPr>
          <w:rFonts w:eastAsia="Times New Roman"/>
          <w:sz w:val="30"/>
          <w:szCs w:val="30"/>
          <w:lang w:val="es-ES"/>
        </w:rPr>
        <w:t>berán firmar el respectivo convenio de representación, con responsabilidad fiduciaria y sujetarse a los requisitos de información que requiera la Superintendencia de Compañías.</w:t>
      </w:r>
      <w:r>
        <w:rPr>
          <w:rFonts w:eastAsia="Times New Roman"/>
          <w:sz w:val="30"/>
          <w:szCs w:val="30"/>
          <w:lang w:val="es-ES"/>
        </w:rPr>
        <w:br/>
      </w:r>
      <w:r>
        <w:rPr>
          <w:rFonts w:eastAsia="Times New Roman"/>
          <w:sz w:val="30"/>
          <w:szCs w:val="30"/>
          <w:lang w:val="es-ES"/>
        </w:rPr>
        <w:br/>
        <w:t>Las administradoras de fondos y fideicomisos constituidas en el Ecuador, serán</w:t>
      </w:r>
      <w:r>
        <w:rPr>
          <w:rFonts w:eastAsia="Times New Roman"/>
          <w:sz w:val="30"/>
          <w:szCs w:val="30"/>
          <w:lang w:val="es-ES"/>
        </w:rPr>
        <w:t xml:space="preserve"> las únicas instituciones autorizadas para manejar o representar fondos internacionales.</w:t>
      </w:r>
    </w:p>
    <w:p w:rsidR="00000000" w:rsidRDefault="0018461E">
      <w:pPr>
        <w:divId w:val="950667133"/>
        <w:rPr>
          <w:rFonts w:eastAsia="Times New Roman"/>
          <w:sz w:val="30"/>
          <w:szCs w:val="30"/>
          <w:lang w:val="es-ES"/>
        </w:rPr>
      </w:pPr>
      <w:r>
        <w:rPr>
          <w:rFonts w:eastAsia="Times New Roman"/>
          <w:sz w:val="30"/>
          <w:szCs w:val="30"/>
          <w:lang w:val="es-ES"/>
        </w:rPr>
        <w:t xml:space="preserve">Art. 78.- </w:t>
      </w:r>
      <w:r>
        <w:rPr>
          <w:rFonts w:eastAsia="Times New Roman"/>
          <w:b/>
          <w:bCs/>
          <w:sz w:val="30"/>
          <w:szCs w:val="30"/>
          <w:lang w:val="es-ES"/>
        </w:rPr>
        <w:t>Constitución de los fondos y autorización de funcionamiento.</w:t>
      </w:r>
      <w:r>
        <w:rPr>
          <w:rFonts w:eastAsia="Times New Roman"/>
          <w:sz w:val="30"/>
          <w:szCs w:val="30"/>
          <w:lang w:val="es-ES"/>
        </w:rPr>
        <w:t>- (Reformado por la Disposición Reformatoria Décima Séptima, num. 1 del Código Orgánico Monetario</w:t>
      </w:r>
      <w:r>
        <w:rPr>
          <w:rFonts w:eastAsia="Times New Roman"/>
          <w:sz w:val="30"/>
          <w:szCs w:val="30"/>
          <w:lang w:val="es-ES"/>
        </w:rPr>
        <w:t xml:space="preserve"> y Financiero; R.O. 332-2S, 12-IX-2014).- Los fondos se constituirán por escritura pública que deberá ser otorgada por los representantes legales de la administradora, e inscrita en el Catastro Público del Mercado de Valores. La escritura pública deberá co</w:t>
      </w:r>
      <w:r>
        <w:rPr>
          <w:rFonts w:eastAsia="Times New Roman"/>
          <w:sz w:val="30"/>
          <w:szCs w:val="30"/>
          <w:lang w:val="es-ES"/>
        </w:rPr>
        <w:t>ntener los requisitos mínimos que determine el C.N.V.</w:t>
      </w:r>
      <w:r>
        <w:rPr>
          <w:rFonts w:eastAsia="Times New Roman"/>
          <w:sz w:val="30"/>
          <w:szCs w:val="30"/>
          <w:lang w:val="es-ES"/>
        </w:rPr>
        <w:br/>
      </w:r>
      <w:r>
        <w:rPr>
          <w:rFonts w:eastAsia="Times New Roman"/>
          <w:sz w:val="30"/>
          <w:szCs w:val="30"/>
          <w:lang w:val="es-ES"/>
        </w:rPr>
        <w:br/>
        <w:t>La Superintendencia de Compañías autorizará el funcionamiento de un fondo, cualquiera que éste sea, previa verificación de que la escritura pública de constitución y del reglamento interno del fondo, s</w:t>
      </w:r>
      <w:r>
        <w:rPr>
          <w:rFonts w:eastAsia="Times New Roman"/>
          <w:sz w:val="30"/>
          <w:szCs w:val="30"/>
          <w:lang w:val="es-ES"/>
        </w:rPr>
        <w:t xml:space="preserve">e ajusten a las disposiciones de esta Ley y sus normas complementarias; que su administradora se encuentre inscrita en el Catastro Público del Mercado de Valores y tenga el patrimonio </w:t>
      </w:r>
      <w:r>
        <w:rPr>
          <w:rFonts w:eastAsia="Times New Roman"/>
          <w:sz w:val="30"/>
          <w:szCs w:val="30"/>
          <w:lang w:val="es-ES"/>
        </w:rPr>
        <w:lastRenderedPageBreak/>
        <w:t>mínimo exigido para gestionarlo; que tratándose de un fondo colectivo se</w:t>
      </w:r>
      <w:r>
        <w:rPr>
          <w:rFonts w:eastAsia="Times New Roman"/>
          <w:sz w:val="30"/>
          <w:szCs w:val="30"/>
          <w:lang w:val="es-ES"/>
        </w:rPr>
        <w:t xml:space="preserve"> encuentren inscritas en el registro las respectivas emisiones de cuotas y, otros antecedentes que el C.N.V., solicite mediante norma de carácter general.</w:t>
      </w:r>
    </w:p>
    <w:p w:rsidR="00000000" w:rsidRDefault="0018461E">
      <w:pPr>
        <w:divId w:val="1396976258"/>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Reglamento interno del fondo.- </w:t>
      </w:r>
      <w:r>
        <w:rPr>
          <w:rFonts w:eastAsia="Times New Roman"/>
          <w:sz w:val="30"/>
          <w:szCs w:val="30"/>
          <w:lang w:val="es-ES"/>
        </w:rPr>
        <w:t>El reglamento interno de un fondo deberá regular, al menos l</w:t>
      </w:r>
      <w:r>
        <w:rPr>
          <w:rFonts w:eastAsia="Times New Roman"/>
          <w:sz w:val="30"/>
          <w:szCs w:val="30"/>
          <w:lang w:val="es-ES"/>
        </w:rPr>
        <w:t xml:space="preserve">as siguientes materias: </w:t>
      </w:r>
      <w:r>
        <w:rPr>
          <w:rFonts w:eastAsia="Times New Roman"/>
          <w:sz w:val="30"/>
          <w:szCs w:val="30"/>
          <w:lang w:val="es-ES"/>
        </w:rPr>
        <w:br/>
      </w:r>
      <w:r>
        <w:rPr>
          <w:rFonts w:eastAsia="Times New Roman"/>
          <w:sz w:val="30"/>
          <w:szCs w:val="30"/>
          <w:lang w:val="es-ES"/>
        </w:rPr>
        <w:br/>
        <w:t>a) (Reformado por la Disposición Reformatoria Décima Séptima, num. 16 del Código Orgánico Monetario y Financiero; R.O. 332-2S, 12-IX-2014).- La denominación del fondo, en la que obligatoriamente se incluirá además del nombre espec</w:t>
      </w:r>
      <w:r>
        <w:rPr>
          <w:rFonts w:eastAsia="Times New Roman"/>
          <w:sz w:val="30"/>
          <w:szCs w:val="30"/>
          <w:lang w:val="es-ES"/>
        </w:rPr>
        <w:t xml:space="preserve">ífico de éste, la expresión "Fondo de Inversión" y, la indicación de si se trata de un fondo colectivo cotizado o administrado; </w:t>
      </w:r>
      <w:r>
        <w:rPr>
          <w:rFonts w:eastAsia="Times New Roman"/>
          <w:sz w:val="30"/>
          <w:szCs w:val="30"/>
          <w:lang w:val="es-ES"/>
        </w:rPr>
        <w:br/>
      </w:r>
      <w:r>
        <w:rPr>
          <w:rFonts w:eastAsia="Times New Roman"/>
          <w:sz w:val="30"/>
          <w:szCs w:val="30"/>
          <w:lang w:val="es-ES"/>
        </w:rPr>
        <w:br/>
        <w:t>b) (Reformado por la Disposición Reformatoria Décima Séptima, num. 16 del Código Orgánico Monetario y Financiero; R.O. 332-2S,</w:t>
      </w:r>
      <w:r>
        <w:rPr>
          <w:rFonts w:eastAsia="Times New Roman"/>
          <w:sz w:val="30"/>
          <w:szCs w:val="30"/>
          <w:lang w:val="es-ES"/>
        </w:rPr>
        <w:t xml:space="preserve"> 12-IX-2014).- Plazo de duración, cuando se trate de fondos colectivos o de fondos cotizados. En el caso de fondos administrados, el plazo puede ser fijo o indefinido;</w:t>
      </w:r>
      <w:r>
        <w:rPr>
          <w:rFonts w:eastAsia="Times New Roman"/>
          <w:sz w:val="30"/>
          <w:szCs w:val="30"/>
          <w:lang w:val="es-ES"/>
        </w:rPr>
        <w:br/>
      </w:r>
      <w:r>
        <w:rPr>
          <w:rFonts w:eastAsia="Times New Roman"/>
          <w:sz w:val="30"/>
          <w:szCs w:val="30"/>
          <w:lang w:val="es-ES"/>
        </w:rPr>
        <w:br/>
        <w:t xml:space="preserve">c) Política de inversión de los recursos; </w:t>
      </w:r>
      <w:r>
        <w:rPr>
          <w:rFonts w:eastAsia="Times New Roman"/>
          <w:sz w:val="30"/>
          <w:szCs w:val="30"/>
          <w:lang w:val="es-ES"/>
        </w:rPr>
        <w:br/>
      </w:r>
      <w:r>
        <w:rPr>
          <w:rFonts w:eastAsia="Times New Roman"/>
          <w:sz w:val="30"/>
          <w:szCs w:val="30"/>
          <w:lang w:val="es-ES"/>
        </w:rPr>
        <w:br/>
        <w:t xml:space="preserve">d) Remuneración por la administración; </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 Gastos a cargo del fondo, honorarios y comisiones de la administradora; </w:t>
      </w:r>
      <w:r>
        <w:rPr>
          <w:rFonts w:eastAsia="Times New Roman"/>
          <w:sz w:val="30"/>
          <w:szCs w:val="30"/>
          <w:lang w:val="es-ES"/>
        </w:rPr>
        <w:br/>
      </w:r>
      <w:r>
        <w:rPr>
          <w:rFonts w:eastAsia="Times New Roman"/>
          <w:sz w:val="30"/>
          <w:szCs w:val="30"/>
          <w:lang w:val="es-ES"/>
        </w:rPr>
        <w:br/>
        <w:t xml:space="preserve">f) Normas para la valoración de las unidades y cuotas; </w:t>
      </w:r>
      <w:r>
        <w:rPr>
          <w:rFonts w:eastAsia="Times New Roman"/>
          <w:sz w:val="30"/>
          <w:szCs w:val="30"/>
          <w:lang w:val="es-ES"/>
        </w:rPr>
        <w:br/>
      </w:r>
      <w:r>
        <w:rPr>
          <w:rFonts w:eastAsia="Times New Roman"/>
          <w:sz w:val="30"/>
          <w:szCs w:val="30"/>
          <w:lang w:val="es-ES"/>
        </w:rPr>
        <w:br/>
        <w:t xml:space="preserve">g) Política de reparto de los beneficios y endeudamiento cuando se trate de un fondo colectivo; </w:t>
      </w:r>
      <w:r>
        <w:rPr>
          <w:rFonts w:eastAsia="Times New Roman"/>
          <w:sz w:val="30"/>
          <w:szCs w:val="30"/>
          <w:lang w:val="es-ES"/>
        </w:rPr>
        <w:br/>
      </w:r>
      <w:r>
        <w:rPr>
          <w:rFonts w:eastAsia="Times New Roman"/>
          <w:sz w:val="30"/>
          <w:szCs w:val="30"/>
          <w:lang w:val="es-ES"/>
        </w:rPr>
        <w:br/>
        <w:t xml:space="preserve">h) Información que deberá </w:t>
      </w:r>
      <w:r>
        <w:rPr>
          <w:rFonts w:eastAsia="Times New Roman"/>
          <w:sz w:val="30"/>
          <w:szCs w:val="30"/>
          <w:lang w:val="es-ES"/>
        </w:rPr>
        <w:t>proporcionarse a los aportantes obligatoriamente y con la periodicidad que determine el C.N.V;</w:t>
      </w:r>
      <w:r>
        <w:rPr>
          <w:rFonts w:eastAsia="Times New Roman"/>
          <w:sz w:val="30"/>
          <w:szCs w:val="30"/>
          <w:lang w:val="es-ES"/>
        </w:rPr>
        <w:br/>
      </w:r>
      <w:r>
        <w:rPr>
          <w:rFonts w:eastAsia="Times New Roman"/>
          <w:sz w:val="30"/>
          <w:szCs w:val="30"/>
          <w:lang w:val="es-ES"/>
        </w:rPr>
        <w:br/>
        <w:t xml:space="preserve">i) Normas sobre el cambio de administrador y liquidación anticipada o al término del plazo de un fondo, si se contemplare tales situaciones; </w:t>
      </w:r>
      <w:r>
        <w:rPr>
          <w:rFonts w:eastAsia="Times New Roman"/>
          <w:sz w:val="30"/>
          <w:szCs w:val="30"/>
          <w:lang w:val="es-ES"/>
        </w:rPr>
        <w:br/>
      </w:r>
      <w:r>
        <w:rPr>
          <w:rFonts w:eastAsia="Times New Roman"/>
          <w:sz w:val="30"/>
          <w:szCs w:val="30"/>
          <w:lang w:val="es-ES"/>
        </w:rPr>
        <w:br/>
        <w:t>j) Normas sobre l</w:t>
      </w:r>
      <w:r>
        <w:rPr>
          <w:rFonts w:eastAsia="Times New Roman"/>
          <w:sz w:val="30"/>
          <w:szCs w:val="30"/>
          <w:lang w:val="es-ES"/>
        </w:rPr>
        <w:t xml:space="preserve">a liquidación y entrega de rendimientos periódicos a los inversionistas aportantes, si el fondo lo previere; </w:t>
      </w:r>
      <w:r>
        <w:rPr>
          <w:rFonts w:eastAsia="Times New Roman"/>
          <w:sz w:val="30"/>
          <w:szCs w:val="30"/>
          <w:lang w:val="es-ES"/>
        </w:rPr>
        <w:br/>
      </w:r>
      <w:r>
        <w:rPr>
          <w:rFonts w:eastAsia="Times New Roman"/>
          <w:sz w:val="30"/>
          <w:szCs w:val="30"/>
          <w:lang w:val="es-ES"/>
        </w:rPr>
        <w:lastRenderedPageBreak/>
        <w:br/>
        <w:t xml:space="preserve">k) Normas relativas al retiro de los aportes cuando se trate de un fondo administrado; </w:t>
      </w:r>
      <w:r>
        <w:rPr>
          <w:rFonts w:eastAsia="Times New Roman"/>
          <w:sz w:val="30"/>
          <w:szCs w:val="30"/>
          <w:lang w:val="es-ES"/>
        </w:rPr>
        <w:br/>
      </w:r>
      <w:r>
        <w:rPr>
          <w:rFonts w:eastAsia="Times New Roman"/>
          <w:sz w:val="30"/>
          <w:szCs w:val="30"/>
          <w:lang w:val="es-ES"/>
        </w:rPr>
        <w:br/>
        <w:t>l) Normas sobre el derecho de rescate anticipado volunta</w:t>
      </w:r>
      <w:r>
        <w:rPr>
          <w:rFonts w:eastAsia="Times New Roman"/>
          <w:sz w:val="30"/>
          <w:szCs w:val="30"/>
          <w:lang w:val="es-ES"/>
        </w:rPr>
        <w:t xml:space="preserve">rio de las unidades de los fondos administrados y los casos de excepción en que procede tal rescate en los fondos colectivos; </w:t>
      </w:r>
      <w:r>
        <w:rPr>
          <w:rFonts w:eastAsia="Times New Roman"/>
          <w:sz w:val="30"/>
          <w:szCs w:val="30"/>
          <w:lang w:val="es-ES"/>
        </w:rPr>
        <w:br/>
      </w:r>
      <w:r>
        <w:rPr>
          <w:rFonts w:eastAsia="Times New Roman"/>
          <w:sz w:val="30"/>
          <w:szCs w:val="30"/>
          <w:lang w:val="es-ES"/>
        </w:rPr>
        <w:br/>
        <w:t>m) (Reformado por el Art. 41 de la Ley s/n, R.O. 249-S, 20-V-2014).- Indicación por parte de las administradoras de Fondos y Fid</w:t>
      </w:r>
      <w:r>
        <w:rPr>
          <w:rFonts w:eastAsia="Times New Roman"/>
          <w:sz w:val="30"/>
          <w:szCs w:val="30"/>
          <w:lang w:val="es-ES"/>
        </w:rPr>
        <w:t>eicomisos de que las publicaciones informativas para los aportantes serán remitidas a la Superintendencia de Compañías y Valores para ser publicadas en su página web; y,</w:t>
      </w:r>
      <w:r>
        <w:rPr>
          <w:rFonts w:eastAsia="Times New Roman"/>
          <w:sz w:val="30"/>
          <w:szCs w:val="30"/>
          <w:lang w:val="es-ES"/>
        </w:rPr>
        <w:br/>
      </w:r>
      <w:r>
        <w:rPr>
          <w:rFonts w:eastAsia="Times New Roman"/>
          <w:sz w:val="30"/>
          <w:szCs w:val="30"/>
          <w:lang w:val="es-ES"/>
        </w:rPr>
        <w:br/>
        <w:t>n) Las demás que establezca el C.N.V., mediante norma de carácter general.</w:t>
      </w:r>
    </w:p>
    <w:p w:rsidR="00000000" w:rsidRDefault="0018461E">
      <w:pPr>
        <w:divId w:val="1317806684"/>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w:t>
      </w:r>
      <w:r>
        <w:rPr>
          <w:rFonts w:eastAsia="Times New Roman"/>
          <w:b/>
          <w:bCs/>
          <w:sz w:val="30"/>
          <w:szCs w:val="30"/>
          <w:lang w:val="es-ES"/>
        </w:rPr>
        <w:t xml:space="preserve">Liquidación del fondo.- </w:t>
      </w:r>
      <w:r>
        <w:rPr>
          <w:rFonts w:eastAsia="Times New Roman"/>
          <w:sz w:val="30"/>
          <w:szCs w:val="30"/>
          <w:lang w:val="es-ES"/>
        </w:rPr>
        <w:t>Transcurridos seis meses desde la fecha de inicio de las operaciones de un fondo, su patrimonio neto no podrá representar una suma inferior a cincuenta y dos mil quinientos setenta y ocho (52.578) dólares de los Estados Unidos de Am</w:t>
      </w:r>
      <w:r>
        <w:rPr>
          <w:rFonts w:eastAsia="Times New Roman"/>
          <w:sz w:val="30"/>
          <w:szCs w:val="30"/>
          <w:lang w:val="es-ES"/>
        </w:rPr>
        <w:t>érica, ni tener menos de setenta y cinco partícipes cuando se trate de un fondo administrado.</w:t>
      </w:r>
      <w:r>
        <w:rPr>
          <w:rFonts w:eastAsia="Times New Roman"/>
          <w:sz w:val="30"/>
          <w:szCs w:val="30"/>
          <w:lang w:val="es-ES"/>
        </w:rPr>
        <w:br/>
      </w:r>
      <w:r>
        <w:rPr>
          <w:rFonts w:eastAsia="Times New Roman"/>
          <w:sz w:val="30"/>
          <w:szCs w:val="30"/>
          <w:lang w:val="es-ES"/>
        </w:rPr>
        <w:br/>
        <w:t>Si durante la vigencia del fondo, su patrimonio neto o el número de partícipes se redujere a montos inferiores a los dispuestos en el inciso anterior, la adminis</w:t>
      </w:r>
      <w:r>
        <w:rPr>
          <w:rFonts w:eastAsia="Times New Roman"/>
          <w:sz w:val="30"/>
          <w:szCs w:val="30"/>
          <w:lang w:val="es-ES"/>
        </w:rPr>
        <w:t>tradora deberá restablecer tales montos dentro de los sesenta días siguientes de acaecido este hecho y, si ello no ocurre deberá procederse a la liquidación del fondo, la que quedará a cargo de su propia administradora, o a la fusión con otro fondo de igua</w:t>
      </w:r>
      <w:r>
        <w:rPr>
          <w:rFonts w:eastAsia="Times New Roman"/>
          <w:sz w:val="30"/>
          <w:szCs w:val="30"/>
          <w:lang w:val="es-ES"/>
        </w:rPr>
        <w:t>les características, previa autorización de la Superintendencia de Compañías.</w:t>
      </w:r>
    </w:p>
    <w:p w:rsidR="00000000" w:rsidRDefault="0018461E">
      <w:pPr>
        <w:divId w:val="882401160"/>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 xml:space="preserve">Colocación y transferencia de las unidades o cuotas de los fondos.- </w:t>
      </w:r>
      <w:r>
        <w:rPr>
          <w:rFonts w:eastAsia="Times New Roman"/>
          <w:sz w:val="30"/>
          <w:szCs w:val="30"/>
          <w:lang w:val="es-ES"/>
        </w:rPr>
        <w:t>(Reformado por la Disposición Reformatoria Décima Séptima, num. 1 del Código Orgánico Monetario y Fi</w:t>
      </w:r>
      <w:r>
        <w:rPr>
          <w:rFonts w:eastAsia="Times New Roman"/>
          <w:sz w:val="30"/>
          <w:szCs w:val="30"/>
          <w:lang w:val="es-ES"/>
        </w:rPr>
        <w:t>nanciero; R.O. 332-2S, 12-IX-2014).- La venta de las unidades de participación de los fondos administrados será realizada a través de la propia administradora.</w:t>
      </w:r>
      <w:r>
        <w:rPr>
          <w:rFonts w:eastAsia="Times New Roman"/>
          <w:sz w:val="30"/>
          <w:szCs w:val="30"/>
          <w:lang w:val="es-ES"/>
        </w:rPr>
        <w:br/>
      </w:r>
      <w:r>
        <w:rPr>
          <w:rFonts w:eastAsia="Times New Roman"/>
          <w:sz w:val="30"/>
          <w:szCs w:val="30"/>
          <w:lang w:val="es-ES"/>
        </w:rPr>
        <w:br/>
        <w:t>La colocación primaria de las cuotas de los fondos colectivos se realizará a través de oferta p</w:t>
      </w:r>
      <w:r>
        <w:rPr>
          <w:rFonts w:eastAsia="Times New Roman"/>
          <w:sz w:val="30"/>
          <w:szCs w:val="30"/>
          <w:lang w:val="es-ES"/>
        </w:rPr>
        <w:t>ública.</w:t>
      </w:r>
      <w:r>
        <w:rPr>
          <w:rFonts w:eastAsia="Times New Roman"/>
          <w:sz w:val="30"/>
          <w:szCs w:val="30"/>
          <w:lang w:val="es-ES"/>
        </w:rPr>
        <w:br/>
      </w:r>
      <w:r>
        <w:rPr>
          <w:rFonts w:eastAsia="Times New Roman"/>
          <w:sz w:val="30"/>
          <w:szCs w:val="30"/>
          <w:lang w:val="es-ES"/>
        </w:rPr>
        <w:lastRenderedPageBreak/>
        <w:br/>
        <w:t>Ninguna administradora podrá efectuar la venta de las unidades o colocación de las cuotas de sus fondos, sin que el respectivo fondo se haya inscrito previamente en el Catastro Público del Mercado de Valores.</w:t>
      </w:r>
      <w:r>
        <w:rPr>
          <w:rFonts w:eastAsia="Times New Roman"/>
          <w:sz w:val="30"/>
          <w:szCs w:val="30"/>
          <w:lang w:val="es-ES"/>
        </w:rPr>
        <w:br/>
      </w:r>
      <w:r>
        <w:rPr>
          <w:rFonts w:eastAsia="Times New Roman"/>
          <w:sz w:val="30"/>
          <w:szCs w:val="30"/>
          <w:lang w:val="es-ES"/>
        </w:rPr>
        <w:br/>
        <w:t>Las transferencias de las cuotas de p</w:t>
      </w:r>
      <w:r>
        <w:rPr>
          <w:rFonts w:eastAsia="Times New Roman"/>
          <w:sz w:val="30"/>
          <w:szCs w:val="30"/>
          <w:lang w:val="es-ES"/>
        </w:rPr>
        <w:t>articipación de los fondos colectivos dentro del mercado secundario, cuando estuvieren representadas en un título, se realizarán en los mismos términos señalados en el artículo 188 de la Ley de Compañías para las transferencias de acciones y deberán inscri</w:t>
      </w:r>
      <w:r>
        <w:rPr>
          <w:rFonts w:eastAsia="Times New Roman"/>
          <w:sz w:val="30"/>
          <w:szCs w:val="30"/>
          <w:lang w:val="es-ES"/>
        </w:rPr>
        <w:t>birse en el Registro que llevará la administradora o el depósito centralizado de compensación y liquidación. Cuando dichas cuotas constaren únicamente en anotación en cuenta su transferencia se regirá a las normas previstas en esta Ley para tales casos.</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administradora no se pronunciará sobre la procedencia de la transferencia de cuotas y estará obligada a inscribir, sin más trámite las que se le presenten, siempre que se cumpla con lo dispuesto en este artículo.</w:t>
      </w:r>
      <w:r>
        <w:rPr>
          <w:rFonts w:eastAsia="Times New Roman"/>
          <w:sz w:val="30"/>
          <w:szCs w:val="30"/>
          <w:lang w:val="es-ES"/>
        </w:rPr>
        <w:br/>
      </w:r>
      <w:r>
        <w:rPr>
          <w:rFonts w:eastAsia="Times New Roman"/>
          <w:sz w:val="30"/>
          <w:szCs w:val="30"/>
          <w:lang w:val="es-ES"/>
        </w:rPr>
        <w:br/>
        <w:t>La administradora responderá de los perj</w:t>
      </w:r>
      <w:r>
        <w:rPr>
          <w:rFonts w:eastAsia="Times New Roman"/>
          <w:sz w:val="30"/>
          <w:szCs w:val="30"/>
          <w:lang w:val="es-ES"/>
        </w:rPr>
        <w:t>uicios que se deriven por el retardo injustificado de la inscripción.</w:t>
      </w:r>
    </w:p>
    <w:p w:rsidR="00000000" w:rsidRDefault="0018461E">
      <w:pPr>
        <w:divId w:val="244076361"/>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Valorización de cuotas y patrimonio.- </w:t>
      </w:r>
      <w:r>
        <w:rPr>
          <w:rFonts w:eastAsia="Times New Roman"/>
          <w:sz w:val="30"/>
          <w:szCs w:val="30"/>
          <w:lang w:val="es-ES"/>
        </w:rPr>
        <w:t>Las unidades de un fondo administrado se valorizarán diariamente, siendo la resultante de la división del valor vigente de su patrimonio n</w:t>
      </w:r>
      <w:r>
        <w:rPr>
          <w:rFonts w:eastAsia="Times New Roman"/>
          <w:sz w:val="30"/>
          <w:szCs w:val="30"/>
          <w:lang w:val="es-ES"/>
        </w:rPr>
        <w:t>eto, calculado de acuerdo a las normas de carácter general que imparta el C.N.V., por el número de unidades emitidas y pagadas al día de su cálculo.</w:t>
      </w:r>
      <w:r>
        <w:rPr>
          <w:rFonts w:eastAsia="Times New Roman"/>
          <w:sz w:val="30"/>
          <w:szCs w:val="30"/>
          <w:lang w:val="es-ES"/>
        </w:rPr>
        <w:br/>
      </w:r>
      <w:r>
        <w:rPr>
          <w:rFonts w:eastAsia="Times New Roman"/>
          <w:sz w:val="30"/>
          <w:szCs w:val="30"/>
          <w:lang w:val="es-ES"/>
        </w:rPr>
        <w:br/>
        <w:t>Para la determinación del valor del patrimonio neto del fondo, el C.N.V., deberá tener en consideración el</w:t>
      </w:r>
      <w:r>
        <w:rPr>
          <w:rFonts w:eastAsia="Times New Roman"/>
          <w:sz w:val="30"/>
          <w:szCs w:val="30"/>
          <w:lang w:val="es-ES"/>
        </w:rPr>
        <w:t xml:space="preserve"> valor de mercado o liquidación de las inversiones que lo componen, para lo cual deberá referirse básicamente a las cotizaciones de los valores que se transen en mercados públicos, a los precios de adquisición de las inversiones y a los demás valores refer</w:t>
      </w:r>
      <w:r>
        <w:rPr>
          <w:rFonts w:eastAsia="Times New Roman"/>
          <w:sz w:val="30"/>
          <w:szCs w:val="30"/>
          <w:lang w:val="es-ES"/>
        </w:rPr>
        <w:t>enciales del valor de mercado que aquél determine.</w:t>
      </w:r>
      <w:r>
        <w:rPr>
          <w:rFonts w:eastAsia="Times New Roman"/>
          <w:sz w:val="30"/>
          <w:szCs w:val="30"/>
          <w:lang w:val="es-ES"/>
        </w:rPr>
        <w:br/>
      </w:r>
      <w:r>
        <w:rPr>
          <w:rFonts w:eastAsia="Times New Roman"/>
          <w:sz w:val="30"/>
          <w:szCs w:val="30"/>
          <w:lang w:val="es-ES"/>
        </w:rPr>
        <w:br/>
        <w:t xml:space="preserve">Las inversiones ocasionales en valores que realicen los fondos colectivos deberán valorizarse de acuerdo a las mismas normas dispuestas para las inversiones de los fondos administrados y, las </w:t>
      </w:r>
      <w:r>
        <w:rPr>
          <w:rFonts w:eastAsia="Times New Roman"/>
          <w:sz w:val="30"/>
          <w:szCs w:val="30"/>
          <w:lang w:val="es-ES"/>
        </w:rPr>
        <w:lastRenderedPageBreak/>
        <w:t xml:space="preserve">adicionales </w:t>
      </w:r>
      <w:r>
        <w:rPr>
          <w:rFonts w:eastAsia="Times New Roman"/>
          <w:sz w:val="30"/>
          <w:szCs w:val="30"/>
          <w:lang w:val="es-ES"/>
        </w:rPr>
        <w:t>que señale el C.N.V., en razón de las características específicas de sus inversiones, pudiendo eximirlas de la actualización diaria por un período no superior a un año, según el tipo de inversiones que éstos mantengan.</w:t>
      </w:r>
    </w:p>
    <w:p w:rsidR="00000000" w:rsidRDefault="0018461E">
      <w:pPr>
        <w:divId w:val="1131089740"/>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 xml:space="preserve">Aportes, beneficios y retiros de aportes de fondos administrados.- </w:t>
      </w:r>
      <w:r>
        <w:rPr>
          <w:rFonts w:eastAsia="Times New Roman"/>
          <w:sz w:val="30"/>
          <w:szCs w:val="30"/>
          <w:lang w:val="es-ES"/>
        </w:rPr>
        <w:t>La calidad de partícipe de un fondo administrado, se adquiere en el momento en que la sociedad recibe el aporte del inversionista, el cual podrá efectuarse en numerario, cheque efectivizado</w:t>
      </w:r>
      <w:r>
        <w:rPr>
          <w:rFonts w:eastAsia="Times New Roman"/>
          <w:sz w:val="30"/>
          <w:szCs w:val="30"/>
          <w:lang w:val="es-ES"/>
        </w:rPr>
        <w:t xml:space="preserve"> o transferencia.</w:t>
      </w:r>
      <w:r>
        <w:rPr>
          <w:rFonts w:eastAsia="Times New Roman"/>
          <w:sz w:val="30"/>
          <w:szCs w:val="30"/>
          <w:lang w:val="es-ES"/>
        </w:rPr>
        <w:br/>
      </w:r>
      <w:r>
        <w:rPr>
          <w:rFonts w:eastAsia="Times New Roman"/>
          <w:sz w:val="30"/>
          <w:szCs w:val="30"/>
          <w:lang w:val="es-ES"/>
        </w:rPr>
        <w:br/>
        <w:t>Los aportes a un fondo administrado quedarán expresados en unidades, todas de igual valor y características y, cuyo número se determinará de acuerdo con el valor vigente de la unidad al momento de recepción del aporte. Se considerarán ac</w:t>
      </w:r>
      <w:r>
        <w:rPr>
          <w:rFonts w:eastAsia="Times New Roman"/>
          <w:sz w:val="30"/>
          <w:szCs w:val="30"/>
          <w:lang w:val="es-ES"/>
        </w:rPr>
        <w:t>tivos de fácil liquidación para todos los efectos legales y se podrán representar por certificados nominativos o por los mecanismos e instrumentos sustitutivos que autorice el C.N.V.</w:t>
      </w:r>
    </w:p>
    <w:p w:rsidR="00000000" w:rsidRDefault="0018461E">
      <w:pPr>
        <w:divId w:val="1978292326"/>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De los beneficios de los fondos administrados.- </w:t>
      </w:r>
      <w:r>
        <w:rPr>
          <w:rFonts w:eastAsia="Times New Roman"/>
          <w:sz w:val="30"/>
          <w:szCs w:val="30"/>
          <w:lang w:val="es-ES"/>
        </w:rPr>
        <w:t>El único benefi</w:t>
      </w:r>
      <w:r>
        <w:rPr>
          <w:rFonts w:eastAsia="Times New Roman"/>
          <w:sz w:val="30"/>
          <w:szCs w:val="30"/>
          <w:lang w:val="es-ES"/>
        </w:rPr>
        <w:t>cio que la inversión en un fondo administrado podrá reportar a los partícipes, será el incremento que se produzca en el valor de la unidad, como consecuencia de las variaciones experimentadas por el patrimonio del fondo. El valor que perciban los partícipe</w:t>
      </w:r>
      <w:r>
        <w:rPr>
          <w:rFonts w:eastAsia="Times New Roman"/>
          <w:sz w:val="30"/>
          <w:szCs w:val="30"/>
          <w:lang w:val="es-ES"/>
        </w:rPr>
        <w:t>s en el rescate de unidades, será el que resulte de la diferencia entre el valor de adquisición y el de rescate.</w:t>
      </w:r>
    </w:p>
    <w:p w:rsidR="00000000" w:rsidRDefault="0018461E">
      <w:pPr>
        <w:divId w:val="1660427753"/>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De los rescates.- </w:t>
      </w:r>
      <w:r>
        <w:rPr>
          <w:rFonts w:eastAsia="Times New Roman"/>
          <w:sz w:val="30"/>
          <w:szCs w:val="30"/>
          <w:lang w:val="es-ES"/>
        </w:rPr>
        <w:t>Los partícipes podrán en cualquier tiempo, rescatar total o parcialmente sus unidades</w:t>
      </w:r>
      <w:r>
        <w:rPr>
          <w:rFonts w:eastAsia="Times New Roman"/>
          <w:b/>
          <w:bCs/>
          <w:sz w:val="30"/>
          <w:szCs w:val="30"/>
          <w:lang w:val="es-ES"/>
        </w:rPr>
        <w:t xml:space="preserve"> </w:t>
      </w:r>
      <w:r>
        <w:rPr>
          <w:rFonts w:eastAsia="Times New Roman"/>
          <w:sz w:val="30"/>
          <w:szCs w:val="30"/>
          <w:lang w:val="es-ES"/>
        </w:rPr>
        <w:t>del fondo administrado, de ac</w:t>
      </w:r>
      <w:r>
        <w:rPr>
          <w:rFonts w:eastAsia="Times New Roman"/>
          <w:sz w:val="30"/>
          <w:szCs w:val="30"/>
          <w:lang w:val="es-ES"/>
        </w:rPr>
        <w:t>uerdo con lo establecido en el reglamento interno.</w:t>
      </w:r>
      <w:r>
        <w:rPr>
          <w:rFonts w:eastAsia="Times New Roman"/>
          <w:sz w:val="30"/>
          <w:szCs w:val="30"/>
          <w:lang w:val="es-ES"/>
        </w:rPr>
        <w:br/>
      </w:r>
      <w:r>
        <w:rPr>
          <w:rFonts w:eastAsia="Times New Roman"/>
          <w:sz w:val="30"/>
          <w:szCs w:val="30"/>
          <w:lang w:val="es-ES"/>
        </w:rPr>
        <w:br/>
        <w:t>El partícipe ejercerá su derecho a rescate comunicando por escrito a la sociedad administradora, la que efectuará una liquidación de acuerdo con el valor vigente de la unidad a la fecha de pago.</w:t>
      </w:r>
      <w:r>
        <w:rPr>
          <w:rFonts w:eastAsia="Times New Roman"/>
          <w:sz w:val="30"/>
          <w:szCs w:val="30"/>
          <w:lang w:val="es-ES"/>
        </w:rPr>
        <w:br/>
      </w:r>
      <w:r>
        <w:rPr>
          <w:rFonts w:eastAsia="Times New Roman"/>
          <w:sz w:val="30"/>
          <w:szCs w:val="30"/>
          <w:lang w:val="es-ES"/>
        </w:rPr>
        <w:br/>
        <w:t>Para est</w:t>
      </w:r>
      <w:r>
        <w:rPr>
          <w:rFonts w:eastAsia="Times New Roman"/>
          <w:sz w:val="30"/>
          <w:szCs w:val="30"/>
          <w:lang w:val="es-ES"/>
        </w:rPr>
        <w:t>os efectos, la administradora llevará un registro, en el que se anotarán las solicitudes de suscripción y de rescate de unidades del fondo, en el orden y forma que establezca la Superintendencia Compañías.</w:t>
      </w:r>
    </w:p>
    <w:p w:rsidR="00000000" w:rsidRDefault="0018461E">
      <w:pPr>
        <w:divId w:val="224148081"/>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w:t>
      </w:r>
      <w:r>
        <w:rPr>
          <w:rFonts w:eastAsia="Times New Roman"/>
          <w:b/>
          <w:bCs/>
          <w:sz w:val="30"/>
          <w:szCs w:val="30"/>
          <w:lang w:val="es-ES"/>
        </w:rPr>
        <w:t xml:space="preserve">Inscripción y colocación de cuotas de fondos colectivos.- </w:t>
      </w:r>
      <w:r>
        <w:rPr>
          <w:rFonts w:eastAsia="Times New Roman"/>
          <w:sz w:val="30"/>
          <w:szCs w:val="30"/>
          <w:lang w:val="es-ES"/>
        </w:rPr>
        <w:t xml:space="preserve">(Reformado por la Disposición Reformatoria Décima Séptima, num. 1 del Código Orgánico Monetario y Financiero; R.O. 332-2S, 12-IX-2014).- Las cuotas de fondos colectivos serán valores de oferta </w:t>
      </w:r>
      <w:r>
        <w:rPr>
          <w:rFonts w:eastAsia="Times New Roman"/>
          <w:sz w:val="30"/>
          <w:szCs w:val="30"/>
          <w:lang w:val="es-ES"/>
        </w:rPr>
        <w:lastRenderedPageBreak/>
        <w:t>públi</w:t>
      </w:r>
      <w:r>
        <w:rPr>
          <w:rFonts w:eastAsia="Times New Roman"/>
          <w:sz w:val="30"/>
          <w:szCs w:val="30"/>
          <w:lang w:val="es-ES"/>
        </w:rPr>
        <w:t>ca y sus emisiones se inscribirán en el Catastro Público del Mercado de Valores. El C.N.V., establecerá mediante norma de carácter general, la información y antecedentes que deberá presentar al efecto.</w:t>
      </w:r>
      <w:r>
        <w:rPr>
          <w:rFonts w:eastAsia="Times New Roman"/>
          <w:sz w:val="30"/>
          <w:szCs w:val="30"/>
          <w:lang w:val="es-ES"/>
        </w:rPr>
        <w:br/>
      </w:r>
      <w:r>
        <w:rPr>
          <w:rFonts w:eastAsia="Times New Roman"/>
          <w:sz w:val="30"/>
          <w:szCs w:val="30"/>
          <w:lang w:val="es-ES"/>
        </w:rPr>
        <w:br/>
        <w:t>El plazo para la colocación y suscripción de las cuot</w:t>
      </w:r>
      <w:r>
        <w:rPr>
          <w:rFonts w:eastAsia="Times New Roman"/>
          <w:sz w:val="30"/>
          <w:szCs w:val="30"/>
          <w:lang w:val="es-ES"/>
        </w:rPr>
        <w:t>as que emita un fondo colectivo no podrá exceder de un año desde su inscripción en el Catastro Público del Mercado de Valores.</w:t>
      </w:r>
      <w:r>
        <w:rPr>
          <w:rFonts w:eastAsia="Times New Roman"/>
          <w:sz w:val="30"/>
          <w:szCs w:val="30"/>
          <w:lang w:val="es-ES"/>
        </w:rPr>
        <w:br/>
      </w:r>
      <w:r>
        <w:rPr>
          <w:rFonts w:eastAsia="Times New Roman"/>
          <w:sz w:val="30"/>
          <w:szCs w:val="30"/>
          <w:lang w:val="es-ES"/>
        </w:rPr>
        <w:br/>
        <w:t>Previo a su colocación las cuotas de un fondo colectivo deberán registrarse en una bolsa de valores del país, manteniéndose vige</w:t>
      </w:r>
      <w:r>
        <w:rPr>
          <w:rFonts w:eastAsia="Times New Roman"/>
          <w:sz w:val="30"/>
          <w:szCs w:val="30"/>
          <w:lang w:val="es-ES"/>
        </w:rPr>
        <w:t>nte dicho registro, hasta el término de su liquidación, con el objeto de asegurar a los titulares de las mismas un adecuado y permanente mercado secundario.</w:t>
      </w:r>
    </w:p>
    <w:p w:rsidR="00000000" w:rsidRDefault="0018461E">
      <w:pPr>
        <w:divId w:val="535774537"/>
        <w:rPr>
          <w:rFonts w:eastAsia="Times New Roman"/>
          <w:sz w:val="30"/>
          <w:szCs w:val="30"/>
          <w:lang w:val="es-ES"/>
        </w:rPr>
      </w:pPr>
      <w:r>
        <w:rPr>
          <w:rFonts w:eastAsia="Times New Roman"/>
          <w:b/>
          <w:bCs/>
          <w:sz w:val="30"/>
          <w:szCs w:val="30"/>
          <w:lang w:val="es-ES"/>
        </w:rPr>
        <w:t>Art. 87.- Inversiones de los fondos.</w:t>
      </w:r>
      <w:r>
        <w:rPr>
          <w:rFonts w:eastAsia="Times New Roman"/>
          <w:sz w:val="30"/>
          <w:szCs w:val="30"/>
          <w:lang w:val="es-ES"/>
        </w:rPr>
        <w:t>- Sin perjuicio que el C.N.V., establezca mediante norma de car</w:t>
      </w:r>
      <w:r>
        <w:rPr>
          <w:rFonts w:eastAsia="Times New Roman"/>
          <w:sz w:val="30"/>
          <w:szCs w:val="30"/>
          <w:lang w:val="es-ES"/>
        </w:rPr>
        <w:t xml:space="preserve">ácter general los requerimientos de liquidez, riesgo e información financiera de los mercados y valores en los que se invertirán los recursos de los fondos, las administradoras los invertirán, conforme a los objetivos fijados en sus reglamentos internos y </w:t>
      </w:r>
      <w:r>
        <w:rPr>
          <w:rFonts w:eastAsia="Times New Roman"/>
          <w:sz w:val="30"/>
          <w:szCs w:val="30"/>
          <w:lang w:val="es-ES"/>
        </w:rPr>
        <w:t>podrán componerse de los siguientes valores y activos:</w:t>
      </w:r>
      <w:r>
        <w:rPr>
          <w:rFonts w:eastAsia="Times New Roman"/>
          <w:sz w:val="30"/>
          <w:szCs w:val="30"/>
          <w:lang w:val="es-ES"/>
        </w:rPr>
        <w:br/>
      </w:r>
      <w:r>
        <w:rPr>
          <w:rFonts w:eastAsia="Times New Roman"/>
          <w:sz w:val="30"/>
          <w:szCs w:val="30"/>
          <w:lang w:val="es-ES"/>
        </w:rPr>
        <w:br/>
        <w:t>a) (Reformado por la Disposición Reformatoria Décima Séptima, num. 1 del Código Orgánico Monetario y Financiero; R.O. 332-2S, 12-IX-2014).- Valores inscritos en el Catastro Público del Mercado de Valo</w:t>
      </w:r>
      <w:r>
        <w:rPr>
          <w:rFonts w:eastAsia="Times New Roman"/>
          <w:sz w:val="30"/>
          <w:szCs w:val="30"/>
          <w:lang w:val="es-ES"/>
        </w:rPr>
        <w:t xml:space="preserve">res; </w:t>
      </w:r>
      <w:r>
        <w:rPr>
          <w:rFonts w:eastAsia="Times New Roman"/>
          <w:sz w:val="30"/>
          <w:szCs w:val="30"/>
          <w:lang w:val="es-ES"/>
        </w:rPr>
        <w:br/>
      </w:r>
      <w:r>
        <w:rPr>
          <w:rFonts w:eastAsia="Times New Roman"/>
          <w:sz w:val="30"/>
          <w:szCs w:val="30"/>
          <w:lang w:val="es-ES"/>
        </w:rPr>
        <w:br/>
        <w:t xml:space="preserve">b) Valores crediticios o contentivos de obligaciones numerarias a cargo del Estado o del Banco Central del Ecuador; </w:t>
      </w:r>
      <w:r>
        <w:rPr>
          <w:rFonts w:eastAsia="Times New Roman"/>
          <w:sz w:val="30"/>
          <w:szCs w:val="30"/>
          <w:lang w:val="es-ES"/>
        </w:rPr>
        <w:br/>
      </w:r>
      <w:r>
        <w:rPr>
          <w:rFonts w:eastAsia="Times New Roman"/>
          <w:sz w:val="30"/>
          <w:szCs w:val="30"/>
          <w:lang w:val="es-ES"/>
        </w:rPr>
        <w:br/>
        <w:t>c) (Reformado por la Disposición Reformatoria Décima Séptima, num. 1 del Código Orgánico Monetario y Financiero; R.O. 332-2S, 12-IX</w:t>
      </w:r>
      <w:r>
        <w:rPr>
          <w:rFonts w:eastAsia="Times New Roman"/>
          <w:sz w:val="30"/>
          <w:szCs w:val="30"/>
          <w:lang w:val="es-ES"/>
        </w:rPr>
        <w:t>-2014).- Depósitos a la vista o a plazo fijo en instituciones del sistema financiero controladas por la Superintendencia de Bancos y Seguros y demás valores crediticios o contentivos de obligaciones numerarias a cargo de, avalados por o garantizados por el</w:t>
      </w:r>
      <w:r>
        <w:rPr>
          <w:rFonts w:eastAsia="Times New Roman"/>
          <w:sz w:val="30"/>
          <w:szCs w:val="30"/>
          <w:lang w:val="es-ES"/>
        </w:rPr>
        <w:t xml:space="preserve">las, inscritos en el Catastro Público del Mercado de Valores; </w:t>
      </w:r>
      <w:r>
        <w:rPr>
          <w:rFonts w:eastAsia="Times New Roman"/>
          <w:sz w:val="30"/>
          <w:szCs w:val="30"/>
          <w:lang w:val="es-ES"/>
        </w:rPr>
        <w:br/>
      </w:r>
      <w:r>
        <w:rPr>
          <w:rFonts w:eastAsia="Times New Roman"/>
          <w:sz w:val="30"/>
          <w:szCs w:val="30"/>
          <w:lang w:val="es-ES"/>
        </w:rPr>
        <w:br/>
        <w:t>d) Valores emitidos por compañías extranjeras y transados en las bolsas de valores de terceros países o que se encuentren registrados por la autoridad reguladora competente del país de origen;</w:t>
      </w:r>
      <w:r>
        <w:rPr>
          <w:rFonts w:eastAsia="Times New Roman"/>
          <w:sz w:val="30"/>
          <w:szCs w:val="30"/>
          <w:lang w:val="es-ES"/>
        </w:rPr>
        <w:t xml:space="preserve"> y, </w:t>
      </w:r>
      <w:r>
        <w:rPr>
          <w:rFonts w:eastAsia="Times New Roman"/>
          <w:sz w:val="30"/>
          <w:szCs w:val="30"/>
          <w:lang w:val="es-ES"/>
        </w:rPr>
        <w:br/>
      </w:r>
      <w:r>
        <w:rPr>
          <w:rFonts w:eastAsia="Times New Roman"/>
          <w:sz w:val="30"/>
          <w:szCs w:val="30"/>
          <w:lang w:val="es-ES"/>
        </w:rPr>
        <w:lastRenderedPageBreak/>
        <w:br/>
        <w:t>e) Otros valores o contratos que autorice el C.N.V., en razón de su negociación en mercados públicos e informados.</w:t>
      </w:r>
      <w:r>
        <w:rPr>
          <w:rFonts w:eastAsia="Times New Roman"/>
          <w:sz w:val="30"/>
          <w:szCs w:val="30"/>
          <w:lang w:val="es-ES"/>
        </w:rPr>
        <w:br/>
      </w:r>
      <w:r>
        <w:rPr>
          <w:rFonts w:eastAsia="Times New Roman"/>
          <w:sz w:val="30"/>
          <w:szCs w:val="30"/>
          <w:lang w:val="es-ES"/>
        </w:rPr>
        <w:br/>
        <w:t xml:space="preserve">Los recursos de los fondos colectivos se podrán también invertir en: </w:t>
      </w:r>
      <w:r>
        <w:rPr>
          <w:rFonts w:eastAsia="Times New Roman"/>
          <w:sz w:val="30"/>
          <w:szCs w:val="30"/>
          <w:lang w:val="es-ES"/>
        </w:rPr>
        <w:br/>
      </w:r>
      <w:r>
        <w:rPr>
          <w:rFonts w:eastAsia="Times New Roman"/>
          <w:sz w:val="30"/>
          <w:szCs w:val="30"/>
          <w:lang w:val="es-ES"/>
        </w:rPr>
        <w:br/>
        <w:t>1. (Reformado por la Disposición Reformatoria Décima Séptima, n</w:t>
      </w:r>
      <w:r>
        <w:rPr>
          <w:rFonts w:eastAsia="Times New Roman"/>
          <w:sz w:val="30"/>
          <w:szCs w:val="30"/>
          <w:lang w:val="es-ES"/>
        </w:rPr>
        <w:t xml:space="preserve">um. 1 del Código Orgánico Monetario y Financiero; R.O. 332-2S, 12-IX-2014).- Acciones y obligaciones de compañías constituidas en el Ecuador y, no inscritas en el Catastro Público del Mercado de Valores; </w:t>
      </w:r>
      <w:r>
        <w:rPr>
          <w:rFonts w:eastAsia="Times New Roman"/>
          <w:sz w:val="30"/>
          <w:szCs w:val="30"/>
          <w:lang w:val="es-ES"/>
        </w:rPr>
        <w:br/>
      </w:r>
      <w:r>
        <w:rPr>
          <w:rFonts w:eastAsia="Times New Roman"/>
          <w:sz w:val="30"/>
          <w:szCs w:val="30"/>
          <w:lang w:val="es-ES"/>
        </w:rPr>
        <w:br/>
        <w:t>2. Acciones y obligaciones negociables de compañía</w:t>
      </w:r>
      <w:r>
        <w:rPr>
          <w:rFonts w:eastAsia="Times New Roman"/>
          <w:sz w:val="30"/>
          <w:szCs w:val="30"/>
          <w:lang w:val="es-ES"/>
        </w:rPr>
        <w:t xml:space="preserve">s extranjeras, que no coticen en bolsa u otros mercados públicos; </w:t>
      </w:r>
      <w:r>
        <w:rPr>
          <w:rFonts w:eastAsia="Times New Roman"/>
          <w:sz w:val="30"/>
          <w:szCs w:val="30"/>
          <w:lang w:val="es-ES"/>
        </w:rPr>
        <w:br/>
      </w:r>
      <w:r>
        <w:rPr>
          <w:rFonts w:eastAsia="Times New Roman"/>
          <w:sz w:val="30"/>
          <w:szCs w:val="30"/>
          <w:lang w:val="es-ES"/>
        </w:rPr>
        <w:br/>
        <w:t>3. (Sustituido por el lit. g) del num. 13 de la Ley s/n, R.O. 986-S, 18-IV-2017).- Bienes raíces ubicados en territorio nacional.</w:t>
      </w:r>
      <w:r>
        <w:rPr>
          <w:rFonts w:eastAsia="Times New Roman"/>
          <w:sz w:val="30"/>
          <w:szCs w:val="30"/>
          <w:lang w:val="es-ES"/>
        </w:rPr>
        <w:br/>
      </w:r>
      <w:r>
        <w:rPr>
          <w:rFonts w:eastAsia="Times New Roman"/>
          <w:sz w:val="30"/>
          <w:szCs w:val="30"/>
          <w:lang w:val="es-ES"/>
        </w:rPr>
        <w:br/>
        <w:t>4. Acciones de compañías que desarrollen proyectos produc</w:t>
      </w:r>
      <w:r>
        <w:rPr>
          <w:rFonts w:eastAsia="Times New Roman"/>
          <w:sz w:val="30"/>
          <w:szCs w:val="30"/>
          <w:lang w:val="es-ES"/>
        </w:rPr>
        <w:t>tivos específicos.</w:t>
      </w:r>
      <w:r>
        <w:rPr>
          <w:rFonts w:eastAsia="Times New Roman"/>
          <w:sz w:val="30"/>
          <w:szCs w:val="30"/>
          <w:lang w:val="es-ES"/>
        </w:rPr>
        <w:br/>
      </w:r>
      <w:r>
        <w:rPr>
          <w:rFonts w:eastAsia="Times New Roman"/>
          <w:sz w:val="30"/>
          <w:szCs w:val="30"/>
          <w:lang w:val="es-ES"/>
        </w:rPr>
        <w:br/>
        <w:t>El C.N.V. podrá requerir a los fondos, mediante norma de carácter general, la utilización en su denominación de términos específicos que permitan identificar el objeto principal del fondo, en relación al tipo de inversiones que pretenda</w:t>
      </w:r>
      <w:r>
        <w:rPr>
          <w:rFonts w:eastAsia="Times New Roman"/>
          <w:sz w:val="30"/>
          <w:szCs w:val="30"/>
          <w:lang w:val="es-ES"/>
        </w:rPr>
        <w:t xml:space="preserve"> realizar.</w:t>
      </w:r>
    </w:p>
    <w:p w:rsidR="00000000" w:rsidRDefault="0018461E">
      <w:pPr>
        <w:divId w:val="256141076"/>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Límites a la inversión de los fondos.</w:t>
      </w:r>
      <w:r>
        <w:rPr>
          <w:rFonts w:eastAsia="Times New Roman"/>
          <w:sz w:val="30"/>
          <w:szCs w:val="30"/>
          <w:lang w:val="es-ES"/>
        </w:rPr>
        <w:t>- La inversión en instrumentos o valores emitidos, aceptados, avalados o garantizados por una misma entidad, no podrá exceder del veinte por ciento del activo total de un fondo y la inversión en ins</w:t>
      </w:r>
      <w:r>
        <w:rPr>
          <w:rFonts w:eastAsia="Times New Roman"/>
          <w:sz w:val="30"/>
          <w:szCs w:val="30"/>
          <w:lang w:val="es-ES"/>
        </w:rPr>
        <w:t>trumentos o valores emitidos, aceptados, avalados o garantizados por empresas vinculadas no podrá exceder del treinta por ciento del patrimonio de cada fondo.</w:t>
      </w:r>
      <w:r>
        <w:rPr>
          <w:rFonts w:eastAsia="Times New Roman"/>
          <w:sz w:val="30"/>
          <w:szCs w:val="30"/>
          <w:lang w:val="es-ES"/>
        </w:rPr>
        <w:br/>
      </w:r>
      <w:r>
        <w:rPr>
          <w:rFonts w:eastAsia="Times New Roman"/>
          <w:sz w:val="30"/>
          <w:szCs w:val="30"/>
          <w:lang w:val="es-ES"/>
        </w:rPr>
        <w:br/>
        <w:t>La inversión en el conjunto de instrumentos emitidos, aceptados, avalados o garantizados por com</w:t>
      </w:r>
      <w:r>
        <w:rPr>
          <w:rFonts w:eastAsia="Times New Roman"/>
          <w:sz w:val="30"/>
          <w:szCs w:val="30"/>
          <w:lang w:val="es-ES"/>
        </w:rPr>
        <w:t>pañías o empresas vinculadas a la administradora, no podrá exceder del quince por ciento del patrimonio del fondo, excepto las inversiones en fondos colectivos, que podrán llegar hasta un treinta por ciento del patrimonio del fondo.</w:t>
      </w:r>
      <w:r>
        <w:rPr>
          <w:rFonts w:eastAsia="Times New Roman"/>
          <w:sz w:val="30"/>
          <w:szCs w:val="30"/>
          <w:lang w:val="es-ES"/>
        </w:rPr>
        <w:br/>
      </w:r>
      <w:r>
        <w:rPr>
          <w:rFonts w:eastAsia="Times New Roman"/>
          <w:sz w:val="30"/>
          <w:szCs w:val="30"/>
          <w:lang w:val="es-ES"/>
        </w:rPr>
        <w:br/>
        <w:t xml:space="preserve">Se exceptúan de estos </w:t>
      </w:r>
      <w:r>
        <w:rPr>
          <w:rFonts w:eastAsia="Times New Roman"/>
          <w:sz w:val="30"/>
          <w:szCs w:val="30"/>
          <w:lang w:val="es-ES"/>
        </w:rPr>
        <w:t>límites las inversiones en valores emitidos por el Banco Central del Ecuador y el Ministerio de Economía y Finanzas.</w:t>
      </w:r>
      <w:r>
        <w:rPr>
          <w:rFonts w:eastAsia="Times New Roman"/>
          <w:sz w:val="30"/>
          <w:szCs w:val="30"/>
          <w:lang w:val="es-ES"/>
        </w:rPr>
        <w:br/>
      </w:r>
      <w:r>
        <w:rPr>
          <w:rFonts w:eastAsia="Times New Roman"/>
          <w:sz w:val="30"/>
          <w:szCs w:val="30"/>
          <w:lang w:val="es-ES"/>
        </w:rPr>
        <w:lastRenderedPageBreak/>
        <w:br/>
        <w:t xml:space="preserve">Las disposiciones de los incisos primero y segundo de este artículo, no se aplicarán para el caso de que las inversiones del fondo tengan </w:t>
      </w:r>
      <w:r>
        <w:rPr>
          <w:rFonts w:eastAsia="Times New Roman"/>
          <w:sz w:val="30"/>
          <w:szCs w:val="30"/>
          <w:lang w:val="es-ES"/>
        </w:rPr>
        <w:t>por finalidad invertir en bienes inmuebles situados en el país o acciones de compañías que desarrollen proyectos productivos específicos.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Debido a la reforma establecida por el D.E. 854 (R.O. 253, 16-I-2008) al Art. 16 del Estatuto del Régimen Juríd</w:t>
      </w:r>
      <w:r>
        <w:rPr>
          <w:rFonts w:eastAsia="Times New Roman"/>
          <w:i/>
          <w:iCs/>
          <w:sz w:val="30"/>
          <w:szCs w:val="30"/>
          <w:lang w:val="es-ES"/>
        </w:rPr>
        <w:t>ico Administrativo de la Función Ejecutiva, la denominación del Ministerio de Economía y Finanzas fue sustituida por la de Ministerio de Finanzas.</w:t>
      </w:r>
    </w:p>
    <w:p w:rsidR="00000000" w:rsidRDefault="0018461E">
      <w:pPr>
        <w:divId w:val="435832783"/>
        <w:rPr>
          <w:rFonts w:eastAsia="Times New Roman"/>
          <w:sz w:val="30"/>
          <w:szCs w:val="30"/>
          <w:lang w:val="es-ES"/>
        </w:rPr>
      </w:pPr>
      <w:r>
        <w:rPr>
          <w:rFonts w:eastAsia="Times New Roman"/>
          <w:b/>
          <w:bCs/>
          <w:sz w:val="30"/>
          <w:szCs w:val="30"/>
          <w:lang w:val="es-ES"/>
        </w:rPr>
        <w:t xml:space="preserve">Art. 89.- De las inversiones en acciones.- </w:t>
      </w:r>
      <w:r>
        <w:rPr>
          <w:rFonts w:eastAsia="Times New Roman"/>
          <w:sz w:val="30"/>
          <w:szCs w:val="30"/>
          <w:lang w:val="es-ES"/>
        </w:rPr>
        <w:t xml:space="preserve">(Reformado por la Disposición Reformatoria Décima Séptima, num. 1 </w:t>
      </w:r>
      <w:r>
        <w:rPr>
          <w:rFonts w:eastAsia="Times New Roman"/>
          <w:sz w:val="30"/>
          <w:szCs w:val="30"/>
          <w:lang w:val="es-ES"/>
        </w:rPr>
        <w:t xml:space="preserve">del Código Orgánico Monetario y Financiero; R.O. 332-2S, 12-IX-2014).- En el caso de inversiones en acciones de sociedades anónimas inscritas en el Catastro Público del Mercado de Valores, el fondo no podrá poseer más del quince por ciento de las acciones </w:t>
      </w:r>
      <w:r>
        <w:rPr>
          <w:rFonts w:eastAsia="Times New Roman"/>
          <w:sz w:val="30"/>
          <w:szCs w:val="30"/>
          <w:lang w:val="es-ES"/>
        </w:rPr>
        <w:t>suscritas y pagadas por una misma sociedad; y, el conjunto de inversiones en valores emitidos o garantizados por una misma sociedad de este tipo, no podrá exceder del quince por ciento del activo total de dicha emisora.</w:t>
      </w:r>
      <w:r>
        <w:rPr>
          <w:rFonts w:eastAsia="Times New Roman"/>
          <w:sz w:val="30"/>
          <w:szCs w:val="30"/>
          <w:lang w:val="es-ES"/>
        </w:rPr>
        <w:br/>
      </w:r>
      <w:r>
        <w:rPr>
          <w:rFonts w:eastAsia="Times New Roman"/>
          <w:sz w:val="30"/>
          <w:szCs w:val="30"/>
          <w:lang w:val="es-ES"/>
        </w:rPr>
        <w:br/>
        <w:t>Tratándose de inversiones en accion</w:t>
      </w:r>
      <w:r>
        <w:rPr>
          <w:rFonts w:eastAsia="Times New Roman"/>
          <w:sz w:val="30"/>
          <w:szCs w:val="30"/>
          <w:lang w:val="es-ES"/>
        </w:rPr>
        <w:t>es de sociedades de capital no inscritas, el fondo colectivo no podrá poseer más del treinta por ciento de las acciones suscritas y pagadas de dicha sociedad; salvo que se trate de sociedades que tengan como inversión principal, de acuerdo a lo que determi</w:t>
      </w:r>
      <w:r>
        <w:rPr>
          <w:rFonts w:eastAsia="Times New Roman"/>
          <w:sz w:val="30"/>
          <w:szCs w:val="30"/>
          <w:lang w:val="es-ES"/>
        </w:rPr>
        <w:t>ne la Superintendencia de Compañías, uno o más bienes inmuebles o proyectos productivos específicos. El conjunto de inversiones en valores emitidos o garantizados por una misma sociedad no inscrita en el Catastro Público del Mercado de Valores, no podrá se</w:t>
      </w:r>
      <w:r>
        <w:rPr>
          <w:rFonts w:eastAsia="Times New Roman"/>
          <w:sz w:val="30"/>
          <w:szCs w:val="30"/>
          <w:lang w:val="es-ES"/>
        </w:rPr>
        <w:t>r superior al treinta por ciento del activo total de dicha emisora.</w:t>
      </w:r>
    </w:p>
    <w:p w:rsidR="00000000" w:rsidRDefault="0018461E">
      <w:pPr>
        <w:divId w:val="1858346934"/>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De los límites para inversión de los fondos que administre una misma administradora.</w:t>
      </w:r>
      <w:r>
        <w:rPr>
          <w:rFonts w:eastAsia="Times New Roman"/>
          <w:sz w:val="30"/>
          <w:szCs w:val="30"/>
          <w:lang w:val="es-ES"/>
        </w:rPr>
        <w:t>- En caso de que una sociedad administre más de un fondo las inversiones de éstos, en conjunto</w:t>
      </w:r>
      <w:r>
        <w:rPr>
          <w:rFonts w:eastAsia="Times New Roman"/>
          <w:sz w:val="30"/>
          <w:szCs w:val="30"/>
          <w:lang w:val="es-ES"/>
        </w:rPr>
        <w:t xml:space="preserve">, no podrán exceder de los límites señalados en los artículos 88 y 89 de esta Ley. Así mismo, en caso de que dos o más administradoras pertenezcan a un mismo grupo de empresas vinculadas, las inversiones de los fondos administrados por éstas, en conjunto, </w:t>
      </w:r>
      <w:r>
        <w:rPr>
          <w:rFonts w:eastAsia="Times New Roman"/>
          <w:sz w:val="30"/>
          <w:szCs w:val="30"/>
          <w:lang w:val="es-ES"/>
        </w:rPr>
        <w:t>no podrán exceder los límites señalados en dichos artículos.</w:t>
      </w:r>
    </w:p>
    <w:p w:rsidR="00000000" w:rsidRDefault="0018461E">
      <w:pPr>
        <w:divId w:val="337773710"/>
        <w:rPr>
          <w:rFonts w:eastAsia="Times New Roman"/>
          <w:sz w:val="30"/>
          <w:szCs w:val="30"/>
          <w:lang w:val="es-ES"/>
        </w:rPr>
      </w:pPr>
      <w:r>
        <w:rPr>
          <w:rFonts w:eastAsia="Times New Roman"/>
          <w:sz w:val="30"/>
          <w:szCs w:val="30"/>
          <w:lang w:val="es-ES"/>
        </w:rPr>
        <w:lastRenderedPageBreak/>
        <w:t xml:space="preserve">Art. 91.- </w:t>
      </w:r>
      <w:r>
        <w:rPr>
          <w:rFonts w:eastAsia="Times New Roman"/>
          <w:b/>
          <w:bCs/>
          <w:sz w:val="30"/>
          <w:szCs w:val="30"/>
          <w:lang w:val="es-ES"/>
        </w:rPr>
        <w:t>De la regularización de inversiones no autorizadas.</w:t>
      </w:r>
      <w:r>
        <w:rPr>
          <w:rFonts w:eastAsia="Times New Roman"/>
          <w:sz w:val="30"/>
          <w:szCs w:val="30"/>
          <w:lang w:val="es-ES"/>
        </w:rPr>
        <w:t xml:space="preserve">- (Reformado por el Art. 42 de la Ley s/n, R.O. 249-S, 20-V-2014; y, reformado por la Disposición Reformatoria Décima Séptima, num. 2 </w:t>
      </w:r>
      <w:r>
        <w:rPr>
          <w:rFonts w:eastAsia="Times New Roman"/>
          <w:sz w:val="30"/>
          <w:szCs w:val="30"/>
          <w:lang w:val="es-ES"/>
        </w:rPr>
        <w:t xml:space="preserve">del Código Orgánico Monetario y Financiero; R.O. 332-2S, 12-IX-2014).- Si a consecuencia de liquidaciones, repartos de capital o por causa justificada, a juicio de la Superintendencia de Compañías, un fondo colectivo recibiere en pago o mantuviere valores </w:t>
      </w:r>
      <w:r>
        <w:rPr>
          <w:rFonts w:eastAsia="Times New Roman"/>
          <w:sz w:val="30"/>
          <w:szCs w:val="30"/>
          <w:lang w:val="es-ES"/>
        </w:rPr>
        <w:t>o bienes cuya inversión no se ajuste a lo establecido en esta Ley o en sus normas complementarias, la administradora comunicará esta situación, dentro de los dos días hábiles siguientes de que hubiere ocurrido, a fin de que la Superintendencia de Compañías</w:t>
      </w:r>
      <w:r>
        <w:rPr>
          <w:rFonts w:eastAsia="Times New Roman"/>
          <w:sz w:val="30"/>
          <w:szCs w:val="30"/>
          <w:lang w:val="es-ES"/>
        </w:rPr>
        <w:t xml:space="preserve"> determine si el procedimiento, de evaluación, es el adecuado. En todo caso, estos bienes deberán ser enajenados dentro de los sesenta días contados desde su adquisición, salvo que por resolución fundamentada, la Superintendencia de Compañías, prorrogue ha</w:t>
      </w:r>
      <w:r>
        <w:rPr>
          <w:rFonts w:eastAsia="Times New Roman"/>
          <w:sz w:val="30"/>
          <w:szCs w:val="30"/>
          <w:lang w:val="es-ES"/>
        </w:rPr>
        <w:t>sta por treinta días, por una sola vez.</w:t>
      </w:r>
      <w:r>
        <w:rPr>
          <w:rFonts w:eastAsia="Times New Roman"/>
          <w:sz w:val="30"/>
          <w:szCs w:val="30"/>
          <w:lang w:val="es-ES"/>
        </w:rPr>
        <w:br/>
      </w:r>
      <w:r>
        <w:rPr>
          <w:rFonts w:eastAsia="Times New Roman"/>
          <w:sz w:val="30"/>
          <w:szCs w:val="30"/>
          <w:lang w:val="es-ES"/>
        </w:rPr>
        <w:br/>
        <w:t>Para el caso de los fondos administrados, si como producto de las operaciones de un fondo administrado, se excedieren los límites previstos en esta Ley y sus normas complementarias, la administradora deberá informar</w:t>
      </w:r>
      <w:r>
        <w:rPr>
          <w:rFonts w:eastAsia="Times New Roman"/>
          <w:sz w:val="30"/>
          <w:szCs w:val="30"/>
          <w:lang w:val="es-ES"/>
        </w:rPr>
        <w:t xml:space="preserve"> por escrito a la Superintendencia de Compañías dentro de los dos días hábiles siguientes y, dispondrá de un plazo de quince días para regularizar su situación. En caso de existir motivo justificado para dicho incumplimiento, la Superintendencia de Compañí</w:t>
      </w:r>
      <w:r>
        <w:rPr>
          <w:rFonts w:eastAsia="Times New Roman"/>
          <w:sz w:val="30"/>
          <w:szCs w:val="30"/>
          <w:lang w:val="es-ES"/>
        </w:rPr>
        <w:t>as podrá prorrogarlo hasta por un plazo máximo de cuarenta y cinco días.</w:t>
      </w:r>
      <w:r>
        <w:rPr>
          <w:rFonts w:eastAsia="Times New Roman"/>
          <w:sz w:val="30"/>
          <w:szCs w:val="30"/>
          <w:lang w:val="es-ES"/>
        </w:rPr>
        <w:br/>
      </w:r>
      <w:r>
        <w:rPr>
          <w:rFonts w:eastAsia="Times New Roman"/>
          <w:sz w:val="30"/>
          <w:szCs w:val="30"/>
          <w:lang w:val="es-ES"/>
        </w:rPr>
        <w:br/>
        <w:t>En caso de que no se regularicen los límites de inversión previstos en los artículos 88 y 89 en los plazos establecidos, el fondo deberá liquidarse de acuerdo con las normas que esta</w:t>
      </w:r>
      <w:r>
        <w:rPr>
          <w:rFonts w:eastAsia="Times New Roman"/>
          <w:sz w:val="30"/>
          <w:szCs w:val="30"/>
          <w:lang w:val="es-ES"/>
        </w:rPr>
        <w:t>blezca la Junta de Política y Regulación Monetaria y Financiera para el efecto.</w:t>
      </w:r>
      <w:r>
        <w:rPr>
          <w:rFonts w:eastAsia="Times New Roman"/>
          <w:sz w:val="30"/>
          <w:szCs w:val="30"/>
          <w:lang w:val="es-ES"/>
        </w:rPr>
        <w:br/>
      </w:r>
      <w:r>
        <w:rPr>
          <w:rFonts w:eastAsia="Times New Roman"/>
          <w:sz w:val="30"/>
          <w:szCs w:val="30"/>
          <w:lang w:val="es-ES"/>
        </w:rPr>
        <w:br/>
        <w:t>La reincidencia en los incumplimientos, respecto de los límites de inversión, será causal de intervención de la Administradora de Fondos y Fideicomisos.</w:t>
      </w:r>
    </w:p>
    <w:p w:rsidR="00000000" w:rsidRDefault="0018461E">
      <w:pPr>
        <w:divId w:val="959189929"/>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Gravámenes y</w:t>
      </w:r>
      <w:r>
        <w:rPr>
          <w:rFonts w:eastAsia="Times New Roman"/>
          <w:b/>
          <w:bCs/>
          <w:sz w:val="30"/>
          <w:szCs w:val="30"/>
          <w:lang w:val="es-ES"/>
        </w:rPr>
        <w:t xml:space="preserve"> restricciones.- </w:t>
      </w:r>
      <w:r>
        <w:rPr>
          <w:rFonts w:eastAsia="Times New Roman"/>
          <w:sz w:val="30"/>
          <w:szCs w:val="30"/>
          <w:lang w:val="es-ES"/>
        </w:rPr>
        <w:t>Los bienes y valores que integren el activo del fondo deben ser libres de todo gravamen o limitación de dominio, salvo que se trate de bienes y valores de fondos colectivos que tengan por objeto garantizar obligaciones propias del fondo.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pasivos exigibles que mantenga un fondo administrado, serán de aquéllos que autorice la Superintendencia de Compañías, en razón de los compromisos adquiridos con proveedores de servicios a cargo del fondo, los propios de las operaciones con los valores</w:t>
      </w:r>
      <w:r>
        <w:rPr>
          <w:rFonts w:eastAsia="Times New Roman"/>
          <w:sz w:val="30"/>
          <w:szCs w:val="30"/>
          <w:lang w:val="es-ES"/>
        </w:rPr>
        <w:t xml:space="preserve"> en que éste invierte y las obligaciones por remuneraciones de su administradora.</w:t>
      </w:r>
      <w:r>
        <w:rPr>
          <w:rFonts w:eastAsia="Times New Roman"/>
          <w:sz w:val="30"/>
          <w:szCs w:val="30"/>
          <w:lang w:val="es-ES"/>
        </w:rPr>
        <w:br/>
      </w:r>
      <w:r>
        <w:rPr>
          <w:rFonts w:eastAsia="Times New Roman"/>
          <w:sz w:val="30"/>
          <w:szCs w:val="30"/>
          <w:lang w:val="es-ES"/>
        </w:rPr>
        <w:br/>
        <w:t>La cuantía y tipo de pasivos exigibles que pueda asumir un fondo colectivo deberán establecerse en su reglamento interno.</w:t>
      </w:r>
    </w:p>
    <w:p w:rsidR="00000000" w:rsidRDefault="0018461E">
      <w:pPr>
        <w:divId w:val="1165048189"/>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Del procedimiento de inversión.- </w:t>
      </w:r>
      <w:r>
        <w:rPr>
          <w:rFonts w:eastAsia="Times New Roman"/>
          <w:sz w:val="30"/>
          <w:szCs w:val="30"/>
          <w:lang w:val="es-ES"/>
        </w:rPr>
        <w:t>Además d</w:t>
      </w:r>
      <w:r>
        <w:rPr>
          <w:rFonts w:eastAsia="Times New Roman"/>
          <w:sz w:val="30"/>
          <w:szCs w:val="30"/>
          <w:lang w:val="es-ES"/>
        </w:rPr>
        <w:t>e las normas previstas en esta Ley para mercado primario y secundario y, las que expida el C.N.V., para el efecto, las inversiones de los fondos deberán sujetar se a las siguientes reglas:</w:t>
      </w:r>
      <w:r>
        <w:rPr>
          <w:rFonts w:eastAsia="Times New Roman"/>
          <w:sz w:val="30"/>
          <w:szCs w:val="30"/>
          <w:lang w:val="es-ES"/>
        </w:rPr>
        <w:br/>
      </w:r>
      <w:r>
        <w:rPr>
          <w:rFonts w:eastAsia="Times New Roman"/>
          <w:sz w:val="30"/>
          <w:szCs w:val="30"/>
          <w:lang w:val="es-ES"/>
        </w:rPr>
        <w:br/>
        <w:t>a) Las operaciones entre fondos de una misma sociedad administrado</w:t>
      </w:r>
      <w:r>
        <w:rPr>
          <w:rFonts w:eastAsia="Times New Roman"/>
          <w:sz w:val="30"/>
          <w:szCs w:val="30"/>
          <w:lang w:val="es-ES"/>
        </w:rPr>
        <w:t xml:space="preserve">ra de fondos, obligatoriamente deben negociarse a través de bolsa; </w:t>
      </w:r>
      <w:r>
        <w:rPr>
          <w:rFonts w:eastAsia="Times New Roman"/>
          <w:sz w:val="30"/>
          <w:szCs w:val="30"/>
          <w:lang w:val="es-ES"/>
        </w:rPr>
        <w:br/>
      </w:r>
      <w:r>
        <w:rPr>
          <w:rFonts w:eastAsia="Times New Roman"/>
          <w:sz w:val="30"/>
          <w:szCs w:val="30"/>
          <w:lang w:val="es-ES"/>
        </w:rPr>
        <w:br/>
        <w:t>b) Las adquisiciones o enajenaciones de bienes inmuebles por montos iguales o superiores al cinco por ciento del activo total del fondo, deberán sustentarse con dos avalúos de peritos ind</w:t>
      </w:r>
      <w:r>
        <w:rPr>
          <w:rFonts w:eastAsia="Times New Roman"/>
          <w:sz w:val="30"/>
          <w:szCs w:val="30"/>
          <w:lang w:val="es-ES"/>
        </w:rPr>
        <w:t xml:space="preserve">ependientes no relacionados con la administradora; y, </w:t>
      </w:r>
      <w:r>
        <w:rPr>
          <w:rFonts w:eastAsia="Times New Roman"/>
          <w:sz w:val="30"/>
          <w:szCs w:val="30"/>
          <w:lang w:val="es-ES"/>
        </w:rPr>
        <w:br/>
      </w:r>
      <w:r>
        <w:rPr>
          <w:rFonts w:eastAsia="Times New Roman"/>
          <w:sz w:val="30"/>
          <w:szCs w:val="30"/>
          <w:lang w:val="es-ES"/>
        </w:rPr>
        <w:br/>
        <w:t>c) Las transacciones de los demás valores y bienes del fondo deberán ajustarse a los precios que habitualmente prevalecen en el mercado, en caso de existir una referencia y, a falta de ésta, deberán f</w:t>
      </w:r>
      <w:r>
        <w:rPr>
          <w:rFonts w:eastAsia="Times New Roman"/>
          <w:sz w:val="30"/>
          <w:szCs w:val="30"/>
          <w:lang w:val="es-ES"/>
        </w:rPr>
        <w:t>undamentarse en estudios de valorización económica de esas inversiones.</w:t>
      </w:r>
    </w:p>
    <w:p w:rsidR="00000000" w:rsidRDefault="0018461E">
      <w:pPr>
        <w:divId w:val="287861647"/>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Asambleas y comité de vigilancia de los aportantes de los fondos colectivos.</w:t>
      </w:r>
      <w:r>
        <w:rPr>
          <w:rFonts w:eastAsia="Times New Roman"/>
          <w:sz w:val="30"/>
          <w:szCs w:val="30"/>
          <w:lang w:val="es-ES"/>
        </w:rPr>
        <w:t xml:space="preserve">- Los aportantes de fondos colectivos se reunirán en asambleas generales, de carácter ordinario o </w:t>
      </w:r>
      <w:r>
        <w:rPr>
          <w:rFonts w:eastAsia="Times New Roman"/>
          <w:sz w:val="30"/>
          <w:szCs w:val="30"/>
          <w:lang w:val="es-ES"/>
        </w:rPr>
        <w:t>extraordinario.</w:t>
      </w:r>
      <w:r>
        <w:rPr>
          <w:rFonts w:eastAsia="Times New Roman"/>
          <w:sz w:val="30"/>
          <w:szCs w:val="30"/>
          <w:lang w:val="es-ES"/>
        </w:rPr>
        <w:br/>
      </w:r>
      <w:r>
        <w:rPr>
          <w:rFonts w:eastAsia="Times New Roman"/>
          <w:sz w:val="30"/>
          <w:szCs w:val="30"/>
          <w:lang w:val="es-ES"/>
        </w:rPr>
        <w:br/>
        <w:t>Las asambleas generales ordinarias se celebrarán una vez al año, dentro del período y con las formalidades que determine el C.N.V., para decidir sobre las siguientes materias:</w:t>
      </w:r>
      <w:r>
        <w:rPr>
          <w:rFonts w:eastAsia="Times New Roman"/>
          <w:sz w:val="30"/>
          <w:szCs w:val="30"/>
          <w:lang w:val="es-ES"/>
        </w:rPr>
        <w:br/>
      </w:r>
      <w:r>
        <w:rPr>
          <w:rFonts w:eastAsia="Times New Roman"/>
          <w:sz w:val="30"/>
          <w:szCs w:val="30"/>
          <w:lang w:val="es-ES"/>
        </w:rPr>
        <w:br/>
        <w:t xml:space="preserve">a) Aprobar el balance y estados financieros anuales que sobre </w:t>
      </w:r>
      <w:r>
        <w:rPr>
          <w:rFonts w:eastAsia="Times New Roman"/>
          <w:sz w:val="30"/>
          <w:szCs w:val="30"/>
          <w:lang w:val="es-ES"/>
        </w:rPr>
        <w:t xml:space="preserve">el fondo presente la administradora; </w:t>
      </w:r>
      <w:r>
        <w:rPr>
          <w:rFonts w:eastAsia="Times New Roman"/>
          <w:sz w:val="30"/>
          <w:szCs w:val="30"/>
          <w:lang w:val="es-ES"/>
        </w:rPr>
        <w:br/>
      </w:r>
      <w:r>
        <w:rPr>
          <w:rFonts w:eastAsia="Times New Roman"/>
          <w:sz w:val="30"/>
          <w:szCs w:val="30"/>
          <w:lang w:val="es-ES"/>
        </w:rPr>
        <w:br/>
        <w:t xml:space="preserve">b) Elegir anualmente a los miembros del comité de vigilancia del fondo, así como aprobar su presupuesto de operación;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Acordar la sustitución de la administradora una sola vez al año o la liquidación anticipada de</w:t>
      </w:r>
      <w:r>
        <w:rPr>
          <w:rFonts w:eastAsia="Times New Roman"/>
          <w:sz w:val="30"/>
          <w:szCs w:val="30"/>
          <w:lang w:val="es-ES"/>
        </w:rPr>
        <w:t xml:space="preserve">l fondo; y, </w:t>
      </w:r>
      <w:r>
        <w:rPr>
          <w:rFonts w:eastAsia="Times New Roman"/>
          <w:sz w:val="30"/>
          <w:szCs w:val="30"/>
          <w:lang w:val="es-ES"/>
        </w:rPr>
        <w:br/>
      </w:r>
      <w:r>
        <w:rPr>
          <w:rFonts w:eastAsia="Times New Roman"/>
          <w:sz w:val="30"/>
          <w:szCs w:val="30"/>
          <w:lang w:val="es-ES"/>
        </w:rPr>
        <w:br/>
        <w:t>d) Los demás asuntos que el reglamento interno del fondo establezca.</w:t>
      </w:r>
    </w:p>
    <w:p w:rsidR="00000000" w:rsidRDefault="0018461E">
      <w:pPr>
        <w:divId w:val="46540745"/>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De la convocatoria.</w:t>
      </w:r>
      <w:r>
        <w:rPr>
          <w:rFonts w:eastAsia="Times New Roman"/>
          <w:sz w:val="30"/>
          <w:szCs w:val="30"/>
          <w:lang w:val="es-ES"/>
        </w:rPr>
        <w:t>- (Reformado por el Art. 43 de la Ley s/n, R.O. 249-S, 20-V-2014; y, reformado por la Disposición Reformatoria Décima Séptima, num. 3 del Código</w:t>
      </w:r>
      <w:r>
        <w:rPr>
          <w:rFonts w:eastAsia="Times New Roman"/>
          <w:sz w:val="30"/>
          <w:szCs w:val="30"/>
          <w:lang w:val="es-ES"/>
        </w:rPr>
        <w:t xml:space="preserve"> Orgánico Monetario y Financiero; R.O. 332-2S, 12-IX-2014) La convocatoria a asamblea general ordinaria o extraordinaria de un fondo colectivo corresponderá a la administradora, o a su comité de vigilancia, en su caso. La Superintendencia de Compañías y lo</w:t>
      </w:r>
      <w:r>
        <w:rPr>
          <w:rFonts w:eastAsia="Times New Roman"/>
          <w:sz w:val="30"/>
          <w:szCs w:val="30"/>
          <w:lang w:val="es-ES"/>
        </w:rPr>
        <w:t>s partícipes que representen por lo menos el cincuenta por ciento de las cuotas en circulación, pueden convocar también a una asamblea extraordinaria, cumpliendo las mismas solemnidades establecidas en este artículo.</w:t>
      </w:r>
      <w:r>
        <w:rPr>
          <w:rFonts w:eastAsia="Times New Roman"/>
          <w:sz w:val="30"/>
          <w:szCs w:val="30"/>
          <w:lang w:val="es-ES"/>
        </w:rPr>
        <w:br/>
      </w:r>
      <w:r>
        <w:rPr>
          <w:rFonts w:eastAsia="Times New Roman"/>
          <w:sz w:val="30"/>
          <w:szCs w:val="30"/>
          <w:lang w:val="es-ES"/>
        </w:rPr>
        <w:br/>
        <w:t>La convocatoria a asamblea de partícip</w:t>
      </w:r>
      <w:r>
        <w:rPr>
          <w:rFonts w:eastAsia="Times New Roman"/>
          <w:sz w:val="30"/>
          <w:szCs w:val="30"/>
          <w:lang w:val="es-ES"/>
        </w:rPr>
        <w:t>es se hará mediante un aviso publicado por la administradora con ocho días de anticipación en la página web de la Superintendencia de Compañías, Valores y Seguros informando a los partícipes el lugar, fecha, hora y orden del día de la asamblea. Para el cóm</w:t>
      </w:r>
      <w:r>
        <w:rPr>
          <w:rFonts w:eastAsia="Times New Roman"/>
          <w:sz w:val="30"/>
          <w:szCs w:val="30"/>
          <w:lang w:val="es-ES"/>
        </w:rPr>
        <w:t>puto de este plazo no se contará el día de la publicación ni el de la celebración de la Asamblea.</w:t>
      </w:r>
      <w:r>
        <w:rPr>
          <w:rFonts w:eastAsia="Times New Roman"/>
          <w:sz w:val="30"/>
          <w:szCs w:val="30"/>
          <w:lang w:val="es-ES"/>
        </w:rPr>
        <w:br/>
      </w:r>
      <w:r>
        <w:rPr>
          <w:rFonts w:eastAsia="Times New Roman"/>
          <w:sz w:val="30"/>
          <w:szCs w:val="30"/>
          <w:lang w:val="es-ES"/>
        </w:rPr>
        <w:br/>
        <w:t>La asamblea podrá deliberar válidamente, en primera convocatoria, con la presencia de partícipes que representen más del cincuenta por ciento de las cuotas e</w:t>
      </w:r>
      <w:r>
        <w:rPr>
          <w:rFonts w:eastAsia="Times New Roman"/>
          <w:sz w:val="30"/>
          <w:szCs w:val="30"/>
          <w:lang w:val="es-ES"/>
        </w:rPr>
        <w:t>n circulación y en este caso sus decisiones se tomarán por mayoría simple, calculada en base a las cuotas en circulación, constitutivas del quórum.</w:t>
      </w:r>
      <w:r>
        <w:rPr>
          <w:rFonts w:eastAsia="Times New Roman"/>
          <w:sz w:val="30"/>
          <w:szCs w:val="30"/>
          <w:lang w:val="es-ES"/>
        </w:rPr>
        <w:br/>
      </w:r>
      <w:r>
        <w:rPr>
          <w:rFonts w:eastAsia="Times New Roman"/>
          <w:sz w:val="30"/>
          <w:szCs w:val="30"/>
          <w:lang w:val="es-ES"/>
        </w:rPr>
        <w:br/>
        <w:t>Si no hubiere quórum en la primera convocatoria, se deberá realizar una nueva convocatoria, siguiendo las m</w:t>
      </w:r>
      <w:r>
        <w:rPr>
          <w:rFonts w:eastAsia="Times New Roman"/>
          <w:sz w:val="30"/>
          <w:szCs w:val="30"/>
          <w:lang w:val="es-ES"/>
        </w:rPr>
        <w:t>ismas formalidades de la primera. En segunda convocatoria, la asamblea se instalará con los partícipes presentes y las decisiones se tomarán con el voto favorable de las dos terceras partes de las cuotas en circulación constitutivas del quórum.</w:t>
      </w:r>
      <w:r>
        <w:rPr>
          <w:rFonts w:eastAsia="Times New Roman"/>
          <w:sz w:val="30"/>
          <w:szCs w:val="30"/>
          <w:lang w:val="es-ES"/>
        </w:rPr>
        <w:br/>
      </w:r>
      <w:r>
        <w:rPr>
          <w:rFonts w:eastAsia="Times New Roman"/>
          <w:sz w:val="30"/>
          <w:szCs w:val="30"/>
          <w:lang w:val="es-ES"/>
        </w:rPr>
        <w:br/>
        <w:t>En todo ca</w:t>
      </w:r>
      <w:r>
        <w:rPr>
          <w:rFonts w:eastAsia="Times New Roman"/>
          <w:sz w:val="30"/>
          <w:szCs w:val="30"/>
          <w:lang w:val="es-ES"/>
        </w:rPr>
        <w:t>so, para que la comunidad de partícipes pueda en primera como en segunda convocatoria, resolver la sustitución de su administradora, requerirá del voto favorable de titulares de más del cincuenta por ciento de las cuotas en circulación.</w:t>
      </w:r>
    </w:p>
    <w:p w:rsidR="00000000" w:rsidRDefault="0018461E">
      <w:pPr>
        <w:divId w:val="1628315985"/>
        <w:rPr>
          <w:rFonts w:eastAsia="Times New Roman"/>
          <w:sz w:val="30"/>
          <w:szCs w:val="30"/>
          <w:lang w:val="es-ES"/>
        </w:rPr>
      </w:pPr>
      <w:r>
        <w:rPr>
          <w:rFonts w:eastAsia="Times New Roman"/>
          <w:sz w:val="30"/>
          <w:szCs w:val="30"/>
          <w:lang w:val="es-ES"/>
        </w:rPr>
        <w:lastRenderedPageBreak/>
        <w:t xml:space="preserve">Art. 96.- </w:t>
      </w:r>
      <w:r>
        <w:rPr>
          <w:rFonts w:eastAsia="Times New Roman"/>
          <w:b/>
          <w:bCs/>
          <w:sz w:val="30"/>
          <w:szCs w:val="30"/>
          <w:lang w:val="es-ES"/>
        </w:rPr>
        <w:t>Del comit</w:t>
      </w:r>
      <w:r>
        <w:rPr>
          <w:rFonts w:eastAsia="Times New Roman"/>
          <w:b/>
          <w:bCs/>
          <w:sz w:val="30"/>
          <w:szCs w:val="30"/>
          <w:lang w:val="es-ES"/>
        </w:rPr>
        <w:t xml:space="preserve">é de vigilancia del fondo colectivo.- </w:t>
      </w:r>
      <w:r>
        <w:rPr>
          <w:rFonts w:eastAsia="Times New Roman"/>
          <w:sz w:val="30"/>
          <w:szCs w:val="30"/>
          <w:lang w:val="es-ES"/>
        </w:rPr>
        <w:t xml:space="preserve">El comité de vigilancia del fondo colectivo estará compuesto por lo menos por tres miembros, elegidos por los aportantes, no relacionados a la administradora. No podrán ser elegidos como miembros del mencionado comité </w:t>
      </w:r>
      <w:r>
        <w:rPr>
          <w:rFonts w:eastAsia="Times New Roman"/>
          <w:sz w:val="30"/>
          <w:szCs w:val="30"/>
          <w:lang w:val="es-ES"/>
        </w:rPr>
        <w:t>los aportantes que pertenezcan a empresas vinculadas a la administradora.</w:t>
      </w:r>
      <w:r>
        <w:rPr>
          <w:rFonts w:eastAsia="Times New Roman"/>
          <w:sz w:val="30"/>
          <w:szCs w:val="30"/>
          <w:lang w:val="es-ES"/>
        </w:rPr>
        <w:br/>
      </w:r>
      <w:r>
        <w:rPr>
          <w:rFonts w:eastAsia="Times New Roman"/>
          <w:sz w:val="30"/>
          <w:szCs w:val="30"/>
          <w:lang w:val="es-ES"/>
        </w:rPr>
        <w:br/>
        <w:t>Será atribución del comité de vigilancia comprobar que la administradora cumpla en relación al respectivo fondo lo dispuesto en esta Ley, normas complementarias y su reglamento inte</w:t>
      </w:r>
      <w:r>
        <w:rPr>
          <w:rFonts w:eastAsia="Times New Roman"/>
          <w:sz w:val="30"/>
          <w:szCs w:val="30"/>
          <w:lang w:val="es-ES"/>
        </w:rPr>
        <w:t>rno, pudiendo convocar a asamblea extraordinaria cuando lo considere necesario.</w:t>
      </w:r>
      <w:r>
        <w:rPr>
          <w:rFonts w:eastAsia="Times New Roman"/>
          <w:sz w:val="30"/>
          <w:szCs w:val="30"/>
          <w:lang w:val="es-ES"/>
        </w:rPr>
        <w:br/>
      </w:r>
      <w:r>
        <w:rPr>
          <w:rFonts w:eastAsia="Times New Roman"/>
          <w:sz w:val="30"/>
          <w:szCs w:val="30"/>
          <w:lang w:val="es-ES"/>
        </w:rPr>
        <w:br/>
        <w:t>El comité de vigilancia deberá informar a la asamblea de aportantes, sobre su labor y las conclusiones obtenidas. Sin perjuicio de ello, cuando en su labor detecte el incumpli</w:t>
      </w:r>
      <w:r>
        <w:rPr>
          <w:rFonts w:eastAsia="Times New Roman"/>
          <w:sz w:val="30"/>
          <w:szCs w:val="30"/>
          <w:lang w:val="es-ES"/>
        </w:rPr>
        <w:t>miento de las normas que rigen al fondo y su administradora, deberá ponerlos en conocimiento de la Superintendencia de Compañías, pudiendo solicitarle la convocatoria a asamblea extraordinaria.</w:t>
      </w:r>
    </w:p>
    <w:p w:rsidR="00000000" w:rsidRDefault="0018461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SOCIEDADES ADMINISTRADORAS DE FONDOS Y FI</w:t>
      </w:r>
      <w:r>
        <w:rPr>
          <w:rFonts w:eastAsia="Times New Roman"/>
          <w:b/>
          <w:bCs/>
          <w:sz w:val="36"/>
          <w:szCs w:val="36"/>
          <w:lang w:val="es-ES"/>
        </w:rPr>
        <w:t>DEICOMISOS</w:t>
      </w:r>
    </w:p>
    <w:p w:rsidR="00000000" w:rsidRDefault="0018461E">
      <w:pPr>
        <w:divId w:val="987054660"/>
        <w:rPr>
          <w:rFonts w:eastAsia="Times New Roman"/>
          <w:sz w:val="30"/>
          <w:szCs w:val="30"/>
          <w:lang w:val="es-ES"/>
        </w:rPr>
      </w:pPr>
      <w:r>
        <w:rPr>
          <w:rFonts w:eastAsia="Times New Roman"/>
          <w:b/>
          <w:bCs/>
          <w:sz w:val="30"/>
          <w:szCs w:val="30"/>
          <w:lang w:val="es-ES"/>
        </w:rPr>
        <w:t xml:space="preserve">Art. 97.- Del objeto y constitución.- </w:t>
      </w:r>
      <w:r>
        <w:rPr>
          <w:rFonts w:eastAsia="Times New Roman"/>
          <w:sz w:val="30"/>
          <w:szCs w:val="30"/>
          <w:lang w:val="es-ES"/>
        </w:rPr>
        <w:t>Las administradoras de fondos y fideicomisos deben constituirse bajo la especie de compañías o sociedades anónimas. Su objeto social está limitado a:</w:t>
      </w:r>
      <w:r>
        <w:rPr>
          <w:rFonts w:eastAsia="Times New Roman"/>
          <w:sz w:val="30"/>
          <w:szCs w:val="30"/>
          <w:lang w:val="es-ES"/>
        </w:rPr>
        <w:br/>
      </w:r>
      <w:r>
        <w:rPr>
          <w:rFonts w:eastAsia="Times New Roman"/>
          <w:sz w:val="30"/>
          <w:szCs w:val="30"/>
          <w:lang w:val="es-ES"/>
        </w:rPr>
        <w:br/>
        <w:t>a) Administrar fondos de inversión;</w:t>
      </w:r>
      <w:r>
        <w:rPr>
          <w:rFonts w:eastAsia="Times New Roman"/>
          <w:sz w:val="30"/>
          <w:szCs w:val="30"/>
          <w:lang w:val="es-ES"/>
        </w:rPr>
        <w:br/>
      </w:r>
      <w:r>
        <w:rPr>
          <w:rFonts w:eastAsia="Times New Roman"/>
          <w:sz w:val="30"/>
          <w:szCs w:val="30"/>
          <w:lang w:val="es-ES"/>
        </w:rPr>
        <w:br/>
        <w:t>b) Administrar nego</w:t>
      </w:r>
      <w:r>
        <w:rPr>
          <w:rFonts w:eastAsia="Times New Roman"/>
          <w:sz w:val="30"/>
          <w:szCs w:val="30"/>
          <w:lang w:val="es-ES"/>
        </w:rPr>
        <w:t>cios fiduciarios, definidos en esta Ley;</w:t>
      </w:r>
      <w:r>
        <w:rPr>
          <w:rFonts w:eastAsia="Times New Roman"/>
          <w:sz w:val="30"/>
          <w:szCs w:val="30"/>
          <w:lang w:val="es-ES"/>
        </w:rPr>
        <w:br/>
      </w:r>
      <w:r>
        <w:rPr>
          <w:rFonts w:eastAsia="Times New Roman"/>
          <w:sz w:val="30"/>
          <w:szCs w:val="30"/>
          <w:lang w:val="es-ES"/>
        </w:rPr>
        <w:br/>
        <w:t>c) Actuar como emisores de procesos de titularización; y,</w:t>
      </w:r>
      <w:r>
        <w:rPr>
          <w:rFonts w:eastAsia="Times New Roman"/>
          <w:sz w:val="30"/>
          <w:szCs w:val="30"/>
          <w:lang w:val="es-ES"/>
        </w:rPr>
        <w:br/>
      </w:r>
      <w:r>
        <w:rPr>
          <w:rFonts w:eastAsia="Times New Roman"/>
          <w:sz w:val="30"/>
          <w:szCs w:val="30"/>
          <w:lang w:val="es-ES"/>
        </w:rPr>
        <w:br/>
        <w:t>d) Representar fondos internacionales de inversión.</w:t>
      </w:r>
      <w:r>
        <w:rPr>
          <w:rFonts w:eastAsia="Times New Roman"/>
          <w:sz w:val="30"/>
          <w:szCs w:val="30"/>
          <w:lang w:val="es-ES"/>
        </w:rPr>
        <w:br/>
      </w:r>
      <w:r>
        <w:rPr>
          <w:rFonts w:eastAsia="Times New Roman"/>
          <w:sz w:val="30"/>
          <w:szCs w:val="30"/>
          <w:lang w:val="es-ES"/>
        </w:rPr>
        <w:br/>
        <w:t xml:space="preserve">Para ejercer la actividad de administradora de negocios fiduciarios y actuar como emisora en procesos </w:t>
      </w:r>
      <w:r>
        <w:rPr>
          <w:rFonts w:eastAsia="Times New Roman"/>
          <w:sz w:val="30"/>
          <w:szCs w:val="30"/>
          <w:lang w:val="es-ES"/>
        </w:rPr>
        <w:t>de titularización, deberán sujetarse a las disposiciones relativas a fideicomiso mercantil y titularización que constan en esta Ley.</w:t>
      </w:r>
    </w:p>
    <w:p w:rsidR="00000000" w:rsidRDefault="0018461E">
      <w:pPr>
        <w:divId w:val="861281916"/>
        <w:rPr>
          <w:rFonts w:eastAsia="Times New Roman"/>
          <w:sz w:val="30"/>
          <w:szCs w:val="30"/>
          <w:lang w:val="es-ES"/>
        </w:rPr>
      </w:pPr>
      <w:r>
        <w:rPr>
          <w:rFonts w:eastAsia="Times New Roman"/>
          <w:sz w:val="30"/>
          <w:szCs w:val="30"/>
          <w:lang w:val="es-ES"/>
        </w:rPr>
        <w:lastRenderedPageBreak/>
        <w:t>Art. 98.-</w:t>
      </w:r>
      <w:r>
        <w:rPr>
          <w:rFonts w:eastAsia="Times New Roman"/>
          <w:b/>
          <w:bCs/>
          <w:sz w:val="30"/>
          <w:szCs w:val="30"/>
          <w:lang w:val="es-ES"/>
        </w:rPr>
        <w:t xml:space="preserve"> Capital mínimo y autorización de funcionamiento.-</w:t>
      </w:r>
      <w:r>
        <w:rPr>
          <w:rFonts w:eastAsia="Times New Roman"/>
          <w:sz w:val="30"/>
          <w:szCs w:val="30"/>
          <w:lang w:val="es-ES"/>
        </w:rPr>
        <w:t xml:space="preserve"> (Sustituido por el Art. 44 de la Ley s/n, R.O. 249-S, 20-V-2014</w:t>
      </w:r>
      <w:r>
        <w:rPr>
          <w:rFonts w:eastAsia="Times New Roman"/>
          <w:sz w:val="30"/>
          <w:szCs w:val="30"/>
          <w:lang w:val="es-ES"/>
        </w:rPr>
        <w:t>; y, reformado por la Disposición Reformatoria Décima Séptima, nums. 2 y 3 del Código Orgánico Monetario y Financiero; R.O. 332-2S, 12-IX-2014).- El capital mínimo será fijado por la Junta de Política y Regulación Monetaria y Financiera en función de su ob</w:t>
      </w:r>
      <w:r>
        <w:rPr>
          <w:rFonts w:eastAsia="Times New Roman"/>
          <w:sz w:val="30"/>
          <w:szCs w:val="30"/>
          <w:lang w:val="es-ES"/>
        </w:rPr>
        <w:t xml:space="preserve">jeto social, las actividades autorizadas y las condiciones del mercado, el cual deberá ser suscrito y pagado en numerario en su totalidad. Además dicho órgano fijará los parámetros, índices, relaciones y demás normas, de acuerdo a las actividades que vaya </w:t>
      </w:r>
      <w:r>
        <w:rPr>
          <w:rFonts w:eastAsia="Times New Roman"/>
          <w:sz w:val="30"/>
          <w:szCs w:val="30"/>
          <w:lang w:val="es-ES"/>
        </w:rPr>
        <w:t>a realizar dentro de las facultades previstas en esta Ley.</w:t>
      </w:r>
      <w:r>
        <w:rPr>
          <w:rFonts w:eastAsia="Times New Roman"/>
          <w:sz w:val="30"/>
          <w:szCs w:val="30"/>
          <w:lang w:val="es-ES"/>
        </w:rPr>
        <w:br/>
      </w:r>
      <w:r>
        <w:rPr>
          <w:rFonts w:eastAsia="Times New Roman"/>
          <w:sz w:val="30"/>
          <w:szCs w:val="30"/>
          <w:lang w:val="es-ES"/>
        </w:rPr>
        <w:br/>
        <w:t>La Junta de Política y Regulación Monetaria y Financiera determinará los requisitos técnicos, legales y financieros distintos, para las Administradoras de Fondos y Fideicomisos que se dediquen exc</w:t>
      </w:r>
      <w:r>
        <w:rPr>
          <w:rFonts w:eastAsia="Times New Roman"/>
          <w:sz w:val="30"/>
          <w:szCs w:val="30"/>
          <w:lang w:val="es-ES"/>
        </w:rPr>
        <w:t>lusivamente a la administración de fondos y fideicomisos, y para aquellas que administren adicionalmente fideicomisos de titularización.</w:t>
      </w:r>
      <w:r>
        <w:rPr>
          <w:rFonts w:eastAsia="Times New Roman"/>
          <w:sz w:val="30"/>
          <w:szCs w:val="30"/>
          <w:lang w:val="es-ES"/>
        </w:rPr>
        <w:br/>
      </w:r>
      <w:r>
        <w:rPr>
          <w:rFonts w:eastAsia="Times New Roman"/>
          <w:sz w:val="30"/>
          <w:szCs w:val="30"/>
          <w:lang w:val="es-ES"/>
        </w:rPr>
        <w:br/>
        <w:t>En caso de incumplimiento de estas disposiciones, sin perjuicio de las sanciones a que hubiere lugar, la administrador</w:t>
      </w:r>
      <w:r>
        <w:rPr>
          <w:rFonts w:eastAsia="Times New Roman"/>
          <w:sz w:val="30"/>
          <w:szCs w:val="30"/>
          <w:lang w:val="es-ES"/>
        </w:rPr>
        <w:t>a de fondos y fideicomisos deberá proceder a regularizar tal situación en el plazo y en la forma que establezca la Superintendencia de Compañías, Valores y Seguros.</w:t>
      </w:r>
      <w:r>
        <w:rPr>
          <w:rFonts w:eastAsia="Times New Roman"/>
          <w:sz w:val="30"/>
          <w:szCs w:val="30"/>
          <w:lang w:val="es-ES"/>
        </w:rPr>
        <w:br/>
      </w:r>
      <w:r>
        <w:rPr>
          <w:rFonts w:eastAsia="Times New Roman"/>
          <w:sz w:val="30"/>
          <w:szCs w:val="30"/>
          <w:lang w:val="es-ES"/>
        </w:rPr>
        <w:br/>
        <w:t xml:space="preserve">Las sociedades administradoras de fondos y fideicomisos no podrán iniciar sus actividades </w:t>
      </w:r>
      <w:r>
        <w:rPr>
          <w:rFonts w:eastAsia="Times New Roman"/>
          <w:sz w:val="30"/>
          <w:szCs w:val="30"/>
          <w:lang w:val="es-ES"/>
        </w:rPr>
        <w:t xml:space="preserve">como administradoras de fondos y fideicomisos mientras no cuenten con la autorización de funcionamiento por parte de la Superintendencia de Compañías, Valores y Seguros, para lo cual deben cumplir con los requisitos determinados por la Junta de Política y </w:t>
      </w:r>
      <w:r>
        <w:rPr>
          <w:rFonts w:eastAsia="Times New Roman"/>
          <w:sz w:val="30"/>
          <w:szCs w:val="30"/>
          <w:lang w:val="es-ES"/>
        </w:rPr>
        <w:t>Regulación Monetaria y Financiera.</w:t>
      </w:r>
    </w:p>
    <w:p w:rsidR="00000000" w:rsidRDefault="0018461E">
      <w:pPr>
        <w:divId w:val="2066023859"/>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 xml:space="preserve">Del patrimonio mínimo.- </w:t>
      </w:r>
      <w:r>
        <w:rPr>
          <w:rFonts w:eastAsia="Times New Roman"/>
          <w:sz w:val="30"/>
          <w:szCs w:val="30"/>
          <w:lang w:val="es-ES"/>
        </w:rPr>
        <w:t>Las administradoras de fondos y fideicomisos deberán cumplir los parámetros, índices, relaciones y demás normas de solvencia y prudencia financiera y controles que determine el C.N.V., to</w:t>
      </w:r>
      <w:r>
        <w:rPr>
          <w:rFonts w:eastAsia="Times New Roman"/>
          <w:sz w:val="30"/>
          <w:szCs w:val="30"/>
          <w:lang w:val="es-ES"/>
        </w:rPr>
        <w:t>mando en consideración el desarrollo del mercado de valores y la situación económica del país. El incumplimiento de estas disposiciones reglamentarias será comunicado por las administradoras de fondos y fideicomisos a la Superintendencia de Compañías, dent</w:t>
      </w:r>
      <w:r>
        <w:rPr>
          <w:rFonts w:eastAsia="Times New Roman"/>
          <w:sz w:val="30"/>
          <w:szCs w:val="30"/>
          <w:lang w:val="es-ES"/>
        </w:rPr>
        <w:t xml:space="preserve">ro del término de cinco días de ocurrido el hecho y, deberá ser subsanado en el plazo y la forma que </w:t>
      </w:r>
      <w:r>
        <w:rPr>
          <w:rFonts w:eastAsia="Times New Roman"/>
          <w:sz w:val="30"/>
          <w:szCs w:val="30"/>
          <w:lang w:val="es-ES"/>
        </w:rPr>
        <w:lastRenderedPageBreak/>
        <w:t>determine dicho organismo de control.</w:t>
      </w:r>
      <w:r>
        <w:rPr>
          <w:rFonts w:eastAsia="Times New Roman"/>
          <w:sz w:val="30"/>
          <w:szCs w:val="30"/>
          <w:lang w:val="es-ES"/>
        </w:rPr>
        <w:br/>
      </w:r>
      <w:r>
        <w:rPr>
          <w:rFonts w:eastAsia="Times New Roman"/>
          <w:sz w:val="30"/>
          <w:szCs w:val="30"/>
          <w:lang w:val="es-ES"/>
        </w:rPr>
        <w:br/>
        <w:t xml:space="preserve">Podrán administrar fondos de inversión cuyos patrimonios en conjunto no excedan el equivalente a cincuenta veces el </w:t>
      </w:r>
      <w:r>
        <w:rPr>
          <w:rFonts w:eastAsia="Times New Roman"/>
          <w:sz w:val="30"/>
          <w:szCs w:val="30"/>
          <w:lang w:val="es-ES"/>
        </w:rPr>
        <w:t>patrimonio contable de la administradora de fondos. El C.N.V., determinará los casos en que el negocio fiduciario requiera de garantías adicionales.</w:t>
      </w:r>
      <w:r>
        <w:rPr>
          <w:rFonts w:eastAsia="Times New Roman"/>
          <w:sz w:val="30"/>
          <w:szCs w:val="30"/>
          <w:lang w:val="es-ES"/>
        </w:rPr>
        <w:br/>
      </w:r>
      <w:r>
        <w:rPr>
          <w:rFonts w:eastAsia="Times New Roman"/>
          <w:sz w:val="30"/>
          <w:szCs w:val="30"/>
          <w:lang w:val="es-ES"/>
        </w:rPr>
        <w:br/>
        <w:t>Las administradoras o sus empresas vinculadas no podrán tener en su conjunto más del treinta por ciento de</w:t>
      </w:r>
      <w:r>
        <w:rPr>
          <w:rFonts w:eastAsia="Times New Roman"/>
          <w:sz w:val="30"/>
          <w:szCs w:val="30"/>
          <w:lang w:val="es-ES"/>
        </w:rPr>
        <w:t xml:space="preserve"> inversión en las cuotas de fondos colectivos.</w:t>
      </w:r>
    </w:p>
    <w:p w:rsidR="00000000" w:rsidRDefault="0018461E">
      <w:pPr>
        <w:divId w:val="615328752"/>
        <w:rPr>
          <w:rFonts w:eastAsia="Times New Roman"/>
          <w:sz w:val="30"/>
          <w:szCs w:val="30"/>
          <w:lang w:val="es-ES"/>
        </w:rPr>
      </w:pPr>
      <w:r>
        <w:rPr>
          <w:rFonts w:eastAsia="Times New Roman"/>
          <w:b/>
          <w:bCs/>
          <w:sz w:val="30"/>
          <w:szCs w:val="30"/>
          <w:lang w:val="es-ES"/>
        </w:rPr>
        <w:t>Art. 100.- De las entidades autorizadas.</w:t>
      </w:r>
      <w:r>
        <w:rPr>
          <w:rFonts w:eastAsia="Times New Roman"/>
          <w:sz w:val="30"/>
          <w:szCs w:val="30"/>
          <w:lang w:val="es-ES"/>
        </w:rPr>
        <w:t>- (Reformado por el Art. 45 de la Ley s/n, R.O. 249-S, 20-V-2014).- Las entidades del sector público podrán actuar como fiduciarios de conformidad con lo previsto en sus</w:t>
      </w:r>
      <w:r>
        <w:rPr>
          <w:rFonts w:eastAsia="Times New Roman"/>
          <w:sz w:val="30"/>
          <w:szCs w:val="30"/>
          <w:lang w:val="es-ES"/>
        </w:rPr>
        <w:t xml:space="preserve"> propias leyes.</w:t>
      </w:r>
    </w:p>
    <w:p w:rsidR="00000000" w:rsidRDefault="0018461E">
      <w:pPr>
        <w:divId w:val="757597486"/>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Inhabilidades de los administradores.- </w:t>
      </w:r>
      <w:r>
        <w:rPr>
          <w:rFonts w:eastAsia="Times New Roman"/>
          <w:sz w:val="30"/>
          <w:szCs w:val="30"/>
          <w:lang w:val="es-ES"/>
        </w:rPr>
        <w:t>Los socios o directores de la administradora no podrán estar incursos en algunas de las inhabilidades señaladas en los numerales 1) al 5), del artículo 7 de esta Ley.</w:t>
      </w:r>
    </w:p>
    <w:p w:rsidR="00000000" w:rsidRDefault="0018461E">
      <w:pPr>
        <w:divId w:val="834493951"/>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Responsabili</w:t>
      </w:r>
      <w:r>
        <w:rPr>
          <w:rFonts w:eastAsia="Times New Roman"/>
          <w:b/>
          <w:bCs/>
          <w:sz w:val="30"/>
          <w:szCs w:val="30"/>
          <w:lang w:val="es-ES"/>
        </w:rPr>
        <w:t>dades de la administradora de fondos y fideicomisos.</w:t>
      </w:r>
      <w:r>
        <w:rPr>
          <w:rFonts w:eastAsia="Times New Roman"/>
          <w:sz w:val="30"/>
          <w:szCs w:val="30"/>
          <w:lang w:val="es-ES"/>
        </w:rPr>
        <w:t>- La administradora estará obligada a proporcionar a los fondos, los servicios administrativos que éstos requieran, tales como la cobranza de sus ingresos y rentabilidad, presentación de informes periódic</w:t>
      </w:r>
      <w:r>
        <w:rPr>
          <w:rFonts w:eastAsia="Times New Roman"/>
          <w:sz w:val="30"/>
          <w:szCs w:val="30"/>
          <w:lang w:val="es-ES"/>
        </w:rPr>
        <w:t>os que demuestren su estado y comportamiento actual y, en general, la provisión de un servicio técnico para la buena administración del fondo.</w:t>
      </w:r>
      <w:r>
        <w:rPr>
          <w:rFonts w:eastAsia="Times New Roman"/>
          <w:sz w:val="30"/>
          <w:szCs w:val="30"/>
          <w:lang w:val="es-ES"/>
        </w:rPr>
        <w:br/>
      </w:r>
      <w:r>
        <w:rPr>
          <w:rFonts w:eastAsia="Times New Roman"/>
          <w:sz w:val="30"/>
          <w:szCs w:val="30"/>
          <w:lang w:val="es-ES"/>
        </w:rPr>
        <w:br/>
        <w:t>La administradora gestionará cada fondo, atendiendo exclusivamente a la mejor conveniencia de éste. Todas y cada</w:t>
      </w:r>
      <w:r>
        <w:rPr>
          <w:rFonts w:eastAsia="Times New Roman"/>
          <w:sz w:val="30"/>
          <w:szCs w:val="30"/>
          <w:lang w:val="es-ES"/>
        </w:rPr>
        <w:t xml:space="preserve"> una de las operaciones que efectúe por cuenta del mismo, se harán en el mejor interés del fondo.</w:t>
      </w:r>
      <w:r>
        <w:rPr>
          <w:rFonts w:eastAsia="Times New Roman"/>
          <w:sz w:val="30"/>
          <w:szCs w:val="30"/>
          <w:lang w:val="es-ES"/>
        </w:rPr>
        <w:br/>
      </w:r>
      <w:r>
        <w:rPr>
          <w:rFonts w:eastAsia="Times New Roman"/>
          <w:sz w:val="30"/>
          <w:szCs w:val="30"/>
          <w:lang w:val="es-ES"/>
        </w:rPr>
        <w:br/>
        <w:t>Sin perjuicio de las responsabilidades penales, son infracciones administrativas las operaciones realizadas con los activos del fondo para obtener beneficios</w:t>
      </w:r>
      <w:r>
        <w:rPr>
          <w:rFonts w:eastAsia="Times New Roman"/>
          <w:sz w:val="30"/>
          <w:szCs w:val="30"/>
          <w:lang w:val="es-ES"/>
        </w:rPr>
        <w:t xml:space="preserve"> indebidos, directos o indirectos para la administradora, sus directores o administradores y las personas relacionadas o empresas vinculadas.</w:t>
      </w:r>
      <w:r>
        <w:rPr>
          <w:rFonts w:eastAsia="Times New Roman"/>
          <w:sz w:val="30"/>
          <w:szCs w:val="30"/>
          <w:lang w:val="es-ES"/>
        </w:rPr>
        <w:br/>
      </w:r>
      <w:r>
        <w:rPr>
          <w:rFonts w:eastAsia="Times New Roman"/>
          <w:sz w:val="30"/>
          <w:szCs w:val="30"/>
          <w:lang w:val="es-ES"/>
        </w:rPr>
        <w:br/>
        <w:t>La administradora deberá mantener invertido al menos el cincuenta por ciento de su capital pagado en unidades o c</w:t>
      </w:r>
      <w:r>
        <w:rPr>
          <w:rFonts w:eastAsia="Times New Roman"/>
          <w:sz w:val="30"/>
          <w:szCs w:val="30"/>
          <w:lang w:val="es-ES"/>
        </w:rPr>
        <w:t xml:space="preserve">uotas de los fondos que administre, pero en ningún caso estas inversiones podrán exceder del </w:t>
      </w:r>
      <w:r>
        <w:rPr>
          <w:rFonts w:eastAsia="Times New Roman"/>
          <w:sz w:val="30"/>
          <w:szCs w:val="30"/>
          <w:lang w:val="es-ES"/>
        </w:rPr>
        <w:lastRenderedPageBreak/>
        <w:t>treinta por ciento del patrimonio neto de cada fondo, a cuyo efecto la Superintendencia de Compañías realizará las inspecciones periódicas que sean pertinentes.</w:t>
      </w:r>
    </w:p>
    <w:p w:rsidR="00000000" w:rsidRDefault="0018461E">
      <w:pPr>
        <w:divId w:val="692346237"/>
        <w:rPr>
          <w:rFonts w:eastAsia="Times New Roman"/>
          <w:sz w:val="30"/>
          <w:szCs w:val="30"/>
          <w:lang w:val="es-ES"/>
        </w:rPr>
      </w:pPr>
      <w:r>
        <w:rPr>
          <w:rFonts w:eastAsia="Times New Roman"/>
          <w:sz w:val="30"/>
          <w:szCs w:val="30"/>
          <w:lang w:val="es-ES"/>
        </w:rPr>
        <w:t>Ar</w:t>
      </w:r>
      <w:r>
        <w:rPr>
          <w:rFonts w:eastAsia="Times New Roman"/>
          <w:sz w:val="30"/>
          <w:szCs w:val="30"/>
          <w:lang w:val="es-ES"/>
        </w:rPr>
        <w:t>t. 103.-</w:t>
      </w:r>
      <w:r>
        <w:rPr>
          <w:rFonts w:eastAsia="Times New Roman"/>
          <w:b/>
          <w:bCs/>
          <w:sz w:val="30"/>
          <w:szCs w:val="30"/>
          <w:lang w:val="es-ES"/>
        </w:rPr>
        <w:t xml:space="preserve"> De las obligaciones de la sociedad administradora de fondos y fideicomisos como fiduciario.</w:t>
      </w:r>
      <w:r>
        <w:rPr>
          <w:rFonts w:eastAsia="Times New Roman"/>
          <w:sz w:val="30"/>
          <w:szCs w:val="30"/>
          <w:lang w:val="es-ES"/>
        </w:rPr>
        <w:t xml:space="preserve">- Sin perjuicio de los deberes y obligaciones que como administradora de fondos tiene esta sociedad, le corresponden en su calidad de fiduciario, además de </w:t>
      </w:r>
      <w:r>
        <w:rPr>
          <w:rFonts w:eastAsia="Times New Roman"/>
          <w:sz w:val="30"/>
          <w:szCs w:val="30"/>
          <w:lang w:val="es-ES"/>
        </w:rPr>
        <w:t>las disposiciones contenidas en el contrato de fideicomiso mercantil, las siguientes:</w:t>
      </w:r>
      <w:r>
        <w:rPr>
          <w:rFonts w:eastAsia="Times New Roman"/>
          <w:sz w:val="30"/>
          <w:szCs w:val="30"/>
          <w:lang w:val="es-ES"/>
        </w:rPr>
        <w:br/>
      </w:r>
      <w:r>
        <w:rPr>
          <w:rFonts w:eastAsia="Times New Roman"/>
          <w:sz w:val="30"/>
          <w:szCs w:val="30"/>
          <w:lang w:val="es-ES"/>
        </w:rPr>
        <w:br/>
        <w:t xml:space="preserve">a) Administrar prudente y diligentemente los bienes transferidos en fideicomiso mercantil, y los bienes administrados a través del encargo fiduciario, pudiendo celebrar </w:t>
      </w:r>
      <w:r>
        <w:rPr>
          <w:rFonts w:eastAsia="Times New Roman"/>
          <w:sz w:val="30"/>
          <w:szCs w:val="30"/>
          <w:lang w:val="es-ES"/>
        </w:rPr>
        <w:t>todos los actos y contratos necesarios para la consecución de las finalidades instituidas por el constituyente;</w:t>
      </w:r>
      <w:r>
        <w:rPr>
          <w:rFonts w:eastAsia="Times New Roman"/>
          <w:sz w:val="30"/>
          <w:szCs w:val="30"/>
          <w:lang w:val="es-ES"/>
        </w:rPr>
        <w:br/>
      </w:r>
      <w:r>
        <w:rPr>
          <w:rFonts w:eastAsia="Times New Roman"/>
          <w:sz w:val="30"/>
          <w:szCs w:val="30"/>
          <w:lang w:val="es-ES"/>
        </w:rPr>
        <w:br/>
        <w:t>b) Mantener el fideicomiso mercantil y el encargo fiduciario separado de su propio patrimonio y de los demás fideicomisos mercantiles y encargo</w:t>
      </w:r>
      <w:r>
        <w:rPr>
          <w:rFonts w:eastAsia="Times New Roman"/>
          <w:sz w:val="30"/>
          <w:szCs w:val="30"/>
          <w:lang w:val="es-ES"/>
        </w:rPr>
        <w:t>s fiduciarios que mantenga, llevando para el efecto una contabilidad independiente para cada uno de éstos.</w:t>
      </w:r>
      <w:r>
        <w:rPr>
          <w:rFonts w:eastAsia="Times New Roman"/>
          <w:sz w:val="30"/>
          <w:szCs w:val="30"/>
          <w:lang w:val="es-ES"/>
        </w:rPr>
        <w:br/>
      </w:r>
      <w:r>
        <w:rPr>
          <w:rFonts w:eastAsia="Times New Roman"/>
          <w:sz w:val="30"/>
          <w:szCs w:val="30"/>
          <w:lang w:val="es-ES"/>
        </w:rPr>
        <w:br/>
        <w:t xml:space="preserve">La contabilidad del fideicomiso mercantil y de los encargos fiduciarios deberá reflejar la finalidad pretendida por el constituyente y se sujetarán </w:t>
      </w:r>
      <w:r>
        <w:rPr>
          <w:rFonts w:eastAsia="Times New Roman"/>
          <w:sz w:val="30"/>
          <w:szCs w:val="30"/>
          <w:lang w:val="es-ES"/>
        </w:rPr>
        <w:t>a los principios de contabilidad generalmente aceptados;</w:t>
      </w:r>
      <w:r>
        <w:rPr>
          <w:rFonts w:eastAsia="Times New Roman"/>
          <w:sz w:val="30"/>
          <w:szCs w:val="30"/>
          <w:lang w:val="es-ES"/>
        </w:rPr>
        <w:br/>
      </w:r>
      <w:r>
        <w:rPr>
          <w:rFonts w:eastAsia="Times New Roman"/>
          <w:sz w:val="30"/>
          <w:szCs w:val="30"/>
          <w:lang w:val="es-ES"/>
        </w:rPr>
        <w:br/>
        <w:t>c) Rendir cuentas de su gestión, al constituyente o al beneficiario, conforme a lo que prevea el contrato y con la periodicidad establecida en el mismo y, a falta de estipulación la rendición de cue</w:t>
      </w:r>
      <w:r>
        <w:rPr>
          <w:rFonts w:eastAsia="Times New Roman"/>
          <w:sz w:val="30"/>
          <w:szCs w:val="30"/>
          <w:lang w:val="es-ES"/>
        </w:rPr>
        <w:t>ntas se la realizará en forma trimestral;</w:t>
      </w:r>
      <w:r>
        <w:rPr>
          <w:rFonts w:eastAsia="Times New Roman"/>
          <w:sz w:val="30"/>
          <w:szCs w:val="30"/>
          <w:lang w:val="es-ES"/>
        </w:rPr>
        <w:br/>
      </w:r>
      <w:r>
        <w:rPr>
          <w:rFonts w:eastAsia="Times New Roman"/>
          <w:sz w:val="30"/>
          <w:szCs w:val="30"/>
          <w:lang w:val="es-ES"/>
        </w:rPr>
        <w:br/>
        <w:t>d) Transferir los bienes a la persona a quien corresponda conforme al contrato;</w:t>
      </w:r>
      <w:r>
        <w:rPr>
          <w:rFonts w:eastAsia="Times New Roman"/>
          <w:sz w:val="30"/>
          <w:szCs w:val="30"/>
          <w:lang w:val="es-ES"/>
        </w:rPr>
        <w:br/>
      </w:r>
      <w:r>
        <w:rPr>
          <w:rFonts w:eastAsia="Times New Roman"/>
          <w:sz w:val="30"/>
          <w:szCs w:val="30"/>
          <w:lang w:val="es-ES"/>
        </w:rPr>
        <w:br/>
        <w:t>e) Terminar el contrato de fideicomiso mercantil o el encargo fiduciario, por el cumplimiento de las causales y efectos previstos en</w:t>
      </w:r>
      <w:r>
        <w:rPr>
          <w:rFonts w:eastAsia="Times New Roman"/>
          <w:sz w:val="30"/>
          <w:szCs w:val="30"/>
          <w:lang w:val="es-ES"/>
        </w:rPr>
        <w:t xml:space="preserve"> el contrato; y,</w:t>
      </w:r>
      <w:r>
        <w:rPr>
          <w:rFonts w:eastAsia="Times New Roman"/>
          <w:sz w:val="30"/>
          <w:szCs w:val="30"/>
          <w:lang w:val="es-ES"/>
        </w:rPr>
        <w:br/>
      </w:r>
      <w:r>
        <w:rPr>
          <w:rFonts w:eastAsia="Times New Roman"/>
          <w:sz w:val="30"/>
          <w:szCs w:val="30"/>
          <w:lang w:val="es-ES"/>
        </w:rPr>
        <w:br/>
        <w:t>f) Informar a la Superintendencia de Compañías en la forma y periodicidad que mediante norma de carácter general determine el C.N.V.</w:t>
      </w:r>
    </w:p>
    <w:p w:rsidR="00000000" w:rsidRDefault="0018461E">
      <w:pPr>
        <w:divId w:val="808205183"/>
        <w:rPr>
          <w:rFonts w:eastAsia="Times New Roman"/>
          <w:sz w:val="30"/>
          <w:szCs w:val="30"/>
          <w:lang w:val="es-ES"/>
        </w:rPr>
      </w:pPr>
      <w:r>
        <w:rPr>
          <w:rFonts w:eastAsia="Times New Roman"/>
          <w:sz w:val="30"/>
          <w:szCs w:val="30"/>
          <w:lang w:val="es-ES"/>
        </w:rPr>
        <w:lastRenderedPageBreak/>
        <w:t>Art. 104.-</w:t>
      </w:r>
      <w:r>
        <w:rPr>
          <w:rFonts w:eastAsia="Times New Roman"/>
          <w:b/>
          <w:bCs/>
          <w:sz w:val="30"/>
          <w:szCs w:val="30"/>
          <w:lang w:val="es-ES"/>
        </w:rPr>
        <w:t xml:space="preserve"> Custodia de los valores.- </w:t>
      </w:r>
      <w:r>
        <w:rPr>
          <w:rFonts w:eastAsia="Times New Roman"/>
          <w:sz w:val="30"/>
          <w:szCs w:val="30"/>
          <w:lang w:val="es-ES"/>
        </w:rPr>
        <w:t>Las operaciones del fondo serán efectuadas por la administradora a n</w:t>
      </w:r>
      <w:r>
        <w:rPr>
          <w:rFonts w:eastAsia="Times New Roman"/>
          <w:sz w:val="30"/>
          <w:szCs w:val="30"/>
          <w:lang w:val="es-ES"/>
        </w:rPr>
        <w:t>ombre del titular de los instrumentos representativos de las inversiones realizadas.</w:t>
      </w:r>
      <w:r>
        <w:rPr>
          <w:rFonts w:eastAsia="Times New Roman"/>
          <w:sz w:val="30"/>
          <w:szCs w:val="30"/>
          <w:lang w:val="es-ES"/>
        </w:rPr>
        <w:br/>
      </w:r>
      <w:r>
        <w:rPr>
          <w:rFonts w:eastAsia="Times New Roman"/>
          <w:sz w:val="30"/>
          <w:szCs w:val="30"/>
          <w:lang w:val="es-ES"/>
        </w:rPr>
        <w:br/>
        <w:t xml:space="preserve">Los títulos o documentos representativos de los valores y demás activos en los que se inviertan los recursos del fondo, deberán ser entregados por la administradora a un </w:t>
      </w:r>
      <w:r>
        <w:rPr>
          <w:rFonts w:eastAsia="Times New Roman"/>
          <w:sz w:val="30"/>
          <w:szCs w:val="30"/>
          <w:lang w:val="es-ES"/>
        </w:rPr>
        <w:t>depósito centralizado de compensación y liquidación de valores o a una entidad bancaria autorizada a prestar servicios de custodia. Para este último caso la entidad bancaria no podrá estar vinculada a la administradora de fondos y fideicomisos.</w:t>
      </w:r>
    </w:p>
    <w:p w:rsidR="00000000" w:rsidRDefault="0018461E">
      <w:pPr>
        <w:divId w:val="114910098"/>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w:t>
      </w:r>
      <w:r>
        <w:rPr>
          <w:rFonts w:eastAsia="Times New Roman"/>
          <w:b/>
          <w:bCs/>
          <w:sz w:val="30"/>
          <w:szCs w:val="30"/>
          <w:lang w:val="es-ES"/>
        </w:rPr>
        <w:t>De las prohibiciones a las administradoras de fondos y fideicomisos.</w:t>
      </w:r>
      <w:r>
        <w:rPr>
          <w:rFonts w:eastAsia="Times New Roman"/>
          <w:sz w:val="30"/>
          <w:szCs w:val="30"/>
          <w:lang w:val="es-ES"/>
        </w:rPr>
        <w:br/>
      </w:r>
      <w:r>
        <w:rPr>
          <w:rFonts w:eastAsia="Times New Roman"/>
          <w:sz w:val="30"/>
          <w:szCs w:val="30"/>
          <w:lang w:val="es-ES"/>
        </w:rPr>
        <w:br/>
        <w:t>1.- Como administradoras de fondos les está prohibido:</w:t>
      </w:r>
      <w:r>
        <w:rPr>
          <w:rFonts w:eastAsia="Times New Roman"/>
          <w:sz w:val="30"/>
          <w:szCs w:val="30"/>
          <w:lang w:val="es-ES"/>
        </w:rPr>
        <w:br/>
      </w:r>
      <w:r>
        <w:rPr>
          <w:rFonts w:eastAsia="Times New Roman"/>
          <w:sz w:val="30"/>
          <w:szCs w:val="30"/>
          <w:lang w:val="es-ES"/>
        </w:rPr>
        <w:br/>
        <w:t>a) Adquirir, enajenar o mezclar activos de un fondo con los suyos propios;</w:t>
      </w:r>
      <w:r>
        <w:rPr>
          <w:rFonts w:eastAsia="Times New Roman"/>
          <w:sz w:val="30"/>
          <w:szCs w:val="30"/>
          <w:lang w:val="es-ES"/>
        </w:rPr>
        <w:br/>
      </w:r>
      <w:r>
        <w:rPr>
          <w:rFonts w:eastAsia="Times New Roman"/>
          <w:sz w:val="30"/>
          <w:szCs w:val="30"/>
          <w:lang w:val="es-ES"/>
        </w:rPr>
        <w:br/>
        <w:t>b) Mezclar activos de un fondo con los de otros fondos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c) Realizar operaciones entre fondos y fideicomisos de una misma administradora fuera de bolsa;</w:t>
      </w:r>
      <w:r>
        <w:rPr>
          <w:rFonts w:eastAsia="Times New Roman"/>
          <w:sz w:val="30"/>
          <w:szCs w:val="30"/>
          <w:lang w:val="es-ES"/>
        </w:rPr>
        <w:br/>
      </w:r>
      <w:r>
        <w:rPr>
          <w:rFonts w:eastAsia="Times New Roman"/>
          <w:sz w:val="30"/>
          <w:szCs w:val="30"/>
          <w:lang w:val="es-ES"/>
        </w:rPr>
        <w:br/>
        <w:t>d) Garantizar un resultado, rendimiento o tasa de retorno;</w:t>
      </w:r>
      <w:r>
        <w:rPr>
          <w:rFonts w:eastAsia="Times New Roman"/>
          <w:sz w:val="30"/>
          <w:szCs w:val="30"/>
          <w:lang w:val="es-ES"/>
        </w:rPr>
        <w:br/>
      </w:r>
      <w:r>
        <w:rPr>
          <w:rFonts w:eastAsia="Times New Roman"/>
          <w:sz w:val="30"/>
          <w:szCs w:val="30"/>
          <w:lang w:val="es-ES"/>
        </w:rPr>
        <w:br/>
        <w:t>e) Traspasar valores de su propiedad o de su propia emisión entre los distintos fondos que admin</w:t>
      </w:r>
      <w:r>
        <w:rPr>
          <w:rFonts w:eastAsia="Times New Roman"/>
          <w:sz w:val="30"/>
          <w:szCs w:val="30"/>
          <w:lang w:val="es-ES"/>
        </w:rPr>
        <w:t>istre;</w:t>
      </w:r>
      <w:r>
        <w:rPr>
          <w:rFonts w:eastAsia="Times New Roman"/>
          <w:sz w:val="30"/>
          <w:szCs w:val="30"/>
          <w:lang w:val="es-ES"/>
        </w:rPr>
        <w:br/>
      </w:r>
      <w:r>
        <w:rPr>
          <w:rFonts w:eastAsia="Times New Roman"/>
          <w:sz w:val="30"/>
          <w:szCs w:val="30"/>
          <w:lang w:val="es-ES"/>
        </w:rPr>
        <w:br/>
        <w:t>f) Dar o tomar dinero a cualquier título a, o de los fondos que administre o entregar éstos en garantía;</w:t>
      </w:r>
      <w:r>
        <w:rPr>
          <w:rFonts w:eastAsia="Times New Roman"/>
          <w:sz w:val="30"/>
          <w:szCs w:val="30"/>
          <w:lang w:val="es-ES"/>
        </w:rPr>
        <w:br/>
      </w:r>
      <w:r>
        <w:rPr>
          <w:rFonts w:eastAsia="Times New Roman"/>
          <w:sz w:val="30"/>
          <w:szCs w:val="30"/>
          <w:lang w:val="es-ES"/>
        </w:rPr>
        <w:br/>
        <w:t>g) Emitir obligaciones y recibir depósitos en dinero;</w:t>
      </w:r>
      <w:r>
        <w:rPr>
          <w:rFonts w:eastAsia="Times New Roman"/>
          <w:sz w:val="30"/>
          <w:szCs w:val="30"/>
          <w:lang w:val="es-ES"/>
        </w:rPr>
        <w:br/>
      </w:r>
      <w:r>
        <w:rPr>
          <w:rFonts w:eastAsia="Times New Roman"/>
          <w:sz w:val="30"/>
          <w:szCs w:val="30"/>
          <w:lang w:val="es-ES"/>
        </w:rPr>
        <w:br/>
        <w:t>h) Participar de manera alguna en la administración, asesoramiento, dirección o cualqui</w:t>
      </w:r>
      <w:r>
        <w:rPr>
          <w:rFonts w:eastAsia="Times New Roman"/>
          <w:sz w:val="30"/>
          <w:szCs w:val="30"/>
          <w:lang w:val="es-ES"/>
        </w:rPr>
        <w:t>er otra función que no sea la de accionista en aquellas compañías en que un fondo mantenga inversiones; e,</w:t>
      </w:r>
      <w:r>
        <w:rPr>
          <w:rFonts w:eastAsia="Times New Roman"/>
          <w:sz w:val="30"/>
          <w:szCs w:val="30"/>
          <w:lang w:val="es-ES"/>
        </w:rPr>
        <w:br/>
      </w:r>
      <w:r>
        <w:rPr>
          <w:rFonts w:eastAsia="Times New Roman"/>
          <w:sz w:val="30"/>
          <w:szCs w:val="30"/>
          <w:lang w:val="es-ES"/>
        </w:rPr>
        <w:br/>
        <w:t xml:space="preserve">i) Ser accionista de una casa de valores, administradoras de fondos de inversión y fideicomisos, calificadoras de riesgo, auditoras externas y </w:t>
      </w:r>
      <w:r>
        <w:rPr>
          <w:rFonts w:eastAsia="Times New Roman"/>
          <w:sz w:val="30"/>
          <w:szCs w:val="30"/>
          <w:lang w:val="es-ES"/>
        </w:rPr>
        <w:lastRenderedPageBreak/>
        <w:t>demás</w:t>
      </w:r>
      <w:r>
        <w:rPr>
          <w:rFonts w:eastAsia="Times New Roman"/>
          <w:sz w:val="30"/>
          <w:szCs w:val="30"/>
          <w:lang w:val="es-ES"/>
        </w:rPr>
        <w:t xml:space="preserve"> empresas vinculadas a la propia administradora de fondos de inversión.</w:t>
      </w:r>
      <w:r>
        <w:rPr>
          <w:rFonts w:eastAsia="Times New Roman"/>
          <w:sz w:val="30"/>
          <w:szCs w:val="30"/>
          <w:lang w:val="es-ES"/>
        </w:rPr>
        <w:br/>
      </w:r>
      <w:r>
        <w:rPr>
          <w:rFonts w:eastAsia="Times New Roman"/>
          <w:sz w:val="30"/>
          <w:szCs w:val="30"/>
          <w:lang w:val="es-ES"/>
        </w:rPr>
        <w:br/>
        <w:t>2.- Además en calidad de fiduciarios no deberán:</w:t>
      </w:r>
      <w:r>
        <w:rPr>
          <w:rFonts w:eastAsia="Times New Roman"/>
          <w:sz w:val="30"/>
          <w:szCs w:val="30"/>
          <w:lang w:val="es-ES"/>
        </w:rPr>
        <w:br/>
      </w:r>
      <w:r>
        <w:rPr>
          <w:rFonts w:eastAsia="Times New Roman"/>
          <w:sz w:val="30"/>
          <w:szCs w:val="30"/>
          <w:lang w:val="es-ES"/>
        </w:rPr>
        <w:br/>
        <w:t>a) Avalar, afianzar o garantizar el pago de beneficios o rendimientos fijos en función de los bienes que administra; no obstante, con</w:t>
      </w:r>
      <w:r>
        <w:rPr>
          <w:rFonts w:eastAsia="Times New Roman"/>
          <w:sz w:val="30"/>
          <w:szCs w:val="30"/>
          <w:lang w:val="es-ES"/>
        </w:rPr>
        <w:t xml:space="preserve">forme a la naturaleza del fideicomiso mercantil, podrán estimarse rendimientos o beneficios variables o fijos no garantizados dejando constancia siempre que las obligaciones del fiduciario son de medio y no de resultado; </w:t>
      </w:r>
      <w:r>
        <w:rPr>
          <w:rFonts w:eastAsia="Times New Roman"/>
          <w:sz w:val="30"/>
          <w:szCs w:val="30"/>
          <w:lang w:val="es-ES"/>
        </w:rPr>
        <w:br/>
      </w:r>
      <w:r>
        <w:rPr>
          <w:rFonts w:eastAsia="Times New Roman"/>
          <w:sz w:val="30"/>
          <w:szCs w:val="30"/>
          <w:lang w:val="es-ES"/>
        </w:rPr>
        <w:br/>
        <w:t>b) La fiduciaria durante la vigen</w:t>
      </w:r>
      <w:r>
        <w:rPr>
          <w:rFonts w:eastAsia="Times New Roman"/>
          <w:sz w:val="30"/>
          <w:szCs w:val="30"/>
          <w:lang w:val="es-ES"/>
        </w:rPr>
        <w:t>cia del contrato de fideicomiso mercantil o del encargo fiduciario, no permitirá que el beneficiario se apropie de los bienes que él mismo o la sociedad administradora de fondos y fideicomisos administre de acuerdo a lo estipulado en el fideicomiso;</w:t>
      </w:r>
      <w:r>
        <w:rPr>
          <w:rFonts w:eastAsia="Times New Roman"/>
          <w:sz w:val="30"/>
          <w:szCs w:val="30"/>
          <w:lang w:val="es-ES"/>
        </w:rPr>
        <w:br/>
      </w:r>
      <w:r>
        <w:rPr>
          <w:rFonts w:eastAsia="Times New Roman"/>
          <w:sz w:val="30"/>
          <w:szCs w:val="30"/>
          <w:lang w:val="es-ES"/>
        </w:rPr>
        <w:br/>
        <w:t>c) (A</w:t>
      </w:r>
      <w:r>
        <w:rPr>
          <w:rFonts w:eastAsia="Times New Roman"/>
          <w:sz w:val="30"/>
          <w:szCs w:val="30"/>
          <w:lang w:val="es-ES"/>
        </w:rPr>
        <w:t>gregado por el lit. b del Art. 46 de la Ley s/n, R.O. 249-S, 20-V-2014).- Invertir los recursos de los fideicomisos, en los fondos de inversión que administra;</w:t>
      </w:r>
      <w:r>
        <w:rPr>
          <w:rFonts w:eastAsia="Times New Roman"/>
          <w:sz w:val="30"/>
          <w:szCs w:val="30"/>
          <w:lang w:val="es-ES"/>
        </w:rPr>
        <w:br/>
      </w:r>
      <w:r>
        <w:rPr>
          <w:rFonts w:eastAsia="Times New Roman"/>
          <w:sz w:val="30"/>
          <w:szCs w:val="30"/>
          <w:lang w:val="es-ES"/>
        </w:rPr>
        <w:br/>
        <w:t>d) (Agregado por el lit. b del Art. 46 de la Ley s/n, R.O. 249-S, 20-V-2014).- Constituir un fi</w:t>
      </w:r>
      <w:r>
        <w:rPr>
          <w:rFonts w:eastAsia="Times New Roman"/>
          <w:sz w:val="30"/>
          <w:szCs w:val="30"/>
          <w:lang w:val="es-ES"/>
        </w:rPr>
        <w:t>deicomiso mercantil en el que se designe como beneficiario principal o sustituto, directa o indirectamente, así como en virtud de una cesión de derechos y en general por ningún medio que los ponga en dicha situación, a la propia fiduciaria, sus administrad</w:t>
      </w:r>
      <w:r>
        <w:rPr>
          <w:rFonts w:eastAsia="Times New Roman"/>
          <w:sz w:val="30"/>
          <w:szCs w:val="30"/>
          <w:lang w:val="es-ES"/>
        </w:rPr>
        <w:t>ores, representantes legales, sus accionistas o de sus empresas vinculadas;</w:t>
      </w:r>
      <w:r>
        <w:rPr>
          <w:rFonts w:eastAsia="Times New Roman"/>
          <w:sz w:val="30"/>
          <w:szCs w:val="30"/>
          <w:lang w:val="es-ES"/>
        </w:rPr>
        <w:br/>
      </w:r>
      <w:r>
        <w:rPr>
          <w:rFonts w:eastAsia="Times New Roman"/>
          <w:sz w:val="30"/>
          <w:szCs w:val="30"/>
          <w:lang w:val="es-ES"/>
        </w:rPr>
        <w:br/>
        <w:t>e) (Agregado por el lit. b del Art. 46 de la Ley s/n, R.O. 249-S, 20-V-2014).- Suscribir negocios fiduciarios que permitan o pueden devenir en contratos simulados, so pena del est</w:t>
      </w:r>
      <w:r>
        <w:rPr>
          <w:rFonts w:eastAsia="Times New Roman"/>
          <w:sz w:val="30"/>
          <w:szCs w:val="30"/>
          <w:lang w:val="es-ES"/>
        </w:rPr>
        <w:t>ablecimiento de responsabilidades civiles, administrativas o penales a que hubiere lugar; y,</w:t>
      </w:r>
      <w:r>
        <w:rPr>
          <w:rFonts w:eastAsia="Times New Roman"/>
          <w:sz w:val="30"/>
          <w:szCs w:val="30"/>
          <w:lang w:val="es-ES"/>
        </w:rPr>
        <w:br/>
      </w:r>
      <w:r>
        <w:rPr>
          <w:rFonts w:eastAsia="Times New Roman"/>
          <w:sz w:val="30"/>
          <w:szCs w:val="30"/>
          <w:lang w:val="es-ES"/>
        </w:rPr>
        <w:br/>
        <w:t>f) (Agregado por el lit. b del Art. 46 de la Ley s/n, R.O. 249-S, 20-V-2014; y, reformado por la Disposición Reformatoria Décima Séptima, num. 2 del Código Orgáni</w:t>
      </w:r>
      <w:r>
        <w:rPr>
          <w:rFonts w:eastAsia="Times New Roman"/>
          <w:sz w:val="30"/>
          <w:szCs w:val="30"/>
          <w:lang w:val="es-ES"/>
        </w:rPr>
        <w:t xml:space="preserve">co Monetario y Financiero; R.O. 332-2S, 12-IX-2014).- La Junta de Política y Regulación Monetaria y </w:t>
      </w:r>
      <w:r>
        <w:rPr>
          <w:rFonts w:eastAsia="Times New Roman"/>
          <w:sz w:val="30"/>
          <w:szCs w:val="30"/>
          <w:lang w:val="es-ES"/>
        </w:rPr>
        <w:lastRenderedPageBreak/>
        <w:t>Financiera normará los requisitos y condiciones para la cesión de derechos fiduciarios.</w:t>
      </w:r>
      <w:r>
        <w:rPr>
          <w:rFonts w:eastAsia="Times New Roman"/>
          <w:sz w:val="30"/>
          <w:szCs w:val="30"/>
          <w:lang w:val="es-ES"/>
        </w:rPr>
        <w:br/>
      </w:r>
      <w:r>
        <w:rPr>
          <w:rFonts w:eastAsia="Times New Roman"/>
          <w:sz w:val="30"/>
          <w:szCs w:val="30"/>
          <w:lang w:val="es-ES"/>
        </w:rPr>
        <w:br/>
        <w:t>Además de las prohibiciones señaladas anteriormente, las sociedades</w:t>
      </w:r>
      <w:r>
        <w:rPr>
          <w:rFonts w:eastAsia="Times New Roman"/>
          <w:sz w:val="30"/>
          <w:szCs w:val="30"/>
          <w:lang w:val="es-ES"/>
        </w:rPr>
        <w:t xml:space="preserve"> administradoras de fondos y fideicomisos no podrán dedicarse a las actividades asignadas en la presente Ley a las casas de valores.</w:t>
      </w:r>
    </w:p>
    <w:p w:rsidR="00000000" w:rsidRDefault="0018461E">
      <w:pPr>
        <w:divId w:val="1899629757"/>
        <w:rPr>
          <w:rFonts w:eastAsia="Times New Roman"/>
          <w:sz w:val="30"/>
          <w:szCs w:val="30"/>
          <w:lang w:val="es-ES"/>
        </w:rPr>
      </w:pPr>
      <w:r>
        <w:rPr>
          <w:rFonts w:eastAsia="Times New Roman"/>
          <w:sz w:val="30"/>
          <w:szCs w:val="30"/>
          <w:lang w:val="es-ES"/>
        </w:rPr>
        <w:t xml:space="preserve">Art. 106.- </w:t>
      </w:r>
      <w:r>
        <w:rPr>
          <w:rFonts w:eastAsia="Times New Roman"/>
          <w:b/>
          <w:bCs/>
          <w:sz w:val="30"/>
          <w:szCs w:val="30"/>
          <w:lang w:val="es-ES"/>
        </w:rPr>
        <w:t xml:space="preserve">De los órganos de administración y comité de inversiones.- </w:t>
      </w:r>
      <w:r>
        <w:rPr>
          <w:rFonts w:eastAsia="Times New Roman"/>
          <w:sz w:val="30"/>
          <w:szCs w:val="30"/>
          <w:lang w:val="es-ES"/>
        </w:rPr>
        <w:t>Los órganos de administración serán los que determine</w:t>
      </w:r>
      <w:r>
        <w:rPr>
          <w:rFonts w:eastAsia="Times New Roman"/>
          <w:sz w:val="30"/>
          <w:szCs w:val="30"/>
          <w:lang w:val="es-ES"/>
        </w:rPr>
        <w:t xml:space="preserve"> el estatuto. Sin embargo, la compañía para su función de administradora en el caso de fondos administrados, deberá tener un comité de inversiones cuyos miembros deberán acreditar experiencia en el sector financiero, bursátil o afines, de por lo menos tres</w:t>
      </w:r>
      <w:r>
        <w:rPr>
          <w:rFonts w:eastAsia="Times New Roman"/>
          <w:sz w:val="30"/>
          <w:szCs w:val="30"/>
          <w:lang w:val="es-ES"/>
        </w:rPr>
        <w:t xml:space="preserve"> años.</w:t>
      </w:r>
      <w:r>
        <w:rPr>
          <w:rFonts w:eastAsia="Times New Roman"/>
          <w:sz w:val="30"/>
          <w:szCs w:val="30"/>
          <w:lang w:val="es-ES"/>
        </w:rPr>
        <w:br/>
      </w:r>
      <w:r>
        <w:rPr>
          <w:rFonts w:eastAsia="Times New Roman"/>
          <w:sz w:val="30"/>
          <w:szCs w:val="30"/>
          <w:lang w:val="es-ES"/>
        </w:rPr>
        <w:br/>
        <w:t>No podrán ser administradores ni miembros del comité de inversiones:</w:t>
      </w:r>
      <w:r>
        <w:rPr>
          <w:rFonts w:eastAsia="Times New Roman"/>
          <w:sz w:val="30"/>
          <w:szCs w:val="30"/>
          <w:lang w:val="es-ES"/>
        </w:rPr>
        <w:br/>
      </w:r>
      <w:r>
        <w:rPr>
          <w:rFonts w:eastAsia="Times New Roman"/>
          <w:sz w:val="30"/>
          <w:szCs w:val="30"/>
          <w:lang w:val="es-ES"/>
        </w:rPr>
        <w:br/>
        <w:t>a) Quienes hayan sido sentenciados al pago de obligaciones incumplidas con instituciones del sistema financiero o de obligaciones tributarias, así como los que hubieren incumplid</w:t>
      </w:r>
      <w:r>
        <w:rPr>
          <w:rFonts w:eastAsia="Times New Roman"/>
          <w:sz w:val="30"/>
          <w:szCs w:val="30"/>
          <w:lang w:val="es-ES"/>
        </w:rPr>
        <w:t xml:space="preserve">o un laudo dictado por un tribunal de arbitraje, mientras esté pendiente la obligación; </w:t>
      </w:r>
      <w:r>
        <w:rPr>
          <w:rFonts w:eastAsia="Times New Roman"/>
          <w:sz w:val="30"/>
          <w:szCs w:val="30"/>
          <w:lang w:val="es-ES"/>
        </w:rPr>
        <w:br/>
      </w:r>
      <w:r>
        <w:rPr>
          <w:rFonts w:eastAsia="Times New Roman"/>
          <w:sz w:val="30"/>
          <w:szCs w:val="30"/>
          <w:lang w:val="es-ES"/>
        </w:rPr>
        <w:br/>
        <w:t>b) Los impedidos de ejercer el comercio y quienes hayan sido condenados por delitos contra la propiedad, las personas, o la fe pública, mientras esté pendiente la pen</w:t>
      </w:r>
      <w:r>
        <w:rPr>
          <w:rFonts w:eastAsia="Times New Roman"/>
          <w:sz w:val="30"/>
          <w:szCs w:val="30"/>
          <w:lang w:val="es-ES"/>
        </w:rPr>
        <w:t xml:space="preserve">a, así como los sancionados con inhabilitación por la Superintendencia de Compañías; </w:t>
      </w:r>
      <w:r>
        <w:rPr>
          <w:rFonts w:eastAsia="Times New Roman"/>
          <w:sz w:val="30"/>
          <w:szCs w:val="30"/>
          <w:lang w:val="es-ES"/>
        </w:rPr>
        <w:br/>
      </w:r>
      <w:r>
        <w:rPr>
          <w:rFonts w:eastAsia="Times New Roman"/>
          <w:sz w:val="30"/>
          <w:szCs w:val="30"/>
          <w:lang w:val="es-ES"/>
        </w:rPr>
        <w:br/>
        <w:t xml:space="preserve">c) Los que hubieren sido declarados en quiebra o insolventes aunque hubieren sido rehabilitados;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40" name="Imagen 40" descr="https://www.fielweb.com/App_Themes/Infobases/ImagenesGeneral/img18092017151732_1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fielweb.com/App_Themes/Infobases/ImagenesGeneral/img18092017151732_159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d) Los directores, representantes legales, apoderados generales, auditores internos y externos d</w:t>
      </w:r>
      <w:r>
        <w:rPr>
          <w:rFonts w:eastAsia="Times New Roman"/>
          <w:sz w:val="30"/>
          <w:szCs w:val="30"/>
          <w:lang w:val="es-ES"/>
        </w:rPr>
        <w:t xml:space="preserve">e otras sociedades que se dediquen a la misma actividad; </w:t>
      </w:r>
      <w:r>
        <w:rPr>
          <w:rFonts w:eastAsia="Times New Roman"/>
          <w:sz w:val="30"/>
          <w:szCs w:val="30"/>
          <w:lang w:val="es-ES"/>
        </w:rPr>
        <w:br/>
      </w:r>
      <w:r>
        <w:rPr>
          <w:rFonts w:eastAsia="Times New Roman"/>
          <w:sz w:val="30"/>
          <w:szCs w:val="30"/>
          <w:lang w:val="es-ES"/>
        </w:rPr>
        <w:br/>
        <w:t xml:space="preserve">e) Quienes en el transcurso de los últimos 5 años, hubieren incurrido en castigo de sus obligaciones por parte de cualquier institución financiera; </w:t>
      </w:r>
      <w:r>
        <w:rPr>
          <w:rFonts w:eastAsia="Times New Roman"/>
          <w:sz w:val="30"/>
          <w:szCs w:val="30"/>
          <w:lang w:val="es-ES"/>
        </w:rPr>
        <w:br/>
      </w:r>
      <w:r>
        <w:rPr>
          <w:rFonts w:eastAsia="Times New Roman"/>
          <w:sz w:val="30"/>
          <w:szCs w:val="30"/>
          <w:lang w:val="es-ES"/>
        </w:rPr>
        <w:br/>
        <w:t>f) Quienes hubieren sido condenados por delitos</w:t>
      </w:r>
      <w:r>
        <w:rPr>
          <w:rFonts w:eastAsia="Times New Roman"/>
          <w:sz w:val="30"/>
          <w:szCs w:val="30"/>
          <w:lang w:val="es-ES"/>
        </w:rPr>
        <w:t xml:space="preserve">, mientras esté pendiente la pena; y, </w:t>
      </w:r>
      <w:r>
        <w:rPr>
          <w:rFonts w:eastAsia="Times New Roman"/>
          <w:sz w:val="30"/>
          <w:szCs w:val="30"/>
          <w:lang w:val="es-ES"/>
        </w:rPr>
        <w:br/>
      </w:r>
      <w:r>
        <w:rPr>
          <w:rFonts w:eastAsia="Times New Roman"/>
          <w:sz w:val="30"/>
          <w:szCs w:val="30"/>
          <w:lang w:val="es-ES"/>
        </w:rPr>
        <w:br/>
        <w:t>g) Quienes por cualquier otra causa estén incapacitados.</w:t>
      </w:r>
    </w:p>
    <w:p w:rsidR="00000000" w:rsidRDefault="0018461E">
      <w:pPr>
        <w:divId w:val="1294753064"/>
        <w:rPr>
          <w:rFonts w:eastAsia="Times New Roman"/>
          <w:sz w:val="30"/>
          <w:szCs w:val="30"/>
          <w:lang w:val="es-ES"/>
        </w:rPr>
      </w:pPr>
      <w:r>
        <w:rPr>
          <w:rFonts w:eastAsia="Times New Roman"/>
          <w:sz w:val="30"/>
          <w:szCs w:val="30"/>
          <w:lang w:val="es-ES"/>
        </w:rPr>
        <w:lastRenderedPageBreak/>
        <w:t>Art. 107.-</w:t>
      </w:r>
      <w:r>
        <w:rPr>
          <w:rFonts w:eastAsia="Times New Roman"/>
          <w:b/>
          <w:bCs/>
          <w:sz w:val="30"/>
          <w:szCs w:val="30"/>
          <w:lang w:val="es-ES"/>
        </w:rPr>
        <w:t xml:space="preserve"> Responsabilidades del comité de inversiones.- </w:t>
      </w:r>
      <w:r>
        <w:rPr>
          <w:rFonts w:eastAsia="Times New Roman"/>
          <w:sz w:val="30"/>
          <w:szCs w:val="30"/>
          <w:lang w:val="es-ES"/>
        </w:rPr>
        <w:t>El comité de inversiones tendrá bajo su responsabilidad, la de definir las políticas de inversiones de</w:t>
      </w:r>
      <w:r>
        <w:rPr>
          <w:rFonts w:eastAsia="Times New Roman"/>
          <w:sz w:val="30"/>
          <w:szCs w:val="30"/>
          <w:lang w:val="es-ES"/>
        </w:rPr>
        <w:t xml:space="preserve"> los fondos y supervisar su cumplimiento además de aquellas que determine el estatuto de la sociedad administradora de fondos y fideicomisos.</w:t>
      </w:r>
      <w:r>
        <w:rPr>
          <w:rFonts w:eastAsia="Times New Roman"/>
          <w:sz w:val="30"/>
          <w:szCs w:val="30"/>
          <w:lang w:val="es-ES"/>
        </w:rPr>
        <w:br/>
      </w:r>
      <w:r>
        <w:rPr>
          <w:rFonts w:eastAsia="Times New Roman"/>
          <w:sz w:val="30"/>
          <w:szCs w:val="30"/>
          <w:lang w:val="es-ES"/>
        </w:rPr>
        <w:br/>
        <w:t>El C.N.V., mediante norma de carácter general, determinará el número de miembros que lo constituirán y las limita</w:t>
      </w:r>
      <w:r>
        <w:rPr>
          <w:rFonts w:eastAsia="Times New Roman"/>
          <w:sz w:val="30"/>
          <w:szCs w:val="30"/>
          <w:lang w:val="es-ES"/>
        </w:rPr>
        <w:t>ciones a las que deberá someterse.</w:t>
      </w:r>
    </w:p>
    <w:p w:rsidR="00000000" w:rsidRDefault="0018461E">
      <w:pPr>
        <w:divId w:val="1763916363"/>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Disolución y liquidación de la administradora de fondos y fideicomisos.- </w:t>
      </w:r>
      <w:r>
        <w:rPr>
          <w:rFonts w:eastAsia="Times New Roman"/>
          <w:sz w:val="30"/>
          <w:szCs w:val="30"/>
          <w:lang w:val="es-ES"/>
        </w:rPr>
        <w:t>En el proceso de disolución y liquidación de la sociedad administradora de fondos y fideicomisos, se aplicarán las disposiciones de la Le</w:t>
      </w:r>
      <w:r>
        <w:rPr>
          <w:rFonts w:eastAsia="Times New Roman"/>
          <w:sz w:val="30"/>
          <w:szCs w:val="30"/>
          <w:lang w:val="es-ES"/>
        </w:rPr>
        <w:t>y de Compañías y sus normas complementarias. Disuelta la administradora por cualquier causa, se procederá a su liquidación e inmovilización de los fondos que administre, salvo que la Superintendencia de Compañías autorice el traspaso de la administración d</w:t>
      </w:r>
      <w:r>
        <w:rPr>
          <w:rFonts w:eastAsia="Times New Roman"/>
          <w:sz w:val="30"/>
          <w:szCs w:val="30"/>
          <w:lang w:val="es-ES"/>
        </w:rPr>
        <w:t>el fondo a otra sociedad de igual giro.</w:t>
      </w:r>
      <w:r>
        <w:rPr>
          <w:rFonts w:eastAsia="Times New Roman"/>
          <w:sz w:val="30"/>
          <w:szCs w:val="30"/>
          <w:lang w:val="es-ES"/>
        </w:rPr>
        <w:br/>
      </w:r>
      <w:r>
        <w:rPr>
          <w:rFonts w:eastAsia="Times New Roman"/>
          <w:sz w:val="30"/>
          <w:szCs w:val="30"/>
          <w:lang w:val="es-ES"/>
        </w:rPr>
        <w:br/>
        <w:t>La liquidación será practicada por la Superintendencia de Compañías, pudiendo ésta autorizar a la administradora para que efectúe su propia liquidación o la del o de los fondos que administre.</w:t>
      </w:r>
    </w:p>
    <w:p w:rsidR="00000000" w:rsidRDefault="0018461E">
      <w:pPr>
        <w:jc w:val="center"/>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DEL FIDEICO</w:t>
      </w:r>
      <w:r>
        <w:rPr>
          <w:rFonts w:eastAsia="Times New Roman"/>
          <w:b/>
          <w:bCs/>
          <w:sz w:val="36"/>
          <w:szCs w:val="36"/>
          <w:lang w:val="es-ES"/>
        </w:rPr>
        <w:t>MISO MERCANTIL Y ENCARGO FIDUCIARIO</w:t>
      </w:r>
    </w:p>
    <w:p w:rsidR="00000000" w:rsidRDefault="0018461E">
      <w:pPr>
        <w:divId w:val="1438720136"/>
        <w:rPr>
          <w:rFonts w:eastAsia="Times New Roman"/>
          <w:sz w:val="30"/>
          <w:szCs w:val="30"/>
          <w:lang w:val="es-ES"/>
        </w:rPr>
      </w:pPr>
      <w:r>
        <w:rPr>
          <w:rFonts w:eastAsia="Times New Roman"/>
          <w:b/>
          <w:bCs/>
          <w:sz w:val="30"/>
          <w:szCs w:val="30"/>
          <w:lang w:val="es-ES"/>
        </w:rPr>
        <w:t xml:space="preserve">Art. 109.- Del contrato de fideicomiso mercantil.- </w:t>
      </w:r>
      <w:r>
        <w:rPr>
          <w:rFonts w:eastAsia="Times New Roman"/>
          <w:sz w:val="30"/>
          <w:szCs w:val="30"/>
          <w:lang w:val="es-ES"/>
        </w:rPr>
        <w:t xml:space="preserve">Por el contrato de fideicomiso mercantil una o más personas llamadas constituyentes o fideicomitentes transfieren, de manera temporal e irrevocable, la propiedad de bienes muebles o inmuebles corporales o incorporales, que existen o se espera que existan, </w:t>
      </w:r>
      <w:r>
        <w:rPr>
          <w:rFonts w:eastAsia="Times New Roman"/>
          <w:sz w:val="30"/>
          <w:szCs w:val="30"/>
          <w:lang w:val="es-ES"/>
        </w:rPr>
        <w:t>a un patrimonio autónomo, dotado de personalidad jurídica para que la sociedad administradora de fondos y fideicomisos, que es su fiduciaria y en tal calidad su representante legal, cumpla con las finalidades específicas instituidas en el contrato de const</w:t>
      </w:r>
      <w:r>
        <w:rPr>
          <w:rFonts w:eastAsia="Times New Roman"/>
          <w:sz w:val="30"/>
          <w:szCs w:val="30"/>
          <w:lang w:val="es-ES"/>
        </w:rPr>
        <w:t>itución, bien en favor del propio constituyente o de un tercero llamado beneficiario.</w:t>
      </w:r>
      <w:r>
        <w:rPr>
          <w:rFonts w:eastAsia="Times New Roman"/>
          <w:sz w:val="30"/>
          <w:szCs w:val="30"/>
          <w:lang w:val="es-ES"/>
        </w:rPr>
        <w:br/>
      </w:r>
      <w:r>
        <w:rPr>
          <w:rFonts w:eastAsia="Times New Roman"/>
          <w:sz w:val="30"/>
          <w:szCs w:val="30"/>
          <w:lang w:val="es-ES"/>
        </w:rPr>
        <w:br/>
        <w:t>El patrimonio autónomo, esto es el conjunto de derechos y obligaciones afectados a una finalidad y que se constituye como efecto jurídico del contrato, también se denomi</w:t>
      </w:r>
      <w:r>
        <w:rPr>
          <w:rFonts w:eastAsia="Times New Roman"/>
          <w:sz w:val="30"/>
          <w:szCs w:val="30"/>
          <w:lang w:val="es-ES"/>
        </w:rPr>
        <w:t xml:space="preserve">na fideicomiso mercantil; así, </w:t>
      </w:r>
      <w:r>
        <w:rPr>
          <w:rFonts w:eastAsia="Times New Roman"/>
          <w:sz w:val="30"/>
          <w:szCs w:val="30"/>
          <w:lang w:val="es-ES"/>
        </w:rPr>
        <w:lastRenderedPageBreak/>
        <w:t>cada fideicomiso mercantil tendrá una denominación peculiar señalada por el constituyente en el contrato a efectos de distinguirlo de otros que mantenga el fiduciario con ocasión de su actividad.</w:t>
      </w:r>
      <w:r>
        <w:rPr>
          <w:rFonts w:eastAsia="Times New Roman"/>
          <w:sz w:val="30"/>
          <w:szCs w:val="30"/>
          <w:lang w:val="es-ES"/>
        </w:rPr>
        <w:br/>
      </w:r>
      <w:r>
        <w:rPr>
          <w:rFonts w:eastAsia="Times New Roman"/>
          <w:sz w:val="30"/>
          <w:szCs w:val="30"/>
          <w:lang w:val="es-ES"/>
        </w:rPr>
        <w:br/>
        <w:t>Cada patrimonio autónomo (fi</w:t>
      </w:r>
      <w:r>
        <w:rPr>
          <w:rFonts w:eastAsia="Times New Roman"/>
          <w:sz w:val="30"/>
          <w:szCs w:val="30"/>
          <w:lang w:val="es-ES"/>
        </w:rPr>
        <w:t>deicomiso mercantil), está dotado de personalidad jurídica, siendo el fiduciario su representante legal, quien ejercerá tales funciones de conformidad con las instrucciones señaladas por el constituyente en el correspondiente contrato.</w:t>
      </w:r>
      <w:r>
        <w:rPr>
          <w:rFonts w:eastAsia="Times New Roman"/>
          <w:sz w:val="30"/>
          <w:szCs w:val="30"/>
          <w:lang w:val="es-ES"/>
        </w:rPr>
        <w:br/>
      </w:r>
      <w:r>
        <w:rPr>
          <w:rFonts w:eastAsia="Times New Roman"/>
          <w:sz w:val="30"/>
          <w:szCs w:val="30"/>
          <w:lang w:val="es-ES"/>
        </w:rPr>
        <w:br/>
        <w:t>El patrimonio autón</w:t>
      </w:r>
      <w:r>
        <w:rPr>
          <w:rFonts w:eastAsia="Times New Roman"/>
          <w:sz w:val="30"/>
          <w:szCs w:val="30"/>
          <w:lang w:val="es-ES"/>
        </w:rPr>
        <w:t>omo (fideicomiso mercantil), no es, ni podrá ser considerado como una sociedad civil o mercantil, sino únicamente como una ficción jurídica capaz de ejercer derechos y contraer obligaciones a través del fiduciario, en atención a las instrucciones señaladas</w:t>
      </w:r>
      <w:r>
        <w:rPr>
          <w:rFonts w:eastAsia="Times New Roman"/>
          <w:sz w:val="30"/>
          <w:szCs w:val="30"/>
          <w:lang w:val="es-ES"/>
        </w:rPr>
        <w:t xml:space="preserve"> en el contrato.</w:t>
      </w:r>
    </w:p>
    <w:p w:rsidR="00000000" w:rsidRDefault="0018461E">
      <w:pPr>
        <w:divId w:val="211189393"/>
        <w:rPr>
          <w:rFonts w:eastAsia="Times New Roman"/>
          <w:sz w:val="30"/>
          <w:szCs w:val="30"/>
          <w:lang w:val="es-ES"/>
        </w:rPr>
      </w:pPr>
      <w:r>
        <w:rPr>
          <w:rFonts w:eastAsia="Times New Roman"/>
          <w:b/>
          <w:bCs/>
          <w:sz w:val="30"/>
          <w:szCs w:val="30"/>
          <w:lang w:val="es-ES"/>
        </w:rPr>
        <w:t xml:space="preserve">Art. 110.- Naturaleza y vigencia del contrato.- </w:t>
      </w:r>
      <w:r>
        <w:rPr>
          <w:rFonts w:eastAsia="Times New Roman"/>
          <w:sz w:val="30"/>
          <w:szCs w:val="30"/>
          <w:lang w:val="es-ES"/>
        </w:rPr>
        <w:t>(Reformado por el Art. 47 de la Ley s/n, R.O. 249-S, 20-V-2014).-</w:t>
      </w:r>
      <w:r>
        <w:rPr>
          <w:rFonts w:eastAsia="Times New Roman"/>
          <w:b/>
          <w:bCs/>
          <w:sz w:val="30"/>
          <w:szCs w:val="30"/>
          <w:lang w:val="es-ES"/>
        </w:rPr>
        <w:t xml:space="preserve"> </w:t>
      </w:r>
      <w:r>
        <w:rPr>
          <w:rFonts w:eastAsia="Times New Roman"/>
          <w:sz w:val="30"/>
          <w:szCs w:val="30"/>
          <w:lang w:val="es-ES"/>
        </w:rPr>
        <w:t>El contrato de fideicomiso mercantil deberá otorgarse mediante escritura pública.</w:t>
      </w:r>
      <w:r>
        <w:rPr>
          <w:rFonts w:eastAsia="Times New Roman"/>
          <w:sz w:val="30"/>
          <w:szCs w:val="30"/>
          <w:lang w:val="es-ES"/>
        </w:rPr>
        <w:br/>
      </w:r>
      <w:r>
        <w:rPr>
          <w:rFonts w:eastAsia="Times New Roman"/>
          <w:sz w:val="30"/>
          <w:szCs w:val="30"/>
          <w:lang w:val="es-ES"/>
        </w:rPr>
        <w:br/>
        <w:t xml:space="preserve">La transferencia de la propiedad a título </w:t>
      </w:r>
      <w:r>
        <w:rPr>
          <w:rFonts w:eastAsia="Times New Roman"/>
          <w:sz w:val="30"/>
          <w:szCs w:val="30"/>
          <w:lang w:val="es-ES"/>
        </w:rPr>
        <w:t>de fideicomiso se efectuará conforme las disposiciones generales previstas en las leyes, atendiendo la naturaleza de los bienes.</w:t>
      </w:r>
      <w:r>
        <w:rPr>
          <w:rFonts w:eastAsia="Times New Roman"/>
          <w:sz w:val="30"/>
          <w:szCs w:val="30"/>
          <w:lang w:val="es-ES"/>
        </w:rPr>
        <w:br/>
      </w:r>
      <w:r>
        <w:rPr>
          <w:rFonts w:eastAsia="Times New Roman"/>
          <w:sz w:val="30"/>
          <w:szCs w:val="30"/>
          <w:lang w:val="es-ES"/>
        </w:rPr>
        <w:br/>
        <w:t>El fideicomiso mercantil tendrá un plazo de vigencia o, podrá subsistir hasta el cumplimiento de la finalidad prevista o de un</w:t>
      </w:r>
      <w:r>
        <w:rPr>
          <w:rFonts w:eastAsia="Times New Roman"/>
          <w:sz w:val="30"/>
          <w:szCs w:val="30"/>
          <w:lang w:val="es-ES"/>
        </w:rPr>
        <w:t xml:space="preserve">a condición. La duración del fideicomiso mercantil no podrá ser superior a ochenta años, salvo los siguientes casos: </w:t>
      </w:r>
      <w:r>
        <w:rPr>
          <w:rFonts w:eastAsia="Times New Roman"/>
          <w:sz w:val="30"/>
          <w:szCs w:val="30"/>
          <w:lang w:val="es-ES"/>
        </w:rPr>
        <w:br/>
      </w:r>
      <w:r>
        <w:rPr>
          <w:rFonts w:eastAsia="Times New Roman"/>
          <w:sz w:val="30"/>
          <w:szCs w:val="30"/>
          <w:lang w:val="es-ES"/>
        </w:rPr>
        <w:br/>
        <w:t>a) Si la condición resolutoria es la disolución de una persona jurídica; y,</w:t>
      </w:r>
      <w:r>
        <w:rPr>
          <w:rFonts w:eastAsia="Times New Roman"/>
          <w:sz w:val="30"/>
          <w:szCs w:val="30"/>
          <w:lang w:val="es-ES"/>
        </w:rPr>
        <w:br/>
      </w:r>
      <w:r>
        <w:rPr>
          <w:rFonts w:eastAsia="Times New Roman"/>
          <w:sz w:val="30"/>
          <w:szCs w:val="30"/>
          <w:lang w:val="es-ES"/>
        </w:rPr>
        <w:br/>
        <w:t>b) Si los fideicomisos son constituidos con fines culturales</w:t>
      </w:r>
      <w:r>
        <w:rPr>
          <w:rFonts w:eastAsia="Times New Roman"/>
          <w:sz w:val="30"/>
          <w:szCs w:val="30"/>
          <w:lang w:val="es-ES"/>
        </w:rPr>
        <w:t xml:space="preserve"> o de investigación, altruistas o filantrópicos, tales como los que tengan por objeto el establecimiento de museos, bibliotecas, institutos de investigación científica o difusión de cultura, o de aliviar la situación de los interdictos, los huérfanos, los </w:t>
      </w:r>
      <w:r>
        <w:rPr>
          <w:rFonts w:eastAsia="Times New Roman"/>
          <w:sz w:val="30"/>
          <w:szCs w:val="30"/>
          <w:lang w:val="es-ES"/>
        </w:rPr>
        <w:t>ancianos, minusválidos y personas menesterosas, podrán subsistir hasta que sea factible cumplir el propósito para el que se hubieren constituido.</w:t>
      </w:r>
    </w:p>
    <w:p w:rsidR="00000000" w:rsidRDefault="0018461E">
      <w:pPr>
        <w:divId w:val="462507036"/>
        <w:rPr>
          <w:rFonts w:eastAsia="Times New Roman"/>
          <w:sz w:val="30"/>
          <w:szCs w:val="30"/>
          <w:lang w:val="es-ES"/>
        </w:rPr>
      </w:pPr>
      <w:r>
        <w:rPr>
          <w:rFonts w:eastAsia="Times New Roman"/>
          <w:b/>
          <w:bCs/>
          <w:sz w:val="30"/>
          <w:szCs w:val="30"/>
          <w:lang w:val="es-ES"/>
        </w:rPr>
        <w:t xml:space="preserve">Art. 111.- Titularización de activos.- </w:t>
      </w:r>
      <w:r>
        <w:rPr>
          <w:rFonts w:eastAsia="Times New Roman"/>
          <w:sz w:val="30"/>
          <w:szCs w:val="30"/>
          <w:lang w:val="es-ES"/>
        </w:rPr>
        <w:t xml:space="preserve">Se podrá utilizar el contrato de fideicomiso mercantil como medio para </w:t>
      </w:r>
      <w:r>
        <w:rPr>
          <w:rFonts w:eastAsia="Times New Roman"/>
          <w:sz w:val="30"/>
          <w:szCs w:val="30"/>
          <w:lang w:val="es-ES"/>
        </w:rPr>
        <w:t xml:space="preserve">llevar a cabo procesos de titularización de activos, cuyas fuentes de pago serán, exclusivamente </w:t>
      </w:r>
      <w:r>
        <w:rPr>
          <w:rFonts w:eastAsia="Times New Roman"/>
          <w:sz w:val="30"/>
          <w:szCs w:val="30"/>
          <w:lang w:val="es-ES"/>
        </w:rPr>
        <w:lastRenderedPageBreak/>
        <w:t>los bienes del fideicomiso y los mecanismos de cobertura correspondientes, conforme lo dispuesto en la presente Ley.</w:t>
      </w:r>
    </w:p>
    <w:p w:rsidR="00000000" w:rsidRDefault="0018461E">
      <w:pPr>
        <w:divId w:val="1512452342"/>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w:t>
      </w:r>
      <w:r>
        <w:rPr>
          <w:rFonts w:eastAsia="Times New Roman"/>
          <w:b/>
          <w:bCs/>
          <w:sz w:val="30"/>
          <w:szCs w:val="30"/>
          <w:lang w:val="es-ES"/>
        </w:rPr>
        <w:t xml:space="preserve">De los negocios fiduciarios.- </w:t>
      </w:r>
      <w:r>
        <w:rPr>
          <w:rFonts w:eastAsia="Times New Roman"/>
          <w:sz w:val="30"/>
          <w:szCs w:val="30"/>
          <w:lang w:val="es-ES"/>
        </w:rPr>
        <w:t>N</w:t>
      </w:r>
      <w:r>
        <w:rPr>
          <w:rFonts w:eastAsia="Times New Roman"/>
          <w:sz w:val="30"/>
          <w:szCs w:val="30"/>
          <w:lang w:val="es-ES"/>
        </w:rPr>
        <w:t>egocios fiduciarios son aquéllos actos de confianza en virtud de los cuales una persona entrega a otra uno o más bienes determinados, transfiriéndole o no la propiedad de los mismos para que ésta cumpla con ellos una finalidad específica, bien sea en benef</w:t>
      </w:r>
      <w:r>
        <w:rPr>
          <w:rFonts w:eastAsia="Times New Roman"/>
          <w:sz w:val="30"/>
          <w:szCs w:val="30"/>
          <w:lang w:val="es-ES"/>
        </w:rPr>
        <w:t>icio del constituyente o de un tercero. Si hay transferencia de la propiedad de los bienes el fideicomiso se denominará mercantil, particular que no se presenta en los encargos fiduciarios, también instrumentados con apoyo en las normas relativas al mandat</w:t>
      </w:r>
      <w:r>
        <w:rPr>
          <w:rFonts w:eastAsia="Times New Roman"/>
          <w:sz w:val="30"/>
          <w:szCs w:val="30"/>
          <w:lang w:val="es-ES"/>
        </w:rPr>
        <w:t>o, en los que sólo existe la mera entrega de los bienes.</w:t>
      </w:r>
    </w:p>
    <w:p w:rsidR="00000000" w:rsidRDefault="0018461E">
      <w:pPr>
        <w:divId w:val="1815831102"/>
        <w:rPr>
          <w:rFonts w:eastAsia="Times New Roman"/>
          <w:sz w:val="30"/>
          <w:szCs w:val="30"/>
          <w:lang w:val="es-ES"/>
        </w:rPr>
      </w:pPr>
      <w:r>
        <w:rPr>
          <w:rFonts w:eastAsia="Times New Roman"/>
          <w:b/>
          <w:bCs/>
          <w:sz w:val="30"/>
          <w:szCs w:val="30"/>
          <w:lang w:val="es-ES"/>
        </w:rPr>
        <w:t>Art. 113.- De la transferencia a título de fideicomiso mercantil.-</w:t>
      </w:r>
      <w:r>
        <w:rPr>
          <w:rFonts w:eastAsia="Times New Roman"/>
          <w:sz w:val="30"/>
          <w:szCs w:val="30"/>
          <w:lang w:val="es-ES"/>
        </w:rPr>
        <w:t xml:space="preserve"> (Reformado por el Art. 48 de la Ley s/n, R.O. 249-S, 20-V-2014).- La transferencia a título de fideicomiso mercantil no es onerosa n</w:t>
      </w:r>
      <w:r>
        <w:rPr>
          <w:rFonts w:eastAsia="Times New Roman"/>
          <w:sz w:val="30"/>
          <w:szCs w:val="30"/>
          <w:lang w:val="es-ES"/>
        </w:rPr>
        <w:t>i gratuita ya que la misma no determina un provecho económico ni para el constituyente ni para el fiduciario y se da como medio necesario para que éste último pueda cumplir con las finalidades determinadas por el constituyente en el contrato. Consecuenteme</w:t>
      </w:r>
      <w:r>
        <w:rPr>
          <w:rFonts w:eastAsia="Times New Roman"/>
          <w:sz w:val="30"/>
          <w:szCs w:val="30"/>
          <w:lang w:val="es-ES"/>
        </w:rPr>
        <w:t xml:space="preserve">nte, la transferencia a título de fideicomiso mercantil está exenta de todo tipo de impuestos, tasas y contribuciones ya que no constituye hecho generador para el nacimiento de obligaciones tributarias ni de impuestos indirectos previstos en las leyes que </w:t>
      </w:r>
      <w:r>
        <w:rPr>
          <w:rFonts w:eastAsia="Times New Roman"/>
          <w:sz w:val="30"/>
          <w:szCs w:val="30"/>
          <w:lang w:val="es-ES"/>
        </w:rPr>
        <w:t>gravan las transferencias gratuitas y onerosas.</w:t>
      </w:r>
      <w:r>
        <w:rPr>
          <w:rFonts w:eastAsia="Times New Roman"/>
          <w:sz w:val="30"/>
          <w:szCs w:val="30"/>
          <w:lang w:val="es-ES"/>
        </w:rPr>
        <w:br/>
      </w:r>
      <w:r>
        <w:rPr>
          <w:rFonts w:eastAsia="Times New Roman"/>
          <w:sz w:val="30"/>
          <w:szCs w:val="30"/>
          <w:lang w:val="es-ES"/>
        </w:rPr>
        <w:br/>
        <w:t>La transferencia de dominio de bienes inmuebles realizada en favor de un fideicomiso mercantil, está exenta del pago de los impuestos de alcabalas, registro e inscripción y de los correspondientes adicionale</w:t>
      </w:r>
      <w:r>
        <w:rPr>
          <w:rFonts w:eastAsia="Times New Roman"/>
          <w:sz w:val="30"/>
          <w:szCs w:val="30"/>
          <w:lang w:val="es-ES"/>
        </w:rPr>
        <w:t>s a tales impuestos, así como del impuesto a las utilidades en la compraventa de predios urbanos y plusvalía de los mismos. Las transferencias que haga el fiduciario restituyendo el dominio al mismo constituyente, sea que tal situación se deba a la falla d</w:t>
      </w:r>
      <w:r>
        <w:rPr>
          <w:rFonts w:eastAsia="Times New Roman"/>
          <w:sz w:val="30"/>
          <w:szCs w:val="30"/>
          <w:lang w:val="es-ES"/>
        </w:rPr>
        <w:t>e la condición prevista en el contrato, por cualquier situación de caso fortuito o fuerza mayor o por efectos contractuales que determinen que los bienes vuelvan en las mismas condiciones en las que fueron transferidos, gozarán también de las exenciones an</w:t>
      </w:r>
      <w:r>
        <w:rPr>
          <w:rFonts w:eastAsia="Times New Roman"/>
          <w:sz w:val="30"/>
          <w:szCs w:val="30"/>
          <w:lang w:val="es-ES"/>
        </w:rPr>
        <w:t>teriormente establecidas. Estarán gravadas las transferencias gratuitas u onerosas que haga el fiduciario en favor de los beneficiarios en cumplimiento de las finalidades del contrato de fideicomiso mercantil, siempre que las disposiciones generales previs</w:t>
      </w:r>
      <w:r>
        <w:rPr>
          <w:rFonts w:eastAsia="Times New Roman"/>
          <w:sz w:val="30"/>
          <w:szCs w:val="30"/>
          <w:lang w:val="es-ES"/>
        </w:rPr>
        <w:t>tas en las leyes así lo determinen.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transferencia de dominio de bienes muebles realizada a título de fideicomiso mercantil está exenta del pago del impuesto al valor agregado y de otros impuestos indirectos. Igual exención se aplicará en el caso de res</w:t>
      </w:r>
      <w:r>
        <w:rPr>
          <w:rFonts w:eastAsia="Times New Roman"/>
          <w:sz w:val="30"/>
          <w:szCs w:val="30"/>
          <w:lang w:val="es-ES"/>
        </w:rPr>
        <w:t>titución al constituyente de conformidad con el inciso precedente de este artículo.</w:t>
      </w:r>
      <w:r>
        <w:rPr>
          <w:rFonts w:eastAsia="Times New Roman"/>
          <w:sz w:val="30"/>
          <w:szCs w:val="30"/>
          <w:lang w:val="es-ES"/>
        </w:rPr>
        <w:br/>
      </w:r>
      <w:r>
        <w:rPr>
          <w:rFonts w:eastAsia="Times New Roman"/>
          <w:sz w:val="30"/>
          <w:szCs w:val="30"/>
          <w:lang w:val="es-ES"/>
        </w:rPr>
        <w:br/>
        <w:t>Se entiende en todos los casos por restitución la transferencia de dominio que haga el fiduciario a favor del mismo constituyente, del bien aportado a título de fideicomis</w:t>
      </w:r>
      <w:r>
        <w:rPr>
          <w:rFonts w:eastAsia="Times New Roman"/>
          <w:sz w:val="30"/>
          <w:szCs w:val="30"/>
          <w:lang w:val="es-ES"/>
        </w:rPr>
        <w:t>o mercantil, en las mismas condiciones en las que fueron transferidos inicialmente.</w:t>
      </w:r>
      <w:r>
        <w:rPr>
          <w:rFonts w:eastAsia="Times New Roman"/>
          <w:sz w:val="30"/>
          <w:szCs w:val="30"/>
          <w:lang w:val="es-ES"/>
        </w:rPr>
        <w:br/>
      </w:r>
      <w:r>
        <w:rPr>
          <w:rFonts w:eastAsia="Times New Roman"/>
          <w:sz w:val="30"/>
          <w:szCs w:val="30"/>
          <w:lang w:val="es-ES"/>
        </w:rPr>
        <w:br/>
        <w:t>Las constancias documentales sobre los derechos personales derivados del contrato de fideicomiso mercantil no constituyen valores.</w:t>
      </w:r>
    </w:p>
    <w:p w:rsidR="00000000" w:rsidRDefault="0018461E">
      <w:pPr>
        <w:divId w:val="371082363"/>
        <w:rPr>
          <w:rFonts w:eastAsia="Times New Roman"/>
          <w:sz w:val="30"/>
          <w:szCs w:val="30"/>
          <w:lang w:val="es-ES"/>
        </w:rPr>
      </w:pPr>
      <w:r>
        <w:rPr>
          <w:rFonts w:eastAsia="Times New Roman"/>
          <w:b/>
          <w:bCs/>
          <w:sz w:val="30"/>
          <w:szCs w:val="30"/>
          <w:lang w:val="es-ES"/>
        </w:rPr>
        <w:t>Art. 114.- Encargo fiduciario.</w:t>
      </w:r>
      <w:r>
        <w:rPr>
          <w:rFonts w:eastAsia="Times New Roman"/>
          <w:sz w:val="30"/>
          <w:szCs w:val="30"/>
          <w:lang w:val="es-ES"/>
        </w:rPr>
        <w:t xml:space="preserve">- Llámase </w:t>
      </w:r>
      <w:r>
        <w:rPr>
          <w:rFonts w:eastAsia="Times New Roman"/>
          <w:sz w:val="30"/>
          <w:szCs w:val="30"/>
          <w:lang w:val="es-ES"/>
        </w:rPr>
        <w:t>encargo fiduciario al contrato escrito y expreso por el cual una persona llamada constituyente instruye a otra llamada fiduciario, para que de manera irrevocable, con carácter temporal y por cuenta de aquél, cumpla diversas finalidades, tales como de gesti</w:t>
      </w:r>
      <w:r>
        <w:rPr>
          <w:rFonts w:eastAsia="Times New Roman"/>
          <w:sz w:val="30"/>
          <w:szCs w:val="30"/>
          <w:lang w:val="es-ES"/>
        </w:rPr>
        <w:t>ón, inversión, tenencia o guarda, enajenación, disposición en favor del propio constituyente o de un tercero llamado beneficiario.</w:t>
      </w:r>
      <w:r>
        <w:rPr>
          <w:rFonts w:eastAsia="Times New Roman"/>
          <w:sz w:val="30"/>
          <w:szCs w:val="30"/>
          <w:lang w:val="es-ES"/>
        </w:rPr>
        <w:br/>
      </w:r>
      <w:r>
        <w:rPr>
          <w:rFonts w:eastAsia="Times New Roman"/>
          <w:sz w:val="30"/>
          <w:szCs w:val="30"/>
          <w:lang w:val="es-ES"/>
        </w:rPr>
        <w:br/>
        <w:t>En este contrato se presentan los elementos subjetivos del contrato de fideicomiso mercantil, pero a diferencia de éste no e</w:t>
      </w:r>
      <w:r>
        <w:rPr>
          <w:rFonts w:eastAsia="Times New Roman"/>
          <w:sz w:val="30"/>
          <w:szCs w:val="30"/>
          <w:lang w:val="es-ES"/>
        </w:rPr>
        <w:t>xiste transferencia de bienes de parte del constituyente que conserva la propiedad de los mismos y únicamente los destina al cumplimiento de finalidades instituidas de manera irrevocable. Consecuentemente, en los encargos fiduciarios, no se configura perso</w:t>
      </w:r>
      <w:r>
        <w:rPr>
          <w:rFonts w:eastAsia="Times New Roman"/>
          <w:sz w:val="30"/>
          <w:szCs w:val="30"/>
          <w:lang w:val="es-ES"/>
        </w:rPr>
        <w:t>na jurídica alguna.</w:t>
      </w:r>
      <w:r>
        <w:rPr>
          <w:rFonts w:eastAsia="Times New Roman"/>
          <w:sz w:val="30"/>
          <w:szCs w:val="30"/>
          <w:lang w:val="es-ES"/>
        </w:rPr>
        <w:br/>
      </w:r>
      <w:r>
        <w:rPr>
          <w:rFonts w:eastAsia="Times New Roman"/>
          <w:sz w:val="30"/>
          <w:szCs w:val="30"/>
          <w:lang w:val="es-ES"/>
        </w:rPr>
        <w:br/>
        <w:t>Cuando por un encargo fiduciario se hayan entregado bienes al fiduciario, éste se obliga a mantenerlos separados de sus bienes propios así como de los fideicomisos mercantiles o de los encargos fiduciarios que mantenga por su actividad</w:t>
      </w:r>
      <w:r>
        <w:rPr>
          <w:rFonts w:eastAsia="Times New Roman"/>
          <w:sz w:val="30"/>
          <w:szCs w:val="30"/>
          <w:lang w:val="es-ES"/>
        </w:rPr>
        <w:t>, aplicando los criterios relativos a la tenencia y administración diligente de bienes de terceros.</w:t>
      </w:r>
      <w:r>
        <w:rPr>
          <w:rFonts w:eastAsia="Times New Roman"/>
          <w:sz w:val="30"/>
          <w:szCs w:val="30"/>
          <w:lang w:val="es-ES"/>
        </w:rPr>
        <w:br/>
      </w:r>
      <w:r>
        <w:rPr>
          <w:rFonts w:eastAsia="Times New Roman"/>
          <w:sz w:val="30"/>
          <w:szCs w:val="30"/>
          <w:lang w:val="es-ES"/>
        </w:rPr>
        <w:br/>
        <w:t>Son aplicables a los encargos fiduciarios el artículo 1464 del Código Civil y los artículos 2035, 2045, 2046, 2047, 2048, 2050, 2052, 2054, 2064, 2066, 206</w:t>
      </w:r>
      <w:r>
        <w:rPr>
          <w:rFonts w:eastAsia="Times New Roman"/>
          <w:sz w:val="30"/>
          <w:szCs w:val="30"/>
          <w:lang w:val="es-ES"/>
        </w:rPr>
        <w:t xml:space="preserve">7, numerales 1, 2, 5, 6 y 7, 2072, 2073, 2074 del Título XXVII del Código Civil referentes al mandato y las normas de la Comisión Mercantil previstas en el Código de Comercio y, en cuanto unas y otras sean compatibles con la naturaleza propia de estos </w:t>
      </w:r>
      <w:r>
        <w:rPr>
          <w:rFonts w:eastAsia="Times New Roman"/>
          <w:sz w:val="30"/>
          <w:szCs w:val="30"/>
          <w:lang w:val="es-ES"/>
        </w:rPr>
        <w:lastRenderedPageBreak/>
        <w:t>nego</w:t>
      </w:r>
      <w:r>
        <w:rPr>
          <w:rFonts w:eastAsia="Times New Roman"/>
          <w:sz w:val="30"/>
          <w:szCs w:val="30"/>
          <w:lang w:val="es-ES"/>
        </w:rPr>
        <w:t>cios y no se opongan a las reglas especiales previstas en la presente Ley.</w:t>
      </w:r>
      <w:r>
        <w:rPr>
          <w:rFonts w:eastAsia="Times New Roman"/>
          <w:sz w:val="30"/>
          <w:szCs w:val="30"/>
          <w:lang w:val="es-ES"/>
        </w:rPr>
        <w:br/>
      </w:r>
      <w:r>
        <w:rPr>
          <w:rFonts w:eastAsia="Times New Roman"/>
          <w:sz w:val="30"/>
          <w:szCs w:val="30"/>
          <w:lang w:val="es-ES"/>
        </w:rPr>
        <w:br/>
        <w:t>Quedan prohibidos los encargos fiduciarios y fideicomisos mercantiles secretos, esto es aquellos que no tengan prueba escrita y expresa respecto de la finalidad pretendida por el c</w:t>
      </w:r>
      <w:r>
        <w:rPr>
          <w:rFonts w:eastAsia="Times New Roman"/>
          <w:sz w:val="30"/>
          <w:szCs w:val="30"/>
          <w:lang w:val="es-ES"/>
        </w:rPr>
        <w:t>onstituyente en virtud del contrato, sin perjuicio de la obligación de reserva del fiduciario en atención a características puntuales de determinadas finalidades así como a los negocios finales de estos contratos.</w:t>
      </w:r>
    </w:p>
    <w:p w:rsidR="00000000" w:rsidRDefault="0018461E">
      <w:pPr>
        <w:divId w:val="1286959700"/>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Constituyentes o fideicomitente</w:t>
      </w:r>
      <w:r>
        <w:rPr>
          <w:rFonts w:eastAsia="Times New Roman"/>
          <w:b/>
          <w:bCs/>
          <w:sz w:val="30"/>
          <w:szCs w:val="30"/>
          <w:lang w:val="es-ES"/>
        </w:rPr>
        <w:t>s.</w:t>
      </w:r>
      <w:r>
        <w:rPr>
          <w:rFonts w:eastAsia="Times New Roman"/>
          <w:sz w:val="30"/>
          <w:szCs w:val="30"/>
          <w:lang w:val="es-ES"/>
        </w:rPr>
        <w:t>- (Reformado por el Art. 49 de la Ley s/n, R.O. 249-S, 20-V-2014 y por la Disposición Reformatoria Décima Séptima, num. 17 del Código Orgánico Monetario y Financiero; R.O. 332-2S, 12-IX-2014).- Pueden actuar como constituyentes de fideicomisos mercantile</w:t>
      </w:r>
      <w:r>
        <w:rPr>
          <w:rFonts w:eastAsia="Times New Roman"/>
          <w:sz w:val="30"/>
          <w:szCs w:val="30"/>
          <w:lang w:val="es-ES"/>
        </w:rPr>
        <w:t>s las personas naturales o jurídicas privadas, públicas o mixtas, nacionales o extranjeras, o entidades dotadas de personalidad jurídica, quienes transferirán el dominio de los bienes a título de fideicomiso mercantil.</w:t>
      </w:r>
      <w:r>
        <w:rPr>
          <w:rFonts w:eastAsia="Times New Roman"/>
          <w:sz w:val="30"/>
          <w:szCs w:val="30"/>
          <w:lang w:val="es-ES"/>
        </w:rPr>
        <w:br/>
      </w:r>
      <w:r>
        <w:rPr>
          <w:rFonts w:eastAsia="Times New Roman"/>
          <w:sz w:val="30"/>
          <w:szCs w:val="30"/>
          <w:lang w:val="es-ES"/>
        </w:rPr>
        <w:br/>
        <w:t>Las instituciones del sector público</w:t>
      </w:r>
      <w:r>
        <w:rPr>
          <w:rFonts w:eastAsia="Times New Roman"/>
          <w:sz w:val="30"/>
          <w:szCs w:val="30"/>
          <w:lang w:val="es-ES"/>
        </w:rPr>
        <w:t xml:space="preserve"> que actúen en tal calidad, se sujetarán al reglamento especial que para el efecto expedirá el C.N.V.</w:t>
      </w:r>
      <w:r>
        <w:rPr>
          <w:rFonts w:eastAsia="Times New Roman"/>
          <w:sz w:val="30"/>
          <w:szCs w:val="30"/>
          <w:lang w:val="es-ES"/>
        </w:rPr>
        <w:br/>
      </w:r>
      <w:r>
        <w:rPr>
          <w:rFonts w:eastAsia="Times New Roman"/>
          <w:sz w:val="30"/>
          <w:szCs w:val="30"/>
          <w:lang w:val="es-ES"/>
        </w:rPr>
        <w:br/>
        <w:t>El fiduciario en cumplimiento de encargos fiduciarios o de contratos de fideicomiso mercantil, puede además transferir bienes, sea para constituir nuevos</w:t>
      </w:r>
      <w:r>
        <w:rPr>
          <w:rFonts w:eastAsia="Times New Roman"/>
          <w:sz w:val="30"/>
          <w:szCs w:val="30"/>
          <w:lang w:val="es-ES"/>
        </w:rPr>
        <w:t xml:space="preserve"> fideicomisos mercantiles para incrementar el patrimonio de otros ya existentes, administrados por él mismo o por otro fiduciario.</w:t>
      </w:r>
      <w:r>
        <w:rPr>
          <w:rFonts w:eastAsia="Times New Roman"/>
          <w:sz w:val="30"/>
          <w:szCs w:val="30"/>
          <w:lang w:val="es-ES"/>
        </w:rPr>
        <w:br/>
      </w:r>
      <w:r>
        <w:rPr>
          <w:rFonts w:eastAsia="Times New Roman"/>
          <w:sz w:val="30"/>
          <w:szCs w:val="30"/>
          <w:lang w:val="es-ES"/>
        </w:rPr>
        <w:br/>
        <w:t>Para la transferencia de bienes de personas jurídicas se observarán lo que dispongan los estatutos de las mismas y las dispo</w:t>
      </w:r>
      <w:r>
        <w:rPr>
          <w:rFonts w:eastAsia="Times New Roman"/>
          <w:sz w:val="30"/>
          <w:szCs w:val="30"/>
          <w:lang w:val="es-ES"/>
        </w:rPr>
        <w:t>siciones previstas en la Ley de Compañías.</w:t>
      </w:r>
      <w:r>
        <w:rPr>
          <w:rFonts w:eastAsia="Times New Roman"/>
          <w:sz w:val="30"/>
          <w:szCs w:val="30"/>
          <w:lang w:val="es-ES"/>
        </w:rPr>
        <w:br/>
      </w:r>
      <w:r>
        <w:rPr>
          <w:rFonts w:eastAsia="Times New Roman"/>
          <w:sz w:val="30"/>
          <w:szCs w:val="30"/>
          <w:lang w:val="es-ES"/>
        </w:rPr>
        <w:br/>
        <w:t>Cuando un tercero distinto del constituyente se adhiere y acepta las disposiciones previstas en un contrato de fideicomiso mercantil o de encargos fiduciarios se lo denominará constituyente adherente. Cabe la adh</w:t>
      </w:r>
      <w:r>
        <w:rPr>
          <w:rFonts w:eastAsia="Times New Roman"/>
          <w:sz w:val="30"/>
          <w:szCs w:val="30"/>
          <w:lang w:val="es-ES"/>
        </w:rPr>
        <w:t>esión en los contratos en los que se haya establecido esa posibilidad.</w:t>
      </w:r>
      <w:r>
        <w:rPr>
          <w:rFonts w:eastAsia="Times New Roman"/>
          <w:sz w:val="30"/>
          <w:szCs w:val="30"/>
          <w:lang w:val="es-ES"/>
        </w:rPr>
        <w:br/>
      </w:r>
      <w:r>
        <w:rPr>
          <w:rFonts w:eastAsia="Times New Roman"/>
          <w:sz w:val="30"/>
          <w:szCs w:val="30"/>
          <w:lang w:val="es-ES"/>
        </w:rPr>
        <w:br/>
        <w:t>Las entidades del sector público únicamente pueden adherirse a contratos de fideicomisos mercantiles cuyos constituyentes sean también entidades del sector público.</w:t>
      </w:r>
      <w:r>
        <w:rPr>
          <w:rFonts w:eastAsia="Times New Roman"/>
          <w:sz w:val="30"/>
          <w:szCs w:val="30"/>
          <w:lang w:val="es-ES"/>
        </w:rPr>
        <w:br/>
      </w:r>
      <w:r>
        <w:rPr>
          <w:rFonts w:eastAsia="Times New Roman"/>
          <w:sz w:val="30"/>
          <w:szCs w:val="30"/>
          <w:lang w:val="es-ES"/>
        </w:rPr>
        <w:lastRenderedPageBreak/>
        <w:br/>
        <w:t>Para el cumplimien</w:t>
      </w:r>
      <w:r>
        <w:rPr>
          <w:rFonts w:eastAsia="Times New Roman"/>
          <w:sz w:val="30"/>
          <w:szCs w:val="30"/>
          <w:lang w:val="es-ES"/>
        </w:rPr>
        <w:t>to de su finalidad, el patrimonio autónomo podrá obtener financiamiento de instituciones del sistema financiero, mediante la emisión de valores establecidos en esta ley, y a través de otros mecanismos que regule la Junta.</w:t>
      </w:r>
    </w:p>
    <w:p w:rsidR="00000000" w:rsidRDefault="0018461E">
      <w:pPr>
        <w:divId w:val="1031683272"/>
        <w:rPr>
          <w:rFonts w:eastAsia="Times New Roman"/>
          <w:sz w:val="30"/>
          <w:szCs w:val="30"/>
          <w:lang w:val="es-ES"/>
        </w:rPr>
      </w:pPr>
      <w:r>
        <w:rPr>
          <w:rFonts w:eastAsia="Times New Roman"/>
          <w:b/>
          <w:bCs/>
          <w:sz w:val="30"/>
          <w:szCs w:val="30"/>
          <w:lang w:val="es-ES"/>
        </w:rPr>
        <w:t xml:space="preserve">Art. 116.- Beneficiarios.- </w:t>
      </w:r>
      <w:r>
        <w:rPr>
          <w:rFonts w:eastAsia="Times New Roman"/>
          <w:sz w:val="30"/>
          <w:szCs w:val="30"/>
          <w:lang w:val="es-ES"/>
        </w:rPr>
        <w:t>(Reform</w:t>
      </w:r>
      <w:r>
        <w:rPr>
          <w:rFonts w:eastAsia="Times New Roman"/>
          <w:sz w:val="30"/>
          <w:szCs w:val="30"/>
          <w:lang w:val="es-ES"/>
        </w:rPr>
        <w:t>ado por el Art. 50 de la Ley s/n, R.O. 249-S, 20-V-2014).- Serán beneficiarios de los fideicomisos mercantiles o de los encargos fiduciarios, las personas naturales o jurídicas privadas, públicas o mixtas, de derecho privado con finalidad social o pública,</w:t>
      </w:r>
      <w:r>
        <w:rPr>
          <w:rFonts w:eastAsia="Times New Roman"/>
          <w:sz w:val="30"/>
          <w:szCs w:val="30"/>
          <w:lang w:val="es-ES"/>
        </w:rPr>
        <w:t xml:space="preserve"> nacionales o extranjeras, o entidades dotadas de personalidad jurídica designadas como tales por el constituyente en el contrato o posteriormente si en el contrato se ha previsto tal atribución. Podrá designarse como beneficiario del fideicomiso mercantil</w:t>
      </w:r>
      <w:r>
        <w:rPr>
          <w:rFonts w:eastAsia="Times New Roman"/>
          <w:sz w:val="30"/>
          <w:szCs w:val="30"/>
          <w:lang w:val="es-ES"/>
        </w:rPr>
        <w:t xml:space="preserve"> a una persona que al momento de la constitución del mismo no exista pero se espera que exista. Podrán existir varios beneficiarios de un contrato de fideicomiso, pudiendo el constituyente establecer grados de preeminencia entre ellos e inclusive beneficia</w:t>
      </w:r>
      <w:r>
        <w:rPr>
          <w:rFonts w:eastAsia="Times New Roman"/>
          <w:sz w:val="30"/>
          <w:szCs w:val="30"/>
          <w:lang w:val="es-ES"/>
        </w:rPr>
        <w:t>rios sustitutos.</w:t>
      </w:r>
      <w:r>
        <w:rPr>
          <w:rFonts w:eastAsia="Times New Roman"/>
          <w:sz w:val="30"/>
          <w:szCs w:val="30"/>
          <w:lang w:val="es-ES"/>
        </w:rPr>
        <w:br/>
      </w:r>
      <w:r>
        <w:rPr>
          <w:rFonts w:eastAsia="Times New Roman"/>
          <w:sz w:val="30"/>
          <w:szCs w:val="30"/>
          <w:lang w:val="es-ES"/>
        </w:rPr>
        <w:br/>
        <w:t>A falta de estipulación, en el evento de faltar o ante la renuncia del beneficiario designado y, no existiendo beneficiarios sustitutos o sucesores de sus derechos, se tendrá como beneficiario al mismo constituyente o a sus sucesores de s</w:t>
      </w:r>
      <w:r>
        <w:rPr>
          <w:rFonts w:eastAsia="Times New Roman"/>
          <w:sz w:val="30"/>
          <w:szCs w:val="30"/>
          <w:lang w:val="es-ES"/>
        </w:rPr>
        <w:t>er el caso.</w:t>
      </w:r>
      <w:r>
        <w:rPr>
          <w:rFonts w:eastAsia="Times New Roman"/>
          <w:sz w:val="30"/>
          <w:szCs w:val="30"/>
          <w:lang w:val="es-ES"/>
        </w:rPr>
        <w:br/>
      </w:r>
      <w:r>
        <w:rPr>
          <w:rFonts w:eastAsia="Times New Roman"/>
          <w:sz w:val="30"/>
          <w:szCs w:val="30"/>
          <w:lang w:val="es-ES"/>
        </w:rPr>
        <w:br/>
        <w:t>Queda expresamente prohibida la constitución de un fideicomiso mercantil en el que se designe como beneficiario principal o sustituto al propio fiduciario, sus administradores, representantes legales, o sus empresas vinculadas.</w:t>
      </w:r>
    </w:p>
    <w:p w:rsidR="00000000" w:rsidRDefault="0018461E">
      <w:pPr>
        <w:divId w:val="1805804414"/>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Bien</w:t>
      </w:r>
      <w:r>
        <w:rPr>
          <w:rFonts w:eastAsia="Times New Roman"/>
          <w:b/>
          <w:bCs/>
          <w:sz w:val="30"/>
          <w:szCs w:val="30"/>
          <w:lang w:val="es-ES"/>
        </w:rPr>
        <w:t>es que se espera que existan.</w:t>
      </w:r>
      <w:r>
        <w:rPr>
          <w:rFonts w:eastAsia="Times New Roman"/>
          <w:sz w:val="30"/>
          <w:szCs w:val="30"/>
          <w:lang w:val="es-ES"/>
        </w:rPr>
        <w:t>- Los bienes que no existen pero que se espera que existan podrán comprometerse en el contrato de fideicomiso mercantil a efectos de que cuando lleguen a existir, incrementen el patrimonio del fideicomiso mercantil.</w:t>
      </w:r>
    </w:p>
    <w:p w:rsidR="00000000" w:rsidRDefault="0018461E">
      <w:pPr>
        <w:divId w:val="257719134"/>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w:t>
      </w:r>
      <w:r>
        <w:rPr>
          <w:rFonts w:eastAsia="Times New Roman"/>
          <w:b/>
          <w:bCs/>
          <w:sz w:val="30"/>
          <w:szCs w:val="30"/>
          <w:lang w:val="es-ES"/>
        </w:rPr>
        <w:t xml:space="preserve">Naturaleza individual y separada de cada fideicomiso mercantil.- </w:t>
      </w:r>
      <w:r>
        <w:rPr>
          <w:rFonts w:eastAsia="Times New Roman"/>
          <w:sz w:val="30"/>
          <w:szCs w:val="30"/>
          <w:lang w:val="es-ES"/>
        </w:rPr>
        <w:t>El patrimonio autónomo que se origina en virtud del contrato de fideicomiso mercantil es distinto de los patrimonios individuales del constituyente, del fiduciario y beneficiario, así como de</w:t>
      </w:r>
      <w:r>
        <w:rPr>
          <w:rFonts w:eastAsia="Times New Roman"/>
          <w:sz w:val="30"/>
          <w:szCs w:val="30"/>
          <w:lang w:val="es-ES"/>
        </w:rPr>
        <w:t xml:space="preserve"> otros fideicomisos mercantiles que mantenga el fiduciario.</w:t>
      </w:r>
      <w:r>
        <w:rPr>
          <w:rFonts w:eastAsia="Times New Roman"/>
          <w:sz w:val="30"/>
          <w:szCs w:val="30"/>
          <w:lang w:val="es-ES"/>
        </w:rPr>
        <w:br/>
      </w:r>
      <w:r>
        <w:rPr>
          <w:rFonts w:eastAsia="Times New Roman"/>
          <w:sz w:val="30"/>
          <w:szCs w:val="30"/>
          <w:lang w:val="es-ES"/>
        </w:rPr>
        <w:br/>
        <w:t xml:space="preserve">Cada fideicomiso mercantil como patrimonio autónomo que es, estará integrado por los bienes, derechos, créditos, obligaciones y contingentes que sean transferidos en fideicomiso mercantil o que </w:t>
      </w:r>
      <w:r>
        <w:rPr>
          <w:rFonts w:eastAsia="Times New Roman"/>
          <w:sz w:val="30"/>
          <w:szCs w:val="30"/>
          <w:lang w:val="es-ES"/>
        </w:rPr>
        <w:lastRenderedPageBreak/>
        <w:t>s</w:t>
      </w:r>
      <w:r>
        <w:rPr>
          <w:rFonts w:eastAsia="Times New Roman"/>
          <w:sz w:val="30"/>
          <w:szCs w:val="30"/>
          <w:lang w:val="es-ES"/>
        </w:rPr>
        <w:t>ean consecuencia del cumplimiento de la finalidad establecida por el constituyente. Consecuentemente, el patrimonio del fideicomiso mercantil garantiza las obligaciones y responsabilidades que el fiduciario contraiga por cuenta del fideicomiso mercantil pa</w:t>
      </w:r>
      <w:r>
        <w:rPr>
          <w:rFonts w:eastAsia="Times New Roman"/>
          <w:sz w:val="30"/>
          <w:szCs w:val="30"/>
          <w:lang w:val="es-ES"/>
        </w:rPr>
        <w:t>ra el cumplimiento de las finalidades previstas en el contrato.</w:t>
      </w:r>
      <w:r>
        <w:rPr>
          <w:rFonts w:eastAsia="Times New Roman"/>
          <w:sz w:val="30"/>
          <w:szCs w:val="30"/>
          <w:lang w:val="es-ES"/>
        </w:rPr>
        <w:br/>
      </w:r>
      <w:r>
        <w:rPr>
          <w:rFonts w:eastAsia="Times New Roman"/>
          <w:sz w:val="30"/>
          <w:szCs w:val="30"/>
          <w:lang w:val="es-ES"/>
        </w:rPr>
        <w:br/>
        <w:t xml:space="preserve">Por ello y dado a que el patrimonio autónomo tiene personalidad jurídica, quienes tengan créditos a favor o con ocasión de actos o contratos celebrados con un fiduciario que actuó por cuenta </w:t>
      </w:r>
      <w:r>
        <w:rPr>
          <w:rFonts w:eastAsia="Times New Roman"/>
          <w:sz w:val="30"/>
          <w:szCs w:val="30"/>
          <w:lang w:val="es-ES"/>
        </w:rPr>
        <w:t>de un fideicomiso mercantil, sólo podrán perseguir los bienes del fideicomiso mercantil del cual se trate mas no los bienes propios del fiduciario.</w:t>
      </w:r>
      <w:r>
        <w:rPr>
          <w:rFonts w:eastAsia="Times New Roman"/>
          <w:sz w:val="30"/>
          <w:szCs w:val="30"/>
          <w:lang w:val="es-ES"/>
        </w:rPr>
        <w:br/>
      </w:r>
      <w:r>
        <w:rPr>
          <w:rFonts w:eastAsia="Times New Roman"/>
          <w:sz w:val="30"/>
          <w:szCs w:val="30"/>
          <w:lang w:val="es-ES"/>
        </w:rPr>
        <w:br/>
        <w:t>La responsabilidad por las obligaciones contenidas en el patrimonio autónomo se limitará únicamente hasta e</w:t>
      </w:r>
      <w:r>
        <w:rPr>
          <w:rFonts w:eastAsia="Times New Roman"/>
          <w:sz w:val="30"/>
          <w:szCs w:val="30"/>
          <w:lang w:val="es-ES"/>
        </w:rPr>
        <w:t>l monto de los bienes que hayan sido transferidos al patrimonio del fideicomiso mercantil, quedando excluidos los bienes propios del fiduciario.</w:t>
      </w:r>
      <w:r>
        <w:rPr>
          <w:rFonts w:eastAsia="Times New Roman"/>
          <w:sz w:val="30"/>
          <w:szCs w:val="30"/>
          <w:lang w:val="es-ES"/>
        </w:rPr>
        <w:br/>
      </w:r>
      <w:r>
        <w:rPr>
          <w:rFonts w:eastAsia="Times New Roman"/>
          <w:sz w:val="30"/>
          <w:szCs w:val="30"/>
          <w:lang w:val="es-ES"/>
        </w:rPr>
        <w:br/>
        <w:t xml:space="preserve">Contractualmente el constituyente podrá ordenar que el fideicomiso se someta a auditoría externa; sin embargo </w:t>
      </w:r>
      <w:r>
        <w:rPr>
          <w:rFonts w:eastAsia="Times New Roman"/>
          <w:sz w:val="30"/>
          <w:szCs w:val="30"/>
          <w:lang w:val="es-ES"/>
        </w:rPr>
        <w:t>el C.N.V., establecerá mediante norma general los casos en los que obligatoriamente los fideicomisos deberán contar con auditoría externa, teniendo en consideración el monto y naturaleza de los mismos.</w:t>
      </w:r>
    </w:p>
    <w:p w:rsidR="00000000" w:rsidRDefault="0018461E">
      <w:pPr>
        <w:divId w:val="1747071847"/>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Titularidad legal del dominio.</w:t>
      </w:r>
      <w:r>
        <w:rPr>
          <w:rFonts w:eastAsia="Times New Roman"/>
          <w:sz w:val="30"/>
          <w:szCs w:val="30"/>
          <w:lang w:val="es-ES"/>
        </w:rPr>
        <w:t>- El fideicom</w:t>
      </w:r>
      <w:r>
        <w:rPr>
          <w:rFonts w:eastAsia="Times New Roman"/>
          <w:sz w:val="30"/>
          <w:szCs w:val="30"/>
          <w:lang w:val="es-ES"/>
        </w:rPr>
        <w:t>iso mercantil será el titular de los bienes que integran el patrimonio autónomo. El fiduciario ejercerá la personería jurídica y la representación legal del fideicomiso mercantil, por lo que podrá intervenir con todos los derechos y atribuciones que le cor</w:t>
      </w:r>
      <w:r>
        <w:rPr>
          <w:rFonts w:eastAsia="Times New Roman"/>
          <w:sz w:val="30"/>
          <w:szCs w:val="30"/>
          <w:lang w:val="es-ES"/>
        </w:rPr>
        <w:t>respondan al fideicomiso mercantil como sujeto procesal, bien sea de manera activa o pasiva, ante las autoridades competentes en toda clase de procesos, trámites y actuaciones administrativas o judiciales que deban realizarse para la protección de los bien</w:t>
      </w:r>
      <w:r>
        <w:rPr>
          <w:rFonts w:eastAsia="Times New Roman"/>
          <w:sz w:val="30"/>
          <w:szCs w:val="30"/>
          <w:lang w:val="es-ES"/>
        </w:rPr>
        <w:t>es que lo integran, así como para exigir el pago de los créditos a favor del fideicomiso y para el logro de las finalidades pretendidas por el constituyente.</w:t>
      </w:r>
    </w:p>
    <w:p w:rsidR="00000000" w:rsidRDefault="0018461E">
      <w:pPr>
        <w:divId w:val="355618899"/>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Contenido básico del contrato.</w:t>
      </w:r>
      <w:r>
        <w:rPr>
          <w:rFonts w:eastAsia="Times New Roman"/>
          <w:sz w:val="30"/>
          <w:szCs w:val="30"/>
          <w:lang w:val="es-ES"/>
        </w:rPr>
        <w:t>- El contrato de fideicomiso mercantil o de encargos fidu</w:t>
      </w:r>
      <w:r>
        <w:rPr>
          <w:rFonts w:eastAsia="Times New Roman"/>
          <w:sz w:val="30"/>
          <w:szCs w:val="30"/>
          <w:lang w:val="es-ES"/>
        </w:rPr>
        <w:t>ciarios deberá contener por lo menos lo siguiente:</w:t>
      </w:r>
      <w:r>
        <w:rPr>
          <w:rFonts w:eastAsia="Times New Roman"/>
          <w:sz w:val="30"/>
          <w:szCs w:val="30"/>
          <w:lang w:val="es-ES"/>
        </w:rPr>
        <w:br/>
      </w:r>
      <w:r>
        <w:rPr>
          <w:rFonts w:eastAsia="Times New Roman"/>
          <w:sz w:val="30"/>
          <w:szCs w:val="30"/>
          <w:lang w:val="es-ES"/>
        </w:rPr>
        <w:br/>
        <w:t xml:space="preserve">1.- Requisitos mínimos: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a) La identificación del o los constituyentes y del o los beneficiarios; </w:t>
      </w:r>
      <w:r>
        <w:rPr>
          <w:rFonts w:eastAsia="Times New Roman"/>
          <w:sz w:val="30"/>
          <w:szCs w:val="30"/>
          <w:lang w:val="es-ES"/>
        </w:rPr>
        <w:br/>
      </w:r>
      <w:r>
        <w:rPr>
          <w:rFonts w:eastAsia="Times New Roman"/>
          <w:sz w:val="30"/>
          <w:szCs w:val="30"/>
          <w:lang w:val="es-ES"/>
        </w:rPr>
        <w:br/>
        <w:t>b) Una declaración juramentada del constituyente de que los dineros o bienes transferidos tienen proced</w:t>
      </w:r>
      <w:r>
        <w:rPr>
          <w:rFonts w:eastAsia="Times New Roman"/>
          <w:sz w:val="30"/>
          <w:szCs w:val="30"/>
          <w:lang w:val="es-ES"/>
        </w:rPr>
        <w:t xml:space="preserve">encia legítima; que el contrato no adolece de causa u objeto ilícito y, que no irroga perjuicios a acreedores del constituyente o a terceros; </w:t>
      </w:r>
      <w:r>
        <w:rPr>
          <w:rFonts w:eastAsia="Times New Roman"/>
          <w:sz w:val="30"/>
          <w:szCs w:val="30"/>
          <w:lang w:val="es-ES"/>
        </w:rPr>
        <w:br/>
      </w:r>
      <w:r>
        <w:rPr>
          <w:rFonts w:eastAsia="Times New Roman"/>
          <w:sz w:val="30"/>
          <w:szCs w:val="30"/>
          <w:lang w:val="es-ES"/>
        </w:rPr>
        <w:br/>
        <w:t>c) La transferencia de los bienes en fideicomiso mercantil y la entrega o no cuando se trate de encargos fiducia</w:t>
      </w:r>
      <w:r>
        <w:rPr>
          <w:rFonts w:eastAsia="Times New Roman"/>
          <w:sz w:val="30"/>
          <w:szCs w:val="30"/>
          <w:lang w:val="es-ES"/>
        </w:rPr>
        <w:t xml:space="preserve">rios; </w:t>
      </w:r>
      <w:r>
        <w:rPr>
          <w:rFonts w:eastAsia="Times New Roman"/>
          <w:sz w:val="30"/>
          <w:szCs w:val="30"/>
          <w:lang w:val="es-ES"/>
        </w:rPr>
        <w:br/>
      </w:r>
      <w:r>
        <w:rPr>
          <w:rFonts w:eastAsia="Times New Roman"/>
          <w:sz w:val="30"/>
          <w:szCs w:val="30"/>
          <w:lang w:val="es-ES"/>
        </w:rPr>
        <w:br/>
        <w:t xml:space="preserve">d) Los derechos y obligaciones a cargo del constituyente, de los constituyentes adherentes, en caso de haberse previsto su adhesión, del fiduciario y del beneficiario; </w:t>
      </w:r>
      <w:r>
        <w:rPr>
          <w:rFonts w:eastAsia="Times New Roman"/>
          <w:sz w:val="30"/>
          <w:szCs w:val="30"/>
          <w:lang w:val="es-ES"/>
        </w:rPr>
        <w:br/>
      </w:r>
      <w:r>
        <w:rPr>
          <w:rFonts w:eastAsia="Times New Roman"/>
          <w:sz w:val="30"/>
          <w:szCs w:val="30"/>
          <w:lang w:val="es-ES"/>
        </w:rPr>
        <w:br/>
        <w:t xml:space="preserve">e) Las remuneraciones a las que tenga derecho el fiduciario por la aceptación </w:t>
      </w:r>
      <w:r>
        <w:rPr>
          <w:rFonts w:eastAsia="Times New Roman"/>
          <w:sz w:val="30"/>
          <w:szCs w:val="30"/>
          <w:lang w:val="es-ES"/>
        </w:rPr>
        <w:t xml:space="preserve">y desempeño de su gestión; </w:t>
      </w:r>
      <w:r>
        <w:rPr>
          <w:rFonts w:eastAsia="Times New Roman"/>
          <w:sz w:val="30"/>
          <w:szCs w:val="30"/>
          <w:lang w:val="es-ES"/>
        </w:rPr>
        <w:br/>
      </w:r>
      <w:r>
        <w:rPr>
          <w:rFonts w:eastAsia="Times New Roman"/>
          <w:sz w:val="30"/>
          <w:szCs w:val="30"/>
          <w:lang w:val="es-ES"/>
        </w:rPr>
        <w:br/>
        <w:t xml:space="preserve">f) La denominación del patrimonio autónomo que surge como efecto propio del contrato; </w:t>
      </w:r>
      <w:r>
        <w:rPr>
          <w:rFonts w:eastAsia="Times New Roman"/>
          <w:sz w:val="30"/>
          <w:szCs w:val="30"/>
          <w:lang w:val="es-ES"/>
        </w:rPr>
        <w:br/>
      </w:r>
      <w:r>
        <w:rPr>
          <w:rFonts w:eastAsia="Times New Roman"/>
          <w:sz w:val="30"/>
          <w:szCs w:val="30"/>
          <w:lang w:val="es-ES"/>
        </w:rPr>
        <w:br/>
        <w:t xml:space="preserve">g) Las causales y forma de terminación del fideicomiso mercantil; </w:t>
      </w:r>
      <w:r>
        <w:rPr>
          <w:rFonts w:eastAsia="Times New Roman"/>
          <w:sz w:val="30"/>
          <w:szCs w:val="30"/>
          <w:lang w:val="es-ES"/>
        </w:rPr>
        <w:br/>
      </w:r>
      <w:r>
        <w:rPr>
          <w:rFonts w:eastAsia="Times New Roman"/>
          <w:sz w:val="30"/>
          <w:szCs w:val="30"/>
          <w:lang w:val="es-ES"/>
        </w:rPr>
        <w:br/>
        <w:t>h) Las causales de sustitución del fiduciario y el procedimiento que se</w:t>
      </w:r>
      <w:r>
        <w:rPr>
          <w:rFonts w:eastAsia="Times New Roman"/>
          <w:sz w:val="30"/>
          <w:szCs w:val="30"/>
          <w:lang w:val="es-ES"/>
        </w:rPr>
        <w:t xml:space="preserve"> adoptará para tal efecto; e, </w:t>
      </w:r>
      <w:r>
        <w:rPr>
          <w:rFonts w:eastAsia="Times New Roman"/>
          <w:sz w:val="30"/>
          <w:szCs w:val="30"/>
          <w:lang w:val="es-ES"/>
        </w:rPr>
        <w:br/>
      </w:r>
      <w:r>
        <w:rPr>
          <w:rFonts w:eastAsia="Times New Roman"/>
          <w:sz w:val="30"/>
          <w:szCs w:val="30"/>
          <w:lang w:val="es-ES"/>
        </w:rPr>
        <w:br/>
        <w:t xml:space="preserve">i) Las condiciones generales o específicas para el manejo, entrega de los bienes, frutos, rendimientos y liquidación del fideicomiso mercantil. </w:t>
      </w:r>
      <w:r>
        <w:rPr>
          <w:rFonts w:eastAsia="Times New Roman"/>
          <w:sz w:val="30"/>
          <w:szCs w:val="30"/>
          <w:lang w:val="es-ES"/>
        </w:rPr>
        <w:br/>
      </w:r>
      <w:r>
        <w:rPr>
          <w:rFonts w:eastAsia="Times New Roman"/>
          <w:sz w:val="30"/>
          <w:szCs w:val="30"/>
          <w:lang w:val="es-ES"/>
        </w:rPr>
        <w:br/>
        <w:t>2.- Además, el contrato podrá contener elementos adicionales, tales como:</w:t>
      </w:r>
      <w:r>
        <w:rPr>
          <w:rFonts w:eastAsia="Times New Roman"/>
          <w:sz w:val="30"/>
          <w:szCs w:val="30"/>
          <w:lang w:val="es-ES"/>
        </w:rPr>
        <w:br/>
      </w:r>
      <w:r>
        <w:rPr>
          <w:rFonts w:eastAsia="Times New Roman"/>
          <w:sz w:val="30"/>
          <w:szCs w:val="30"/>
          <w:lang w:val="es-ES"/>
        </w:rPr>
        <w:br/>
        <w:t xml:space="preserve">a) </w:t>
      </w:r>
      <w:r>
        <w:rPr>
          <w:rFonts w:eastAsia="Times New Roman"/>
          <w:sz w:val="30"/>
          <w:szCs w:val="30"/>
          <w:lang w:val="es-ES"/>
        </w:rPr>
        <w:t>La facultad o no y la forma por la cual el fiduciario pueda emitir certificados de participación en los derechos personales derivados del contrato de fideicomiso mercantil, los mismos que constituyen títulos valores, de conformidad con las normas de titula</w:t>
      </w:r>
      <w:r>
        <w:rPr>
          <w:rFonts w:eastAsia="Times New Roman"/>
          <w:sz w:val="30"/>
          <w:szCs w:val="30"/>
          <w:lang w:val="es-ES"/>
        </w:rPr>
        <w:t>rización que dicte el C.N.V.; y,</w:t>
      </w:r>
      <w:r>
        <w:rPr>
          <w:rFonts w:eastAsia="Times New Roman"/>
          <w:sz w:val="30"/>
          <w:szCs w:val="30"/>
          <w:lang w:val="es-ES"/>
        </w:rPr>
        <w:br/>
      </w:r>
      <w:r>
        <w:rPr>
          <w:rFonts w:eastAsia="Times New Roman"/>
          <w:sz w:val="30"/>
          <w:szCs w:val="30"/>
          <w:lang w:val="es-ES"/>
        </w:rPr>
        <w:br/>
        <w:t xml:space="preserve">b) La existencia o no de juntas de beneficiarios, de constituyentes o de otros cuerpos colegiados necesarios para lograr la finalidad pretendida </w:t>
      </w:r>
      <w:r>
        <w:rPr>
          <w:rFonts w:eastAsia="Times New Roman"/>
          <w:sz w:val="30"/>
          <w:szCs w:val="30"/>
          <w:lang w:val="es-ES"/>
        </w:rPr>
        <w:lastRenderedPageBreak/>
        <w:t>por el constituyente, y;</w:t>
      </w:r>
      <w:r>
        <w:rPr>
          <w:rFonts w:eastAsia="Times New Roman"/>
          <w:sz w:val="30"/>
          <w:szCs w:val="30"/>
          <w:lang w:val="es-ES"/>
        </w:rPr>
        <w:br/>
      </w:r>
      <w:r>
        <w:rPr>
          <w:rFonts w:eastAsia="Times New Roman"/>
          <w:sz w:val="30"/>
          <w:szCs w:val="30"/>
          <w:lang w:val="es-ES"/>
        </w:rPr>
        <w:br/>
        <w:t>c) (Agregado por el Art. 51 de la Ley s/n, R.O. 249</w:t>
      </w:r>
      <w:r>
        <w:rPr>
          <w:rFonts w:eastAsia="Times New Roman"/>
          <w:sz w:val="30"/>
          <w:szCs w:val="30"/>
          <w:lang w:val="es-ES"/>
        </w:rPr>
        <w:t>-S, 20-V-2014; y, reformado por la Disposición Reformatoria Décima Séptima, num. 2 del Código Orgánico Monetario y Financiero; R.O. 332-2S, 12-IX-2014).- Los demás requisitos que establezca la Junta de Política y Regulación Monetaria y Financiera.</w:t>
      </w:r>
      <w:r>
        <w:rPr>
          <w:rFonts w:eastAsia="Times New Roman"/>
          <w:sz w:val="30"/>
          <w:szCs w:val="30"/>
          <w:lang w:val="es-ES"/>
        </w:rPr>
        <w:br/>
      </w:r>
      <w:r>
        <w:rPr>
          <w:rFonts w:eastAsia="Times New Roman"/>
          <w:sz w:val="30"/>
          <w:szCs w:val="30"/>
          <w:lang w:val="es-ES"/>
        </w:rPr>
        <w:br/>
        <w:t xml:space="preserve">3.- En </w:t>
      </w:r>
      <w:r>
        <w:rPr>
          <w:rFonts w:eastAsia="Times New Roman"/>
          <w:sz w:val="30"/>
          <w:szCs w:val="30"/>
          <w:lang w:val="es-ES"/>
        </w:rPr>
        <w:t>los contratos no se podrán estipular cláusulas que signifiquen la imposición de condiciones inequitativas e ilegales, tales como:</w:t>
      </w:r>
      <w:r>
        <w:rPr>
          <w:rFonts w:eastAsia="Times New Roman"/>
          <w:sz w:val="30"/>
          <w:szCs w:val="30"/>
          <w:lang w:val="es-ES"/>
        </w:rPr>
        <w:br/>
      </w:r>
      <w:r>
        <w:rPr>
          <w:rFonts w:eastAsia="Times New Roman"/>
          <w:sz w:val="30"/>
          <w:szCs w:val="30"/>
          <w:lang w:val="es-ES"/>
        </w:rPr>
        <w:br/>
        <w:t>a) Previsiones que disminuyan las obligaciones legales impuestas al fiduciario o acrecienten sus facultades legales en aspect</w:t>
      </w:r>
      <w:r>
        <w:rPr>
          <w:rFonts w:eastAsia="Times New Roman"/>
          <w:sz w:val="30"/>
          <w:szCs w:val="30"/>
          <w:lang w:val="es-ES"/>
        </w:rPr>
        <w:t>os importantes para el constituyente y/o beneficiario, como aquellas que exoneren la responsabilidad de aquél o se reserve la facultad de dar por terminado el contrato anticipadamente o de apartarse de la gestión encomendada, sin que en el contrato se haya</w:t>
      </w:r>
      <w:r>
        <w:rPr>
          <w:rFonts w:eastAsia="Times New Roman"/>
          <w:sz w:val="30"/>
          <w:szCs w:val="30"/>
          <w:lang w:val="es-ES"/>
        </w:rPr>
        <w:t>n indicado expresamente los motivos para hacerlo y se cumplan los trámites administrativos a que haya lugar;</w:t>
      </w:r>
      <w:r>
        <w:rPr>
          <w:rFonts w:eastAsia="Times New Roman"/>
          <w:sz w:val="30"/>
          <w:szCs w:val="30"/>
          <w:lang w:val="es-ES"/>
        </w:rPr>
        <w:br/>
      </w:r>
      <w:r>
        <w:rPr>
          <w:rFonts w:eastAsia="Times New Roman"/>
          <w:sz w:val="30"/>
          <w:szCs w:val="30"/>
          <w:lang w:val="es-ES"/>
        </w:rPr>
        <w:br/>
        <w:t>b) Limitación de los derechos legales del constituyente o beneficiario, como el de resarcirse de los daños y perjuicios causados, ya sea por incum</w:t>
      </w:r>
      <w:r>
        <w:rPr>
          <w:rFonts w:eastAsia="Times New Roman"/>
          <w:sz w:val="30"/>
          <w:szCs w:val="30"/>
          <w:lang w:val="es-ES"/>
        </w:rPr>
        <w:t>plimiento o por defectuoso cumplimiento de las obligaciones del fiduciario;</w:t>
      </w:r>
      <w:r>
        <w:rPr>
          <w:rFonts w:eastAsia="Times New Roman"/>
          <w:sz w:val="30"/>
          <w:szCs w:val="30"/>
          <w:lang w:val="es-ES"/>
        </w:rPr>
        <w:br/>
      </w:r>
      <w:r>
        <w:rPr>
          <w:rFonts w:eastAsia="Times New Roman"/>
          <w:sz w:val="30"/>
          <w:szCs w:val="30"/>
          <w:lang w:val="es-ES"/>
        </w:rPr>
        <w:br/>
        <w:t>c) La determinación de circunstancias que no se hayan destacado con caracteres visibles en la primera página del contrato al momento de su celebración, a partir de las cuales se d</w:t>
      </w:r>
      <w:r>
        <w:rPr>
          <w:rFonts w:eastAsia="Times New Roman"/>
          <w:sz w:val="30"/>
          <w:szCs w:val="30"/>
          <w:lang w:val="es-ES"/>
        </w:rPr>
        <w:t>erive, sin ser ilegal, una consecuencia en contra del constituyente o beneficiario, o que conlleve la concesión de prerrogativas a favor del fiduciario;</w:t>
      </w:r>
      <w:r>
        <w:rPr>
          <w:rFonts w:eastAsia="Times New Roman"/>
          <w:sz w:val="30"/>
          <w:szCs w:val="30"/>
          <w:lang w:val="es-ES"/>
        </w:rPr>
        <w:br/>
      </w:r>
      <w:r>
        <w:rPr>
          <w:rFonts w:eastAsia="Times New Roman"/>
          <w:sz w:val="30"/>
          <w:szCs w:val="30"/>
          <w:lang w:val="es-ES"/>
        </w:rPr>
        <w:br/>
        <w:t>d) Previsiones con efectos desfavorables para el constituyente o beneficiario que aparezcan en forma a</w:t>
      </w:r>
      <w:r>
        <w:rPr>
          <w:rFonts w:eastAsia="Times New Roman"/>
          <w:sz w:val="30"/>
          <w:szCs w:val="30"/>
          <w:lang w:val="es-ES"/>
        </w:rPr>
        <w:t>mbigua, confusa o no evidente, y, como consecuencia, se le presenten a éste discrepancias entre los efectos esperados o previsibles del negocio y los que verdaderamente resulten del contenido del contrato;</w:t>
      </w:r>
      <w:r>
        <w:rPr>
          <w:rFonts w:eastAsia="Times New Roman"/>
          <w:sz w:val="30"/>
          <w:szCs w:val="30"/>
          <w:lang w:val="es-ES"/>
        </w:rPr>
        <w:br/>
      </w:r>
      <w:r>
        <w:rPr>
          <w:rFonts w:eastAsia="Times New Roman"/>
          <w:sz w:val="30"/>
          <w:szCs w:val="30"/>
          <w:lang w:val="es-ES"/>
        </w:rPr>
        <w:br/>
        <w:t>e) La posibilidad de que quien debe cumplir la ge</w:t>
      </w:r>
      <w:r>
        <w:rPr>
          <w:rFonts w:eastAsia="Times New Roman"/>
          <w:sz w:val="30"/>
          <w:szCs w:val="30"/>
          <w:lang w:val="es-ES"/>
        </w:rPr>
        <w:t xml:space="preserve">stión encomendada sea otra persona diferente al fiduciario, sustituyéndose así como obligado, salvo que por la naturaleza del contrato se imponga la </w:t>
      </w:r>
      <w:r>
        <w:rPr>
          <w:rFonts w:eastAsia="Times New Roman"/>
          <w:sz w:val="30"/>
          <w:szCs w:val="30"/>
          <w:lang w:val="es-ES"/>
        </w:rPr>
        <w:lastRenderedPageBreak/>
        <w:t>necesidad de hacerlo en personas especializadas en determinadas materias; y,</w:t>
      </w:r>
      <w:r>
        <w:rPr>
          <w:rFonts w:eastAsia="Times New Roman"/>
          <w:sz w:val="30"/>
          <w:szCs w:val="30"/>
          <w:lang w:val="es-ES"/>
        </w:rPr>
        <w:br/>
      </w:r>
      <w:r>
        <w:rPr>
          <w:rFonts w:eastAsia="Times New Roman"/>
          <w:sz w:val="30"/>
          <w:szCs w:val="30"/>
          <w:lang w:val="es-ES"/>
        </w:rPr>
        <w:br/>
        <w:t>f) Las que conceden facultade</w:t>
      </w:r>
      <w:r>
        <w:rPr>
          <w:rFonts w:eastAsia="Times New Roman"/>
          <w:sz w:val="30"/>
          <w:szCs w:val="30"/>
          <w:lang w:val="es-ES"/>
        </w:rPr>
        <w:t>s al fiduciario para alterar unilateralmente el contenido de una o algunas cláusulas, como aquellas que permitan reajustar unilateralmente las prestaciones que correspondan a las partes contratantes.</w:t>
      </w:r>
    </w:p>
    <w:p w:rsidR="00000000" w:rsidRDefault="0018461E">
      <w:pPr>
        <w:divId w:val="227038681"/>
        <w:rPr>
          <w:rFonts w:eastAsia="Times New Roman"/>
          <w:sz w:val="30"/>
          <w:szCs w:val="30"/>
          <w:lang w:val="es-ES"/>
        </w:rPr>
      </w:pPr>
      <w:r>
        <w:rPr>
          <w:rFonts w:eastAsia="Times New Roman"/>
          <w:b/>
          <w:bCs/>
          <w:sz w:val="30"/>
          <w:szCs w:val="30"/>
          <w:lang w:val="es-ES"/>
        </w:rPr>
        <w:t xml:space="preserve">Art... </w:t>
      </w:r>
      <w:r>
        <w:rPr>
          <w:rFonts w:eastAsia="Times New Roman"/>
          <w:sz w:val="30"/>
          <w:szCs w:val="30"/>
          <w:lang w:val="es-ES"/>
        </w:rPr>
        <w:t>(Agregado por el Art. 53 de la Ley s/n, R.O. 249-</w:t>
      </w:r>
      <w:r>
        <w:rPr>
          <w:rFonts w:eastAsia="Times New Roman"/>
          <w:sz w:val="30"/>
          <w:szCs w:val="30"/>
          <w:lang w:val="es-ES"/>
        </w:rPr>
        <w:t>S, 20-V-2014; y, reformado por la Disposición Reformatoria Décima Séptima, num. 1 del Código Orgánico Monetario y Financiero; R.O. 332-2S, 12-IX-2014).- Las instituciones del sistema financiero solamente podrán aceptar la calidad de beneficiarias en fideic</w:t>
      </w:r>
      <w:r>
        <w:rPr>
          <w:rFonts w:eastAsia="Times New Roman"/>
          <w:sz w:val="30"/>
          <w:szCs w:val="30"/>
          <w:lang w:val="es-ES"/>
        </w:rPr>
        <w:t>omisos mercantiles de garantía que respalden las siguientes operaciones crediticias:</w:t>
      </w:r>
      <w:r>
        <w:rPr>
          <w:rFonts w:eastAsia="Times New Roman"/>
          <w:sz w:val="30"/>
          <w:szCs w:val="30"/>
          <w:lang w:val="es-ES"/>
        </w:rPr>
        <w:br/>
      </w:r>
      <w:r>
        <w:rPr>
          <w:rFonts w:eastAsia="Times New Roman"/>
          <w:sz w:val="30"/>
          <w:szCs w:val="30"/>
          <w:lang w:val="es-ES"/>
        </w:rPr>
        <w:br/>
        <w:t>1. Créditos de vivienda;</w:t>
      </w:r>
      <w:r>
        <w:rPr>
          <w:rFonts w:eastAsia="Times New Roman"/>
          <w:sz w:val="30"/>
          <w:szCs w:val="30"/>
          <w:lang w:val="es-ES"/>
        </w:rPr>
        <w:br/>
      </w:r>
      <w:r>
        <w:rPr>
          <w:rFonts w:eastAsia="Times New Roman"/>
          <w:sz w:val="30"/>
          <w:szCs w:val="30"/>
          <w:lang w:val="es-ES"/>
        </w:rPr>
        <w:br/>
        <w:t>2. Para el desarrollo de proyectos inmobiliarios;</w:t>
      </w:r>
      <w:r>
        <w:rPr>
          <w:rFonts w:eastAsia="Times New Roman"/>
          <w:sz w:val="30"/>
          <w:szCs w:val="30"/>
          <w:lang w:val="es-ES"/>
        </w:rPr>
        <w:br/>
      </w:r>
      <w:r>
        <w:rPr>
          <w:rFonts w:eastAsia="Times New Roman"/>
          <w:sz w:val="30"/>
          <w:szCs w:val="30"/>
          <w:lang w:val="es-ES"/>
        </w:rPr>
        <w:br/>
        <w:t>3. Para el financiamiento de infraestructura, circunscritos a la formación bruta de capital f</w:t>
      </w:r>
      <w:r>
        <w:rPr>
          <w:rFonts w:eastAsia="Times New Roman"/>
          <w:sz w:val="30"/>
          <w:szCs w:val="30"/>
          <w:lang w:val="es-ES"/>
        </w:rPr>
        <w:t>ijo;</w:t>
      </w:r>
      <w:r>
        <w:rPr>
          <w:rFonts w:eastAsia="Times New Roman"/>
          <w:sz w:val="30"/>
          <w:szCs w:val="30"/>
          <w:lang w:val="es-ES"/>
        </w:rPr>
        <w:br/>
      </w:r>
      <w:r>
        <w:rPr>
          <w:rFonts w:eastAsia="Times New Roman"/>
          <w:sz w:val="30"/>
          <w:szCs w:val="30"/>
          <w:lang w:val="es-ES"/>
        </w:rPr>
        <w:br/>
        <w:t>4. De inversión pública;</w:t>
      </w:r>
      <w:r>
        <w:rPr>
          <w:rFonts w:eastAsia="Times New Roman"/>
          <w:sz w:val="30"/>
          <w:szCs w:val="30"/>
          <w:lang w:val="es-ES"/>
        </w:rPr>
        <w:br/>
      </w:r>
      <w:r>
        <w:rPr>
          <w:rFonts w:eastAsia="Times New Roman"/>
          <w:sz w:val="30"/>
          <w:szCs w:val="30"/>
          <w:lang w:val="es-ES"/>
        </w:rPr>
        <w:br/>
        <w:t>5. Créditos sindicados conjuntamente con banca pública o instituciones financieras multilaterales;</w:t>
      </w:r>
      <w:r>
        <w:rPr>
          <w:rFonts w:eastAsia="Times New Roman"/>
          <w:sz w:val="30"/>
          <w:szCs w:val="30"/>
          <w:lang w:val="es-ES"/>
        </w:rPr>
        <w:br/>
      </w:r>
      <w:r>
        <w:rPr>
          <w:rFonts w:eastAsia="Times New Roman"/>
          <w:sz w:val="30"/>
          <w:szCs w:val="30"/>
          <w:lang w:val="es-ES"/>
        </w:rPr>
        <w:br/>
        <w:t>6. Con respaldo de los Fondos de Garantía Crediticia; y,</w:t>
      </w:r>
      <w:r>
        <w:rPr>
          <w:rFonts w:eastAsia="Times New Roman"/>
          <w:sz w:val="30"/>
          <w:szCs w:val="30"/>
          <w:lang w:val="es-ES"/>
        </w:rPr>
        <w:br/>
      </w:r>
      <w:r>
        <w:rPr>
          <w:rFonts w:eastAsia="Times New Roman"/>
          <w:sz w:val="30"/>
          <w:szCs w:val="30"/>
          <w:lang w:val="es-ES"/>
        </w:rPr>
        <w:br/>
        <w:t>7. Créditos productivos específicos que se puedan garantizar con f</w:t>
      </w:r>
      <w:r>
        <w:rPr>
          <w:rFonts w:eastAsia="Times New Roman"/>
          <w:sz w:val="30"/>
          <w:szCs w:val="30"/>
          <w:lang w:val="es-ES"/>
        </w:rPr>
        <w:t>ideicomisos mercantiles sobre inventarios de materia prima, de productos en proceso u otros bienes que determine la Junta Bancaria.</w:t>
      </w:r>
      <w:r>
        <w:rPr>
          <w:rFonts w:eastAsia="Times New Roman"/>
          <w:sz w:val="30"/>
          <w:szCs w:val="30"/>
          <w:lang w:val="es-ES"/>
        </w:rPr>
        <w:br/>
      </w:r>
      <w:r>
        <w:rPr>
          <w:rFonts w:eastAsia="Times New Roman"/>
          <w:sz w:val="30"/>
          <w:szCs w:val="30"/>
          <w:lang w:val="es-ES"/>
        </w:rPr>
        <w:br/>
        <w:t>Las instituciones referidas no podrán aceptar la calidad de beneficiarios en fideicomisos mercantiles de garantía de operac</w:t>
      </w:r>
      <w:r>
        <w:rPr>
          <w:rFonts w:eastAsia="Times New Roman"/>
          <w:sz w:val="30"/>
          <w:szCs w:val="30"/>
          <w:lang w:val="es-ES"/>
        </w:rPr>
        <w:t>iones de crédito de consumo, o de operaciones de crédito distintas a las detalladas en el inciso precedente.</w:t>
      </w:r>
      <w:r>
        <w:rPr>
          <w:rFonts w:eastAsia="Times New Roman"/>
          <w:sz w:val="30"/>
          <w:szCs w:val="30"/>
          <w:lang w:val="es-ES"/>
        </w:rPr>
        <w:br/>
      </w:r>
      <w:r>
        <w:rPr>
          <w:rFonts w:eastAsia="Times New Roman"/>
          <w:sz w:val="30"/>
          <w:szCs w:val="30"/>
          <w:lang w:val="es-ES"/>
        </w:rPr>
        <w:br/>
        <w:t>Estos fideicomisos de garantía deberán inscribirse en el Catastro Público del Mercado de Valores y la Junta Bancaria establecerá los límites y res</w:t>
      </w:r>
      <w:r>
        <w:rPr>
          <w:rFonts w:eastAsia="Times New Roman"/>
          <w:sz w:val="30"/>
          <w:szCs w:val="30"/>
          <w:lang w:val="es-ES"/>
        </w:rPr>
        <w:t xml:space="preserve">tricciones para considerar a estos fideicomisos como </w:t>
      </w:r>
      <w:r>
        <w:rPr>
          <w:rFonts w:eastAsia="Times New Roman"/>
          <w:sz w:val="30"/>
          <w:szCs w:val="30"/>
          <w:lang w:val="es-ES"/>
        </w:rPr>
        <w:lastRenderedPageBreak/>
        <w:t>garantías adecuadas.</w:t>
      </w:r>
      <w:r>
        <w:rPr>
          <w:rFonts w:eastAsia="Times New Roman"/>
          <w:sz w:val="30"/>
          <w:szCs w:val="30"/>
          <w:lang w:val="es-ES"/>
        </w:rPr>
        <w:br/>
      </w:r>
      <w:r>
        <w:rPr>
          <w:rFonts w:eastAsia="Times New Roman"/>
          <w:sz w:val="30"/>
          <w:szCs w:val="30"/>
          <w:lang w:val="es-ES"/>
        </w:rPr>
        <w:br/>
        <w:t>En ningún caso personas naturales o jurídicas, públicas o privadas, nacionales o extranjeras, incluyendo naturalmente a las instituciones del sistema financiero, podrán constituir f</w:t>
      </w:r>
      <w:r>
        <w:rPr>
          <w:rFonts w:eastAsia="Times New Roman"/>
          <w:sz w:val="30"/>
          <w:szCs w:val="30"/>
          <w:lang w:val="es-ES"/>
        </w:rPr>
        <w:t>ideicomisos mercantiles en garantía sobre vehículos.</w:t>
      </w:r>
      <w:r>
        <w:rPr>
          <w:rFonts w:eastAsia="Times New Roman"/>
          <w:sz w:val="30"/>
          <w:szCs w:val="30"/>
          <w:lang w:val="es-ES"/>
        </w:rPr>
        <w:br/>
      </w:r>
      <w:r>
        <w:rPr>
          <w:rFonts w:eastAsia="Times New Roman"/>
          <w:sz w:val="30"/>
          <w:szCs w:val="30"/>
          <w:lang w:val="es-ES"/>
        </w:rPr>
        <w:br/>
        <w:t>Cualquier estipulación contractual cuyo objeto o efecto sea eludir o burlar el cumplimiento de lo dispuesto en este artículo, se entenderá no escrita.</w:t>
      </w:r>
    </w:p>
    <w:p w:rsidR="00000000"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CUESTIONES PROCESALES</w:t>
      </w:r>
    </w:p>
    <w:p w:rsidR="00000000" w:rsidRDefault="0018461E">
      <w:pPr>
        <w:divId w:val="345711567"/>
        <w:rPr>
          <w:rFonts w:eastAsia="Times New Roman"/>
          <w:sz w:val="30"/>
          <w:szCs w:val="30"/>
          <w:lang w:val="es-ES"/>
        </w:rPr>
      </w:pPr>
      <w:r>
        <w:rPr>
          <w:rFonts w:eastAsia="Times New Roman"/>
          <w:b/>
          <w:bCs/>
          <w:sz w:val="30"/>
          <w:szCs w:val="30"/>
          <w:lang w:val="es-ES"/>
        </w:rPr>
        <w:t>Art. 121.- Inemba</w:t>
      </w:r>
      <w:r>
        <w:rPr>
          <w:rFonts w:eastAsia="Times New Roman"/>
          <w:b/>
          <w:bCs/>
          <w:sz w:val="30"/>
          <w:szCs w:val="30"/>
          <w:lang w:val="es-ES"/>
        </w:rPr>
        <w:t>rgabilidad.</w:t>
      </w:r>
      <w:r>
        <w:rPr>
          <w:rFonts w:eastAsia="Times New Roman"/>
          <w:sz w:val="30"/>
          <w:szCs w:val="30"/>
          <w:lang w:val="es-ES"/>
        </w:rPr>
        <w:t>- (Sustituido por el Art. 52 de la Ley s/n, R.O. 249-S, 20-V-2014).- Los bienes del fideicomiso mercantil no pueden ser embargados ni sujetos a ninguna medida precautelatoria o preventiva por los acreedores del constituyente, ni por los del bene</w:t>
      </w:r>
      <w:r>
        <w:rPr>
          <w:rFonts w:eastAsia="Times New Roman"/>
          <w:sz w:val="30"/>
          <w:szCs w:val="30"/>
          <w:lang w:val="es-ES"/>
        </w:rPr>
        <w:t>ficiario, salvo pacto en contrario previsto en el contrato. En ningún caso dichos bienes podrán ser embargados ni objeto de medidas precautelatorias o preventivas por los acreedores del fiduciario. Los acreedores del constituyente o del beneficiario podrán</w:t>
      </w:r>
      <w:r>
        <w:rPr>
          <w:rFonts w:eastAsia="Times New Roman"/>
          <w:sz w:val="30"/>
          <w:szCs w:val="30"/>
          <w:lang w:val="es-ES"/>
        </w:rPr>
        <w:t xml:space="preserve"> ejercer las acciones sobre los derechos o beneficios que a estos les correspondan en atención a los efectos propios del contrato de fideicomiso mercantil.</w:t>
      </w:r>
    </w:p>
    <w:p w:rsidR="00000000" w:rsidRDefault="0018461E">
      <w:pPr>
        <w:divId w:val="1281916724"/>
        <w:rPr>
          <w:rFonts w:eastAsia="Times New Roman"/>
          <w:sz w:val="30"/>
          <w:szCs w:val="30"/>
          <w:lang w:val="es-ES"/>
        </w:rPr>
      </w:pPr>
      <w:r>
        <w:rPr>
          <w:rFonts w:eastAsia="Times New Roman"/>
          <w:b/>
          <w:bCs/>
          <w:sz w:val="30"/>
          <w:szCs w:val="30"/>
          <w:lang w:val="es-ES"/>
        </w:rPr>
        <w:t>Art. 122.- Garantía general de prenda de acreedores del fideicomiso mercantil.</w:t>
      </w:r>
      <w:r>
        <w:rPr>
          <w:rFonts w:eastAsia="Times New Roman"/>
          <w:sz w:val="30"/>
          <w:szCs w:val="30"/>
          <w:lang w:val="es-ES"/>
        </w:rPr>
        <w:t>- Los bienes transferi</w:t>
      </w:r>
      <w:r>
        <w:rPr>
          <w:rFonts w:eastAsia="Times New Roman"/>
          <w:sz w:val="30"/>
          <w:szCs w:val="30"/>
          <w:lang w:val="es-ES"/>
        </w:rPr>
        <w:t>dos al patrimonio autónomo respaldan todas las obligaciones contraídas por el fideicomiso mercantil para el cumplimiento de las finalidades establecidas por el constituyente y podrán, en consecuencia, ser embargados y objeto de medidas precautelatorias o p</w:t>
      </w:r>
      <w:r>
        <w:rPr>
          <w:rFonts w:eastAsia="Times New Roman"/>
          <w:sz w:val="30"/>
          <w:szCs w:val="30"/>
          <w:lang w:val="es-ES"/>
        </w:rPr>
        <w:t>reventivas por parte de los acreedores del fideicomiso mercantil. Los acreedores del beneficiario podrán perseguir los derechos y beneficios que a éste le correspondan en atención a los efectos propios del contrato de fideicomiso mercantil.</w:t>
      </w:r>
    </w:p>
    <w:p w:rsidR="00000000" w:rsidRDefault="0018461E">
      <w:pPr>
        <w:divId w:val="526217253"/>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Acci</w:t>
      </w:r>
      <w:r>
        <w:rPr>
          <w:rFonts w:eastAsia="Times New Roman"/>
          <w:b/>
          <w:bCs/>
          <w:sz w:val="30"/>
          <w:szCs w:val="30"/>
          <w:lang w:val="es-ES"/>
        </w:rPr>
        <w:t>ones por contratos fraudulentos.</w:t>
      </w:r>
      <w:r>
        <w:rPr>
          <w:rFonts w:eastAsia="Times New Roman"/>
          <w:sz w:val="30"/>
          <w:szCs w:val="30"/>
          <w:lang w:val="es-ES"/>
        </w:rPr>
        <w:t>- El contrato de fideicomiso mercantil otorgado en fraude de terceros por el constituyente, o en acuerdo fraudulento de éste con el fiduciario, podrá ser impugnado judicialmente por los interesados, mediante las correspondie</w:t>
      </w:r>
      <w:r>
        <w:rPr>
          <w:rFonts w:eastAsia="Times New Roman"/>
          <w:sz w:val="30"/>
          <w:szCs w:val="30"/>
          <w:lang w:val="es-ES"/>
        </w:rPr>
        <w:t xml:space="preserve">ntes acciones de nulidad, simulación o cualquiera otra </w:t>
      </w:r>
      <w:r>
        <w:rPr>
          <w:rFonts w:eastAsia="Times New Roman"/>
          <w:sz w:val="30"/>
          <w:szCs w:val="30"/>
          <w:lang w:val="es-ES"/>
        </w:rPr>
        <w:lastRenderedPageBreak/>
        <w:t>prevista en la ley, según el caso; sin perjuicio de la acción y responsabilidad penal a la que hubiere lugar.</w:t>
      </w:r>
    </w:p>
    <w:p w:rsidR="00000000" w:rsidRDefault="0018461E">
      <w:pPr>
        <w:divId w:val="1761095248"/>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Juez competente.</w:t>
      </w:r>
      <w:r>
        <w:rPr>
          <w:rFonts w:eastAsia="Times New Roman"/>
          <w:sz w:val="30"/>
          <w:szCs w:val="30"/>
          <w:lang w:val="es-ES"/>
        </w:rPr>
        <w:t>- Se aplicarán las normas de competencia previstas en la ley par</w:t>
      </w:r>
      <w:r>
        <w:rPr>
          <w:rFonts w:eastAsia="Times New Roman"/>
          <w:sz w:val="30"/>
          <w:szCs w:val="30"/>
          <w:lang w:val="es-ES"/>
        </w:rPr>
        <w:t>a los juicios en que las sociedades administradoras de fondos y fideicomisos intervengan como actoras en representación de fideicomisos mercantiles o como demandadas.</w:t>
      </w:r>
      <w:r>
        <w:rPr>
          <w:rFonts w:eastAsia="Times New Roman"/>
          <w:sz w:val="30"/>
          <w:szCs w:val="30"/>
          <w:lang w:val="es-ES"/>
        </w:rPr>
        <w:br/>
      </w:r>
      <w:r>
        <w:rPr>
          <w:rFonts w:eastAsia="Times New Roman"/>
          <w:sz w:val="30"/>
          <w:szCs w:val="30"/>
          <w:lang w:val="es-ES"/>
        </w:rPr>
        <w:br/>
        <w:t>Para la solución de los conflictos y pretensiones entre el constituyente, los constituye</w:t>
      </w:r>
      <w:r>
        <w:rPr>
          <w:rFonts w:eastAsia="Times New Roman"/>
          <w:sz w:val="30"/>
          <w:szCs w:val="30"/>
          <w:lang w:val="es-ES"/>
        </w:rPr>
        <w:t>ntes adherentes, el fiduciario y el beneficiario, derivados de los contratos de fideicomiso mercantil, las partes podrán acogerse a los mecanismos alternativos de solución de conflictos previstos en la Ley de Arbitraje y Mediación.</w:t>
      </w:r>
    </w:p>
    <w:p w:rsidR="00000000"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OBLI</w:t>
      </w:r>
      <w:r>
        <w:rPr>
          <w:rFonts w:eastAsia="Times New Roman"/>
          <w:b/>
          <w:bCs/>
          <w:sz w:val="36"/>
          <w:szCs w:val="36"/>
          <w:lang w:val="es-ES"/>
        </w:rPr>
        <w:t>GACIONES Y DERECHOS DE LAS PARTES, DE LA SUSTITUCIÓN FIDUCIARIA, DE LA RENUNCIA Y DE LA TERMINACIÓN DEL FIDEICOMISO MERCANTIL</w:t>
      </w:r>
    </w:p>
    <w:p w:rsidR="00000000" w:rsidRDefault="0018461E">
      <w:pPr>
        <w:divId w:val="1495999096"/>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w:t>
      </w:r>
      <w:r>
        <w:rPr>
          <w:rFonts w:eastAsia="Times New Roman"/>
          <w:b/>
          <w:bCs/>
          <w:sz w:val="30"/>
          <w:szCs w:val="30"/>
          <w:lang w:val="es-ES"/>
        </w:rPr>
        <w:t xml:space="preserve">De las obligaciones de medio y no de resultado.- </w:t>
      </w:r>
      <w:r>
        <w:rPr>
          <w:rFonts w:eastAsia="Times New Roman"/>
          <w:sz w:val="30"/>
          <w:szCs w:val="30"/>
          <w:lang w:val="es-ES"/>
        </w:rPr>
        <w:t>No obstante las obligaciones señaladas precedentemente, así como las que se prevean en el contrato de fideicomiso mercantil y en el de encargo fiduciario, el fiduciario no garantiza con su actuación que los resultados y finalidades pretendidas por el const</w:t>
      </w:r>
      <w:r>
        <w:rPr>
          <w:rFonts w:eastAsia="Times New Roman"/>
          <w:sz w:val="30"/>
          <w:szCs w:val="30"/>
          <w:lang w:val="es-ES"/>
        </w:rPr>
        <w:t>ituyente efectivamente se cumplan.</w:t>
      </w:r>
      <w:r>
        <w:rPr>
          <w:rFonts w:eastAsia="Times New Roman"/>
          <w:sz w:val="30"/>
          <w:szCs w:val="30"/>
          <w:lang w:val="es-ES"/>
        </w:rPr>
        <w:br/>
      </w:r>
      <w:r>
        <w:rPr>
          <w:rFonts w:eastAsia="Times New Roman"/>
          <w:sz w:val="30"/>
          <w:szCs w:val="30"/>
          <w:lang w:val="es-ES"/>
        </w:rPr>
        <w:br/>
        <w:t>El fiduciario responde hasta por culpa leve en el cumplimiento de su gestión, que es de medio y no de resultado; esto es, que su responsabilidad es actuar de manera diligente y profesional a fin de cumplir con las instru</w:t>
      </w:r>
      <w:r>
        <w:rPr>
          <w:rFonts w:eastAsia="Times New Roman"/>
          <w:sz w:val="30"/>
          <w:szCs w:val="30"/>
          <w:lang w:val="es-ES"/>
        </w:rPr>
        <w:t>cciones determinadas por el constituyente con miras a tratar de que las finalidades pretendidas se cumplan.</w:t>
      </w:r>
    </w:p>
    <w:p w:rsidR="00000000" w:rsidRDefault="0018461E">
      <w:pPr>
        <w:divId w:val="1732726580"/>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Derechos del constituyente.-</w:t>
      </w:r>
      <w:r>
        <w:rPr>
          <w:rFonts w:eastAsia="Times New Roman"/>
          <w:sz w:val="30"/>
          <w:szCs w:val="30"/>
          <w:lang w:val="es-ES"/>
        </w:rPr>
        <w:t xml:space="preserve"> Son derechos del constituyente del fideicomiso mercantil:</w:t>
      </w:r>
      <w:r>
        <w:rPr>
          <w:rFonts w:eastAsia="Times New Roman"/>
          <w:sz w:val="30"/>
          <w:szCs w:val="30"/>
          <w:lang w:val="es-ES"/>
        </w:rPr>
        <w:br/>
      </w:r>
      <w:r>
        <w:rPr>
          <w:rFonts w:eastAsia="Times New Roman"/>
          <w:sz w:val="30"/>
          <w:szCs w:val="30"/>
          <w:lang w:val="es-ES"/>
        </w:rPr>
        <w:br/>
        <w:t>a) Los que consten en el contrato;</w:t>
      </w:r>
      <w:r>
        <w:rPr>
          <w:rFonts w:eastAsia="Times New Roman"/>
          <w:sz w:val="30"/>
          <w:szCs w:val="30"/>
          <w:lang w:val="es-ES"/>
        </w:rPr>
        <w:br/>
      </w:r>
      <w:r>
        <w:rPr>
          <w:rFonts w:eastAsia="Times New Roman"/>
          <w:sz w:val="30"/>
          <w:szCs w:val="30"/>
          <w:lang w:val="es-ES"/>
        </w:rPr>
        <w:br/>
        <w:t xml:space="preserve">b) Exigir al </w:t>
      </w:r>
      <w:r>
        <w:rPr>
          <w:rFonts w:eastAsia="Times New Roman"/>
          <w:sz w:val="30"/>
          <w:szCs w:val="30"/>
          <w:lang w:val="es-ES"/>
        </w:rPr>
        <w:t>fiduciario el cumplimiento de las finalidades establecidas en el contrato de fideicomiso mercantil;</w:t>
      </w:r>
      <w:r>
        <w:rPr>
          <w:rFonts w:eastAsia="Times New Roman"/>
          <w:sz w:val="30"/>
          <w:szCs w:val="30"/>
          <w:lang w:val="es-ES"/>
        </w:rPr>
        <w:br/>
      </w:r>
      <w:r>
        <w:rPr>
          <w:rFonts w:eastAsia="Times New Roman"/>
          <w:sz w:val="30"/>
          <w:szCs w:val="30"/>
          <w:lang w:val="es-ES"/>
        </w:rPr>
        <w:br/>
        <w:t xml:space="preserve">c) Exigir al fiduciario la rendición de cuentas, con sujeción a lo </w:t>
      </w:r>
      <w:r>
        <w:rPr>
          <w:rFonts w:eastAsia="Times New Roman"/>
          <w:sz w:val="30"/>
          <w:szCs w:val="30"/>
          <w:lang w:val="es-ES"/>
        </w:rPr>
        <w:lastRenderedPageBreak/>
        <w:t>dispuesto en esta Ley y a las normas de carácter general que imparta el C.N.V., sobre la</w:t>
      </w:r>
      <w:r>
        <w:rPr>
          <w:rFonts w:eastAsia="Times New Roman"/>
          <w:sz w:val="30"/>
          <w:szCs w:val="30"/>
          <w:lang w:val="es-ES"/>
        </w:rPr>
        <w:t xml:space="preserve"> actividad fiduciaria y las previstas en las cláusulas contractuales; y,</w:t>
      </w:r>
      <w:r>
        <w:rPr>
          <w:rFonts w:eastAsia="Times New Roman"/>
          <w:sz w:val="30"/>
          <w:szCs w:val="30"/>
          <w:lang w:val="es-ES"/>
        </w:rPr>
        <w:br/>
      </w:r>
      <w:r>
        <w:rPr>
          <w:rFonts w:eastAsia="Times New Roman"/>
          <w:sz w:val="30"/>
          <w:szCs w:val="30"/>
          <w:lang w:val="es-ES"/>
        </w:rPr>
        <w:br/>
        <w:t>d) Ejercer las acciones de responsabilidad civil o penal a que hubiere lugar, en contra del fiduciario por dolo, culpa leve en el desempeño de su gestión.</w:t>
      </w:r>
    </w:p>
    <w:p w:rsidR="00000000" w:rsidRDefault="0018461E">
      <w:pPr>
        <w:divId w:val="575356100"/>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Derechos del ben</w:t>
      </w:r>
      <w:r>
        <w:rPr>
          <w:rFonts w:eastAsia="Times New Roman"/>
          <w:b/>
          <w:bCs/>
          <w:sz w:val="30"/>
          <w:szCs w:val="30"/>
          <w:lang w:val="es-ES"/>
        </w:rPr>
        <w:t>eficiario.</w:t>
      </w:r>
      <w:r>
        <w:rPr>
          <w:rFonts w:eastAsia="Times New Roman"/>
          <w:sz w:val="30"/>
          <w:szCs w:val="30"/>
          <w:lang w:val="es-ES"/>
        </w:rPr>
        <w:t>- Son derechos del beneficiario del fideicomiso mercantil:</w:t>
      </w:r>
      <w:r>
        <w:rPr>
          <w:rFonts w:eastAsia="Times New Roman"/>
          <w:sz w:val="30"/>
          <w:szCs w:val="30"/>
          <w:lang w:val="es-ES"/>
        </w:rPr>
        <w:br/>
      </w:r>
      <w:r>
        <w:rPr>
          <w:rFonts w:eastAsia="Times New Roman"/>
          <w:sz w:val="30"/>
          <w:szCs w:val="30"/>
          <w:lang w:val="es-ES"/>
        </w:rPr>
        <w:br/>
        <w:t>a) Los que consten en el contrato;</w:t>
      </w:r>
      <w:r>
        <w:rPr>
          <w:rFonts w:eastAsia="Times New Roman"/>
          <w:sz w:val="30"/>
          <w:szCs w:val="30"/>
          <w:lang w:val="es-ES"/>
        </w:rPr>
        <w:br/>
      </w:r>
      <w:r>
        <w:rPr>
          <w:rFonts w:eastAsia="Times New Roman"/>
          <w:sz w:val="30"/>
          <w:szCs w:val="30"/>
          <w:lang w:val="es-ES"/>
        </w:rPr>
        <w:br/>
        <w:t>b) Exigir al fiduciario el cumplimiento de las finalidades establecidas en el contrato de fideicomiso mercantil;</w:t>
      </w:r>
      <w:r>
        <w:rPr>
          <w:rFonts w:eastAsia="Times New Roman"/>
          <w:sz w:val="30"/>
          <w:szCs w:val="30"/>
          <w:lang w:val="es-ES"/>
        </w:rPr>
        <w:br/>
      </w:r>
      <w:r>
        <w:rPr>
          <w:rFonts w:eastAsia="Times New Roman"/>
          <w:sz w:val="30"/>
          <w:szCs w:val="30"/>
          <w:lang w:val="es-ES"/>
        </w:rPr>
        <w:br/>
        <w:t>c) Exigir al fiduciario la rendición</w:t>
      </w:r>
      <w:r>
        <w:rPr>
          <w:rFonts w:eastAsia="Times New Roman"/>
          <w:sz w:val="30"/>
          <w:szCs w:val="30"/>
          <w:lang w:val="es-ES"/>
        </w:rPr>
        <w:t xml:space="preserve"> de cuentas, con sujeción a lo dispuesto en esta Ley y a las normas de carácter general que imparta el C.N.V., sobre la actividad fiduciaria y las previstas en las cláusulas contractuales;</w:t>
      </w:r>
      <w:r>
        <w:rPr>
          <w:rFonts w:eastAsia="Times New Roman"/>
          <w:sz w:val="30"/>
          <w:szCs w:val="30"/>
          <w:lang w:val="es-ES"/>
        </w:rPr>
        <w:br/>
      </w:r>
      <w:r>
        <w:rPr>
          <w:rFonts w:eastAsia="Times New Roman"/>
          <w:sz w:val="30"/>
          <w:szCs w:val="30"/>
          <w:lang w:val="es-ES"/>
        </w:rPr>
        <w:br/>
        <w:t>d) Ejercer las acciones de responsabilidad civil o penal a que hub</w:t>
      </w:r>
      <w:r>
        <w:rPr>
          <w:rFonts w:eastAsia="Times New Roman"/>
          <w:sz w:val="30"/>
          <w:szCs w:val="30"/>
          <w:lang w:val="es-ES"/>
        </w:rPr>
        <w:t>iere lugar, en contra del fiduciario por dolo, culpa grave o culpa leve en el desempeño de su gestión;</w:t>
      </w:r>
      <w:r>
        <w:rPr>
          <w:rFonts w:eastAsia="Times New Roman"/>
          <w:sz w:val="30"/>
          <w:szCs w:val="30"/>
          <w:lang w:val="es-ES"/>
        </w:rPr>
        <w:br/>
      </w:r>
      <w:r>
        <w:rPr>
          <w:rFonts w:eastAsia="Times New Roman"/>
          <w:sz w:val="30"/>
          <w:szCs w:val="30"/>
          <w:lang w:val="es-ES"/>
        </w:rPr>
        <w:br/>
        <w:t>e) Impugnar los actos de disposición de bienes del fideicomiso mercantil realizados por el fiduciario en contra de las instrucciones y finalidades del f</w:t>
      </w:r>
      <w:r>
        <w:rPr>
          <w:rFonts w:eastAsia="Times New Roman"/>
          <w:sz w:val="30"/>
          <w:szCs w:val="30"/>
          <w:lang w:val="es-ES"/>
        </w:rPr>
        <w:t>ideicomiso mercantil, dentro de los términos establecidos en la ley; y,</w:t>
      </w:r>
      <w:r>
        <w:rPr>
          <w:rFonts w:eastAsia="Times New Roman"/>
          <w:sz w:val="30"/>
          <w:szCs w:val="30"/>
          <w:lang w:val="es-ES"/>
        </w:rPr>
        <w:br/>
      </w:r>
      <w:r>
        <w:rPr>
          <w:rFonts w:eastAsia="Times New Roman"/>
          <w:sz w:val="30"/>
          <w:szCs w:val="30"/>
          <w:lang w:val="es-ES"/>
        </w:rPr>
        <w:br/>
        <w:t>f) Solicitar la sustitución del fiduciario, por las causales previstas en el contrato, así como en los casos de dolo o culpa leve en los que haya incurrido el fiduciario, conforme con</w:t>
      </w:r>
      <w:r>
        <w:rPr>
          <w:rFonts w:eastAsia="Times New Roman"/>
          <w:sz w:val="30"/>
          <w:szCs w:val="30"/>
          <w:lang w:val="es-ES"/>
        </w:rPr>
        <w:t>ste de sentencia ejecutoriada o laudo arbitral y, en el caso de disolución o liquidación de la sociedad administradora de fondos y fideicomisos.</w:t>
      </w:r>
    </w:p>
    <w:p w:rsidR="00000000" w:rsidRDefault="0018461E">
      <w:pPr>
        <w:divId w:val="1329284057"/>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De la rendición de cuentas.</w:t>
      </w:r>
      <w:r>
        <w:rPr>
          <w:rFonts w:eastAsia="Times New Roman"/>
          <w:sz w:val="30"/>
          <w:szCs w:val="30"/>
          <w:lang w:val="es-ES"/>
        </w:rPr>
        <w:t>- La rendición de cuentas es indelegable a terceras personas u órganos de</w:t>
      </w:r>
      <w:r>
        <w:rPr>
          <w:rFonts w:eastAsia="Times New Roman"/>
          <w:sz w:val="30"/>
          <w:szCs w:val="30"/>
          <w:lang w:val="es-ES"/>
        </w:rPr>
        <w:t xml:space="preserve">l fideicomiso, por lo que corresponde al fiduciario rendir las cuentas comprobadas de sus actuaciones. Es a la sociedad administradora de fondos y fideicomisos a quien le compete demostrar su cumplimiento en la labor ejecutada, </w:t>
      </w:r>
      <w:r>
        <w:rPr>
          <w:rFonts w:eastAsia="Times New Roman"/>
          <w:sz w:val="30"/>
          <w:szCs w:val="30"/>
          <w:lang w:val="es-ES"/>
        </w:rPr>
        <w:lastRenderedPageBreak/>
        <w:t xml:space="preserve">de acuerdo con lo dispuesto </w:t>
      </w:r>
      <w:r>
        <w:rPr>
          <w:rFonts w:eastAsia="Times New Roman"/>
          <w:sz w:val="30"/>
          <w:szCs w:val="30"/>
          <w:lang w:val="es-ES"/>
        </w:rPr>
        <w:t>en el contrato constitutivo y las normas de carácter general que determine el C.N.V.</w:t>
      </w:r>
    </w:p>
    <w:p w:rsidR="00000000" w:rsidRDefault="0018461E">
      <w:pPr>
        <w:divId w:val="1855806982"/>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w:t>
      </w:r>
      <w:r>
        <w:rPr>
          <w:rFonts w:eastAsia="Times New Roman"/>
          <w:b/>
          <w:bCs/>
          <w:sz w:val="30"/>
          <w:szCs w:val="30"/>
          <w:lang w:val="es-ES"/>
        </w:rPr>
        <w:t xml:space="preserve">Diferencia entre rendición comprobada de cuentas y los simples informes.- </w:t>
      </w:r>
      <w:r>
        <w:rPr>
          <w:rFonts w:eastAsia="Times New Roman"/>
          <w:sz w:val="30"/>
          <w:szCs w:val="30"/>
          <w:lang w:val="es-ES"/>
        </w:rPr>
        <w:t>En la rendición comprobada de cuentas, el fiduciario debe justificar, argumentar y dem</w:t>
      </w:r>
      <w:r>
        <w:rPr>
          <w:rFonts w:eastAsia="Times New Roman"/>
          <w:sz w:val="30"/>
          <w:szCs w:val="30"/>
          <w:lang w:val="es-ES"/>
        </w:rPr>
        <w:t>ostrar, con certeza, a través de los medios pertinentes, el cumplimiento de la labor encomendada en el contrato constitutivo y en la ley.</w:t>
      </w:r>
      <w:r>
        <w:rPr>
          <w:rFonts w:eastAsia="Times New Roman"/>
          <w:sz w:val="30"/>
          <w:szCs w:val="30"/>
          <w:lang w:val="es-ES"/>
        </w:rPr>
        <w:br/>
      </w:r>
      <w:r>
        <w:rPr>
          <w:rFonts w:eastAsia="Times New Roman"/>
          <w:sz w:val="30"/>
          <w:szCs w:val="30"/>
          <w:lang w:val="es-ES"/>
        </w:rPr>
        <w:br/>
        <w:t>Los informes tienen por finalidad la de comunicar o reportar algunas actividades o situaciones llevadas a cabo por el</w:t>
      </w:r>
      <w:r>
        <w:rPr>
          <w:rFonts w:eastAsia="Times New Roman"/>
          <w:sz w:val="30"/>
          <w:szCs w:val="30"/>
          <w:lang w:val="es-ES"/>
        </w:rPr>
        <w:t xml:space="preserve"> fiduciario para que los interesados conozcan el desarrollo y estado de la gestión. No supone, pues, que tal información sea comprobada, pero tampoco goza de carácter liberatorio de las obligaciones del fiduciario, quien debe obtener la conformidad del con</w:t>
      </w:r>
      <w:r>
        <w:rPr>
          <w:rFonts w:eastAsia="Times New Roman"/>
          <w:sz w:val="30"/>
          <w:szCs w:val="30"/>
          <w:lang w:val="es-ES"/>
        </w:rPr>
        <w:t>stituyente o beneficiario directamente o a través de los procesos determinados anteriormente.</w:t>
      </w:r>
    </w:p>
    <w:p w:rsidR="00000000" w:rsidRDefault="0018461E">
      <w:pPr>
        <w:divId w:val="673192186"/>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Remisión de información a la Superintendencia de Compañías.-</w:t>
      </w:r>
      <w:r>
        <w:rPr>
          <w:rFonts w:eastAsia="Times New Roman"/>
          <w:sz w:val="30"/>
          <w:szCs w:val="30"/>
          <w:lang w:val="es-ES"/>
        </w:rPr>
        <w:t xml:space="preserve"> Los aspectos contables y financieros de la rendición comprobada de cuentas deben guardar a</w:t>
      </w:r>
      <w:r>
        <w:rPr>
          <w:rFonts w:eastAsia="Times New Roman"/>
          <w:sz w:val="30"/>
          <w:szCs w:val="30"/>
          <w:lang w:val="es-ES"/>
        </w:rPr>
        <w:t xml:space="preserve">rmonía con la información que tiene que presentar el fiduciario a la Superintendencia de Compañías, respecto de aquellas situaciones que afecten de manera importante el estado general del fideicomiso mercantil o encargo fiduciario y, los correctivos a las </w:t>
      </w:r>
      <w:r>
        <w:rPr>
          <w:rFonts w:eastAsia="Times New Roman"/>
          <w:sz w:val="30"/>
          <w:szCs w:val="30"/>
          <w:lang w:val="es-ES"/>
        </w:rPr>
        <w:t>medidas que se adoptarán para continuar el curso normal del fideicomiso mercantil o encargo fiduciario.</w:t>
      </w:r>
      <w:r>
        <w:rPr>
          <w:rFonts w:eastAsia="Times New Roman"/>
          <w:sz w:val="30"/>
          <w:szCs w:val="30"/>
          <w:lang w:val="es-ES"/>
        </w:rPr>
        <w:br/>
      </w:r>
      <w:r>
        <w:rPr>
          <w:rFonts w:eastAsia="Times New Roman"/>
          <w:sz w:val="30"/>
          <w:szCs w:val="30"/>
          <w:lang w:val="es-ES"/>
        </w:rPr>
        <w:br/>
        <w:t>Igualmente, el representante legal de las sociedades administradoras de fondos y fideicomisos deberá informar a la Superintendencia de Compañías los he</w:t>
      </w:r>
      <w:r>
        <w:rPr>
          <w:rFonts w:eastAsia="Times New Roman"/>
          <w:sz w:val="30"/>
          <w:szCs w:val="30"/>
          <w:lang w:val="es-ES"/>
        </w:rPr>
        <w:t>chos o situaciones que impidan el normal desarrollo del negocio fiduciario y que retarden o puedan retardar de manera sustancial su ejecución y/o terminación, de suerte que comprometan seriamente la obtención de los objetivos perseguidos. Dicho aviso deber</w:t>
      </w:r>
      <w:r>
        <w:rPr>
          <w:rFonts w:eastAsia="Times New Roman"/>
          <w:sz w:val="30"/>
          <w:szCs w:val="30"/>
          <w:lang w:val="es-ES"/>
        </w:rPr>
        <w:t>á darse a más tardar dentro de los quince días siguientes a la ocurrencia del hecho o a la fecha en que tuvo o debió tener conocimiento del mismo.</w:t>
      </w:r>
      <w:r>
        <w:rPr>
          <w:rFonts w:eastAsia="Times New Roman"/>
          <w:sz w:val="30"/>
          <w:szCs w:val="30"/>
          <w:lang w:val="es-ES"/>
        </w:rPr>
        <w:br/>
      </w:r>
      <w:r>
        <w:rPr>
          <w:rFonts w:eastAsia="Times New Roman"/>
          <w:sz w:val="30"/>
          <w:szCs w:val="30"/>
          <w:lang w:val="es-ES"/>
        </w:rPr>
        <w:br/>
        <w:t>El C.N.V., normará la forma y contenido de los informes sobre rendición de cuentas que deberán ser presentad</w:t>
      </w:r>
      <w:r>
        <w:rPr>
          <w:rFonts w:eastAsia="Times New Roman"/>
          <w:sz w:val="30"/>
          <w:szCs w:val="30"/>
          <w:lang w:val="es-ES"/>
        </w:rPr>
        <w:t>os a la Superintendencia de Compañías.</w:t>
      </w:r>
    </w:p>
    <w:p w:rsidR="00000000" w:rsidRDefault="0018461E">
      <w:pPr>
        <w:divId w:val="1050616445"/>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Renuncia del fiduciario.</w:t>
      </w:r>
      <w:r>
        <w:rPr>
          <w:rFonts w:eastAsia="Times New Roman"/>
          <w:sz w:val="30"/>
          <w:szCs w:val="30"/>
          <w:lang w:val="es-ES"/>
        </w:rPr>
        <w:t xml:space="preserve">- El fiduciario solo podrá renunciar a su gestión, siempre que no cause perjuicio al </w:t>
      </w:r>
      <w:r>
        <w:rPr>
          <w:rFonts w:eastAsia="Times New Roman"/>
          <w:sz w:val="30"/>
          <w:szCs w:val="30"/>
          <w:lang w:val="es-ES"/>
        </w:rPr>
        <w:lastRenderedPageBreak/>
        <w:t>constituyente, al beneficiario o a terceros vinculados con el fideicomiso mercantil y, por los mo</w:t>
      </w:r>
      <w:r>
        <w:rPr>
          <w:rFonts w:eastAsia="Times New Roman"/>
          <w:sz w:val="30"/>
          <w:szCs w:val="30"/>
          <w:lang w:val="es-ES"/>
        </w:rPr>
        <w:t>tivos expresamente indicados en el contrato de fideicomiso mercantil o encargo fiduciario. A falta de estipulación son causas de renuncia las siguientes:</w:t>
      </w:r>
      <w:r>
        <w:rPr>
          <w:rFonts w:eastAsia="Times New Roman"/>
          <w:sz w:val="30"/>
          <w:szCs w:val="30"/>
          <w:lang w:val="es-ES"/>
        </w:rPr>
        <w:br/>
      </w:r>
      <w:r>
        <w:rPr>
          <w:rFonts w:eastAsia="Times New Roman"/>
          <w:sz w:val="30"/>
          <w:szCs w:val="30"/>
          <w:lang w:val="es-ES"/>
        </w:rPr>
        <w:br/>
        <w:t xml:space="preserve">a) Que el beneficiario no pueda o se niegue a recibir los beneficios de conformidad con el contrato, </w:t>
      </w:r>
      <w:r>
        <w:rPr>
          <w:rFonts w:eastAsia="Times New Roman"/>
          <w:sz w:val="30"/>
          <w:szCs w:val="30"/>
          <w:lang w:val="es-ES"/>
        </w:rPr>
        <w:t xml:space="preserve">salvo que hubiere recibido instrucciones del constituyente de efectuar pago por consignación siempre a costa del constituyente; y, </w:t>
      </w:r>
      <w:r>
        <w:rPr>
          <w:rFonts w:eastAsia="Times New Roman"/>
          <w:sz w:val="30"/>
          <w:szCs w:val="30"/>
          <w:lang w:val="es-ES"/>
        </w:rPr>
        <w:br/>
      </w:r>
      <w:r>
        <w:rPr>
          <w:rFonts w:eastAsia="Times New Roman"/>
          <w:sz w:val="30"/>
          <w:szCs w:val="30"/>
          <w:lang w:val="es-ES"/>
        </w:rPr>
        <w:br/>
        <w:t>b) La falta de pago de la remuneración pactada por la gestión del fiduciario.</w:t>
      </w:r>
      <w:r>
        <w:rPr>
          <w:rFonts w:eastAsia="Times New Roman"/>
          <w:sz w:val="30"/>
          <w:szCs w:val="30"/>
          <w:lang w:val="es-ES"/>
        </w:rPr>
        <w:br/>
      </w:r>
      <w:r>
        <w:rPr>
          <w:rFonts w:eastAsia="Times New Roman"/>
          <w:sz w:val="30"/>
          <w:szCs w:val="30"/>
          <w:lang w:val="es-ES"/>
        </w:rPr>
        <w:br/>
        <w:t>A menos que hubiere acuerdo entre las partes</w:t>
      </w:r>
      <w:r>
        <w:rPr>
          <w:rFonts w:eastAsia="Times New Roman"/>
          <w:sz w:val="30"/>
          <w:szCs w:val="30"/>
          <w:lang w:val="es-ES"/>
        </w:rPr>
        <w:t>, el fiduciario para renunciar requerirá autorización previa del Superintendente de Compañías quien en atención a las disposiciones del contrato podrá resolver la entrega física de los bienes del patrimonio autónomo al constituyente o a quien tenga derecho</w:t>
      </w:r>
      <w:r>
        <w:rPr>
          <w:rFonts w:eastAsia="Times New Roman"/>
          <w:sz w:val="30"/>
          <w:szCs w:val="30"/>
          <w:lang w:val="es-ES"/>
        </w:rPr>
        <w:t xml:space="preserve"> a ellos o al fiduciario sustituto previsto en el contrato, al que designe el beneficiario o al que el Superintendente de Compañías designe, según el caso.</w:t>
      </w:r>
    </w:p>
    <w:p w:rsidR="00000000" w:rsidRDefault="0018461E">
      <w:pPr>
        <w:divId w:val="442581784"/>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Remuneración del fiduciario.- </w:t>
      </w:r>
      <w:r>
        <w:rPr>
          <w:rFonts w:eastAsia="Times New Roman"/>
          <w:sz w:val="30"/>
          <w:szCs w:val="30"/>
          <w:lang w:val="es-ES"/>
        </w:rPr>
        <w:t>La actuación de la sociedad administradora de fondos y fide</w:t>
      </w:r>
      <w:r>
        <w:rPr>
          <w:rFonts w:eastAsia="Times New Roman"/>
          <w:sz w:val="30"/>
          <w:szCs w:val="30"/>
          <w:lang w:val="es-ES"/>
        </w:rPr>
        <w:t>icomisos será siempre remunerada y constará en el contrato de fideicomiso mercantil.</w:t>
      </w:r>
    </w:p>
    <w:p w:rsidR="00000000" w:rsidRDefault="0018461E">
      <w:pPr>
        <w:divId w:val="437146017"/>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Sustitución de la sociedad administradora de fondos y fideicomisos.- </w:t>
      </w:r>
      <w:r>
        <w:rPr>
          <w:rFonts w:eastAsia="Times New Roman"/>
          <w:sz w:val="30"/>
          <w:szCs w:val="30"/>
          <w:lang w:val="es-ES"/>
        </w:rPr>
        <w:t xml:space="preserve">En caso de que el fiduciario sea sustituido por las causales previstas en el contrato o en </w:t>
      </w:r>
      <w:r>
        <w:rPr>
          <w:rFonts w:eastAsia="Times New Roman"/>
          <w:sz w:val="30"/>
          <w:szCs w:val="30"/>
          <w:lang w:val="es-ES"/>
        </w:rPr>
        <w:t>la ley, los bienes que conforman el fideicomiso mercantil deberán ser entregados físicamente al sustituto en los mismos términos determinados en el contrato de constitución.</w:t>
      </w:r>
      <w:r>
        <w:rPr>
          <w:rFonts w:eastAsia="Times New Roman"/>
          <w:sz w:val="30"/>
          <w:szCs w:val="30"/>
          <w:lang w:val="es-ES"/>
        </w:rPr>
        <w:br/>
      </w:r>
      <w:r>
        <w:rPr>
          <w:rFonts w:eastAsia="Times New Roman"/>
          <w:sz w:val="30"/>
          <w:szCs w:val="30"/>
          <w:lang w:val="es-ES"/>
        </w:rPr>
        <w:br/>
        <w:t>El fiduciario sustituto no es responsable de los actos de su predecesor.</w:t>
      </w:r>
      <w:r>
        <w:rPr>
          <w:rFonts w:eastAsia="Times New Roman"/>
          <w:sz w:val="30"/>
          <w:szCs w:val="30"/>
          <w:lang w:val="es-ES"/>
        </w:rPr>
        <w:br/>
      </w:r>
      <w:r>
        <w:rPr>
          <w:rFonts w:eastAsia="Times New Roman"/>
          <w:sz w:val="30"/>
          <w:szCs w:val="30"/>
          <w:lang w:val="es-ES"/>
        </w:rPr>
        <w:br/>
        <w:t>El C.N.</w:t>
      </w:r>
      <w:r>
        <w:rPr>
          <w:rFonts w:eastAsia="Times New Roman"/>
          <w:sz w:val="30"/>
          <w:szCs w:val="30"/>
          <w:lang w:val="es-ES"/>
        </w:rPr>
        <w:t>V., dictará por resolución de carácter general las normas reglamentarias relativas a la sustitución fiduciaria.</w:t>
      </w:r>
    </w:p>
    <w:p w:rsidR="00000000" w:rsidRDefault="0018461E">
      <w:pPr>
        <w:divId w:val="896626330"/>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Terminación del fideicomiso mercantil.- </w:t>
      </w:r>
      <w:r>
        <w:rPr>
          <w:rFonts w:eastAsia="Times New Roman"/>
          <w:sz w:val="30"/>
          <w:szCs w:val="30"/>
          <w:lang w:val="es-ES"/>
        </w:rPr>
        <w:t>Son causas de terminación del fideicomiso mercantil o del encargo fiduciario, además de las previstas en el contrato constitutivo, las siguientes:</w:t>
      </w:r>
      <w:r>
        <w:rPr>
          <w:rFonts w:eastAsia="Times New Roman"/>
          <w:sz w:val="30"/>
          <w:szCs w:val="30"/>
          <w:lang w:val="es-ES"/>
        </w:rPr>
        <w:br/>
      </w:r>
      <w:r>
        <w:rPr>
          <w:rFonts w:eastAsia="Times New Roman"/>
          <w:sz w:val="30"/>
          <w:szCs w:val="30"/>
          <w:lang w:val="es-ES"/>
        </w:rPr>
        <w:br/>
        <w:t xml:space="preserve">a) El cumplimiento de la finalidad establecida en el contrato;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b) El cumplimiento de las condiciones; </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xml:space="preserve"> El cumplimiento o la falla de la condición resolutoria; </w:t>
      </w:r>
      <w:r>
        <w:rPr>
          <w:rFonts w:eastAsia="Times New Roman"/>
          <w:sz w:val="30"/>
          <w:szCs w:val="30"/>
          <w:lang w:val="es-ES"/>
        </w:rPr>
        <w:br/>
      </w:r>
      <w:r>
        <w:rPr>
          <w:rFonts w:eastAsia="Times New Roman"/>
          <w:sz w:val="30"/>
          <w:szCs w:val="30"/>
          <w:lang w:val="es-ES"/>
        </w:rPr>
        <w:br/>
        <w:t xml:space="preserve">d) El cumplimiento del plazo contractual; </w:t>
      </w:r>
      <w:r>
        <w:rPr>
          <w:rFonts w:eastAsia="Times New Roman"/>
          <w:sz w:val="30"/>
          <w:szCs w:val="30"/>
          <w:lang w:val="es-ES"/>
        </w:rPr>
        <w:br/>
      </w:r>
      <w:r>
        <w:rPr>
          <w:rFonts w:eastAsia="Times New Roman"/>
          <w:sz w:val="30"/>
          <w:szCs w:val="30"/>
          <w:lang w:val="es-ES"/>
        </w:rPr>
        <w:br/>
        <w:t xml:space="preserve">e) La imposibilidad absoluta de cumplir con la finalidad establecida en el acto constitutivo; </w:t>
      </w:r>
      <w:r>
        <w:rPr>
          <w:rFonts w:eastAsia="Times New Roman"/>
          <w:sz w:val="30"/>
          <w:szCs w:val="30"/>
          <w:lang w:val="es-ES"/>
        </w:rPr>
        <w:br/>
      </w:r>
      <w:r>
        <w:rPr>
          <w:rFonts w:eastAsia="Times New Roman"/>
          <w:sz w:val="30"/>
          <w:szCs w:val="30"/>
          <w:lang w:val="es-ES"/>
        </w:rPr>
        <w:br/>
        <w:t>f) La sentencia ejecutoriada dictada por autoridad judici</w:t>
      </w:r>
      <w:r>
        <w:rPr>
          <w:rFonts w:eastAsia="Times New Roman"/>
          <w:sz w:val="30"/>
          <w:szCs w:val="30"/>
          <w:lang w:val="es-ES"/>
        </w:rPr>
        <w:t xml:space="preserve">al competente o el laudo arbitral, de conformidad con la ley; </w:t>
      </w:r>
      <w:r>
        <w:rPr>
          <w:rFonts w:eastAsia="Times New Roman"/>
          <w:sz w:val="30"/>
          <w:szCs w:val="30"/>
          <w:lang w:val="es-ES"/>
        </w:rPr>
        <w:br/>
      </w:r>
      <w:r>
        <w:rPr>
          <w:rFonts w:eastAsia="Times New Roman"/>
          <w:sz w:val="30"/>
          <w:szCs w:val="30"/>
          <w:lang w:val="es-ES"/>
        </w:rPr>
        <w:br/>
        <w:t>g) La resciliación del contrato de fideicomiso mercantil, siempre que no afecte los derechos del constituyente, de los constituyentes adherentes, del beneficiario, de acreedores del fideicomis</w:t>
      </w:r>
      <w:r>
        <w:rPr>
          <w:rFonts w:eastAsia="Times New Roman"/>
          <w:sz w:val="30"/>
          <w:szCs w:val="30"/>
          <w:lang w:val="es-ES"/>
        </w:rPr>
        <w:t xml:space="preserve">o mercantil o de terceros; y, </w:t>
      </w:r>
      <w:r>
        <w:rPr>
          <w:rFonts w:eastAsia="Times New Roman"/>
          <w:sz w:val="30"/>
          <w:szCs w:val="30"/>
          <w:lang w:val="es-ES"/>
        </w:rPr>
        <w:br/>
      </w:r>
      <w:r>
        <w:rPr>
          <w:rFonts w:eastAsia="Times New Roman"/>
          <w:sz w:val="30"/>
          <w:szCs w:val="30"/>
          <w:lang w:val="es-ES"/>
        </w:rPr>
        <w:br/>
        <w:t>h) La quiebra o disolución del fiduciario, siempre que no exista sustituto.</w:t>
      </w:r>
    </w:p>
    <w:p w:rsidR="00000000" w:rsidRDefault="0018461E">
      <w:pPr>
        <w:divId w:val="815729089"/>
        <w:rPr>
          <w:rFonts w:eastAsia="Times New Roman"/>
          <w:sz w:val="30"/>
          <w:szCs w:val="30"/>
          <w:lang w:val="es-ES"/>
        </w:rPr>
      </w:pPr>
      <w:r>
        <w:rPr>
          <w:rFonts w:eastAsia="Times New Roman"/>
          <w:b/>
          <w:bCs/>
          <w:sz w:val="30"/>
          <w:szCs w:val="30"/>
          <w:lang w:val="es-ES"/>
        </w:rPr>
        <w:t xml:space="preserve">Art. 135.- Responsabilidad tributaria.- </w:t>
      </w:r>
      <w:r>
        <w:rPr>
          <w:rFonts w:eastAsia="Times New Roman"/>
          <w:sz w:val="30"/>
          <w:szCs w:val="30"/>
          <w:lang w:val="es-ES"/>
        </w:rPr>
        <w:t xml:space="preserve">El fideicomiso mercantil tendrá la calidad de agente de recepción o de percepción respecto de los impuestos </w:t>
      </w:r>
      <w:r>
        <w:rPr>
          <w:rFonts w:eastAsia="Times New Roman"/>
          <w:sz w:val="30"/>
          <w:szCs w:val="30"/>
          <w:lang w:val="es-ES"/>
        </w:rPr>
        <w:t>que al fideicomiso le corresponde retener y percibir en los términos de la legislación tributaria vigente.</w:t>
      </w:r>
      <w:r>
        <w:rPr>
          <w:rFonts w:eastAsia="Times New Roman"/>
          <w:sz w:val="30"/>
          <w:szCs w:val="30"/>
          <w:lang w:val="es-ES"/>
        </w:rPr>
        <w:br/>
      </w:r>
      <w:r>
        <w:rPr>
          <w:rFonts w:eastAsia="Times New Roman"/>
          <w:sz w:val="30"/>
          <w:szCs w:val="30"/>
          <w:lang w:val="es-ES"/>
        </w:rPr>
        <w:br/>
        <w:t>En el caso de encargos fiduciarios, el fiduciario hará la retención a nombre de quien otorgó el encargo.</w:t>
      </w:r>
      <w:r>
        <w:rPr>
          <w:rFonts w:eastAsia="Times New Roman"/>
          <w:sz w:val="30"/>
          <w:szCs w:val="30"/>
          <w:lang w:val="es-ES"/>
        </w:rPr>
        <w:br/>
      </w:r>
      <w:r>
        <w:rPr>
          <w:rFonts w:eastAsia="Times New Roman"/>
          <w:sz w:val="30"/>
          <w:szCs w:val="30"/>
          <w:lang w:val="es-ES"/>
        </w:rPr>
        <w:br/>
        <w:t>Para todos los efectos consiguientes, la r</w:t>
      </w:r>
      <w:r>
        <w:rPr>
          <w:rFonts w:eastAsia="Times New Roman"/>
          <w:sz w:val="30"/>
          <w:szCs w:val="30"/>
          <w:lang w:val="es-ES"/>
        </w:rPr>
        <w:t>esponsabilidad del fiduciario en relación con el fideicomiso que administra se regirá por las normas del Código Tributario.</w:t>
      </w:r>
      <w:r>
        <w:rPr>
          <w:rFonts w:eastAsia="Times New Roman"/>
          <w:sz w:val="30"/>
          <w:szCs w:val="30"/>
          <w:lang w:val="es-ES"/>
        </w:rPr>
        <w:br/>
      </w:r>
      <w:r>
        <w:rPr>
          <w:rFonts w:eastAsia="Times New Roman"/>
          <w:sz w:val="30"/>
          <w:szCs w:val="30"/>
          <w:lang w:val="es-ES"/>
        </w:rPr>
        <w:br/>
        <w:t xml:space="preserve">El fiduciario será responsable solidario con el fideicomiso mercantil por el incumplimiento de deberes formales que como agente de </w:t>
      </w:r>
      <w:r>
        <w:rPr>
          <w:rFonts w:eastAsia="Times New Roman"/>
          <w:sz w:val="30"/>
          <w:szCs w:val="30"/>
          <w:lang w:val="es-ES"/>
        </w:rPr>
        <w:t>retención y percepción le corresponda al fideicomiso.</w:t>
      </w:r>
    </w:p>
    <w:p w:rsidR="00000000" w:rsidRDefault="0018461E">
      <w:pPr>
        <w:divId w:val="710958420"/>
        <w:rPr>
          <w:rFonts w:eastAsia="Times New Roman"/>
          <w:sz w:val="30"/>
          <w:szCs w:val="30"/>
          <w:lang w:val="es-ES"/>
        </w:rPr>
      </w:pPr>
      <w:r>
        <w:rPr>
          <w:rFonts w:eastAsia="Times New Roman"/>
          <w:b/>
          <w:bCs/>
          <w:sz w:val="30"/>
          <w:szCs w:val="30"/>
          <w:lang w:val="es-ES"/>
        </w:rPr>
        <w:t>Art. 136.- De la contabilización.</w:t>
      </w:r>
      <w:r>
        <w:rPr>
          <w:rFonts w:eastAsia="Times New Roman"/>
          <w:sz w:val="30"/>
          <w:szCs w:val="30"/>
          <w:lang w:val="es-ES"/>
        </w:rPr>
        <w:t xml:space="preserve">- Quien tenga derechos contractuales derivados de un contrato de fideicomiso, como constituyente, constituyente adherente o beneficiario los deberán contabilizar en sus </w:t>
      </w:r>
      <w:r>
        <w:rPr>
          <w:rFonts w:eastAsia="Times New Roman"/>
          <w:sz w:val="30"/>
          <w:szCs w:val="30"/>
          <w:lang w:val="es-ES"/>
        </w:rPr>
        <w:t xml:space="preserve">libros en atención a que las transferencias de bienes efectuadas en fideicomiso mercantil se hacen en beneficio del propio constituyente o del beneficiario, según el caso. Tal registro contable es de </w:t>
      </w:r>
      <w:r>
        <w:rPr>
          <w:rFonts w:eastAsia="Times New Roman"/>
          <w:sz w:val="30"/>
          <w:szCs w:val="30"/>
          <w:lang w:val="es-ES"/>
        </w:rPr>
        <w:lastRenderedPageBreak/>
        <w:t>responsabilidad exclusiva de los titulares de los derech</w:t>
      </w:r>
      <w:r>
        <w:rPr>
          <w:rFonts w:eastAsia="Times New Roman"/>
          <w:sz w:val="30"/>
          <w:szCs w:val="30"/>
          <w:lang w:val="es-ES"/>
        </w:rPr>
        <w:t>os fiduciarios, los cuales tienen carácter esencialmente personal; no siendo el fiduciario responsable por la omisión o incumplimiento de esta norma. De acuerdo a las normas contables que expida la Superintendencia de Compañías.</w:t>
      </w:r>
    </w:p>
    <w:p w:rsidR="00000000" w:rsidRDefault="0018461E">
      <w:pPr>
        <w:divId w:val="85468242"/>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De las interpret</w:t>
      </w:r>
      <w:r>
        <w:rPr>
          <w:rFonts w:eastAsia="Times New Roman"/>
          <w:b/>
          <w:bCs/>
          <w:sz w:val="30"/>
          <w:szCs w:val="30"/>
          <w:lang w:val="es-ES"/>
        </w:rPr>
        <w:t xml:space="preserve">aciones.- </w:t>
      </w:r>
      <w:r>
        <w:rPr>
          <w:rFonts w:eastAsia="Times New Roman"/>
          <w:sz w:val="30"/>
          <w:szCs w:val="30"/>
          <w:lang w:val="es-ES"/>
        </w:rPr>
        <w:t xml:space="preserve">Se excluye expresamente de la interpretación y efectos de los contratos de fideicomiso mercantil a las instituciones civiles referentes al fideicomiso, previstas en los libros Segundo y Tercero del Código Civil, por tener un fundamento diferente </w:t>
      </w:r>
      <w:r>
        <w:rPr>
          <w:rFonts w:eastAsia="Times New Roman"/>
          <w:sz w:val="30"/>
          <w:szCs w:val="30"/>
          <w:lang w:val="es-ES"/>
        </w:rPr>
        <w:t>y de diversa naturaleza legal.</w:t>
      </w:r>
    </w:p>
    <w:p w:rsidR="00000000" w:rsidRDefault="0018461E">
      <w:pPr>
        <w:jc w:val="center"/>
        <w:rPr>
          <w:rFonts w:eastAsia="Times New Roman"/>
          <w:sz w:val="36"/>
          <w:szCs w:val="36"/>
          <w:lang w:val="es-ES"/>
        </w:rPr>
      </w:pPr>
      <w:r>
        <w:rPr>
          <w:rFonts w:eastAsia="Times New Roman"/>
          <w:b/>
          <w:bCs/>
          <w:sz w:val="36"/>
          <w:szCs w:val="36"/>
          <w:lang w:val="es-ES"/>
        </w:rPr>
        <w:br/>
        <w:t>Título XVI</w:t>
      </w:r>
      <w:r>
        <w:rPr>
          <w:rFonts w:eastAsia="Times New Roman"/>
          <w:b/>
          <w:bCs/>
          <w:sz w:val="36"/>
          <w:szCs w:val="36"/>
          <w:lang w:val="es-ES"/>
        </w:rPr>
        <w:br/>
        <w:t>DE LA TITULARIZACIÓN</w:t>
      </w:r>
    </w:p>
    <w:p w:rsidR="00000000" w:rsidRDefault="0018461E">
      <w:pPr>
        <w:divId w:val="1712612713"/>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w:t>
      </w:r>
      <w:r>
        <w:rPr>
          <w:rFonts w:eastAsia="Times New Roman"/>
          <w:b/>
          <w:bCs/>
          <w:sz w:val="30"/>
          <w:szCs w:val="30"/>
          <w:lang w:val="es-ES"/>
        </w:rPr>
        <w:t>De la titularización.</w:t>
      </w:r>
      <w:r>
        <w:rPr>
          <w:rFonts w:eastAsia="Times New Roman"/>
          <w:sz w:val="30"/>
          <w:szCs w:val="30"/>
          <w:lang w:val="es-ES"/>
        </w:rPr>
        <w:t>- Es el proceso mediante el cual se emiten valores susceptibles de ser colocados y negociados libremente en el mercado bursátil, emitidos con cargo a un patrimo</w:t>
      </w:r>
      <w:r>
        <w:rPr>
          <w:rFonts w:eastAsia="Times New Roman"/>
          <w:sz w:val="30"/>
          <w:szCs w:val="30"/>
          <w:lang w:val="es-ES"/>
        </w:rPr>
        <w:t>nio autónomo.</w:t>
      </w:r>
      <w:r>
        <w:rPr>
          <w:rFonts w:eastAsia="Times New Roman"/>
          <w:sz w:val="30"/>
          <w:szCs w:val="30"/>
          <w:lang w:val="es-ES"/>
        </w:rPr>
        <w:br/>
      </w:r>
      <w:r>
        <w:rPr>
          <w:rFonts w:eastAsia="Times New Roman"/>
          <w:sz w:val="30"/>
          <w:szCs w:val="30"/>
          <w:lang w:val="es-ES"/>
        </w:rPr>
        <w:br/>
        <w:t>Los valores que se emitan como consecuencia de procesos de titularización constituyen valores en los términos de la presente Ley.</w:t>
      </w:r>
      <w:r>
        <w:rPr>
          <w:rFonts w:eastAsia="Times New Roman"/>
          <w:sz w:val="30"/>
          <w:szCs w:val="30"/>
          <w:lang w:val="es-ES"/>
        </w:rPr>
        <w:br/>
      </w:r>
      <w:r>
        <w:rPr>
          <w:rFonts w:eastAsia="Times New Roman"/>
          <w:sz w:val="30"/>
          <w:szCs w:val="30"/>
          <w:lang w:val="es-ES"/>
        </w:rPr>
        <w:br/>
        <w:t>No se podrán promocionar o realizar ofertas públicas de derechos fiduciarios sin haber cumplido previamente lo</w:t>
      </w:r>
      <w:r>
        <w:rPr>
          <w:rFonts w:eastAsia="Times New Roman"/>
          <w:sz w:val="30"/>
          <w:szCs w:val="30"/>
          <w:lang w:val="es-ES"/>
        </w:rPr>
        <w:t>s requisitos establecidos por esta Ley para los procesos de titularización.</w:t>
      </w:r>
    </w:p>
    <w:p w:rsidR="00000000" w:rsidRDefault="0018461E">
      <w:pPr>
        <w:divId w:val="423653059"/>
        <w:rPr>
          <w:rFonts w:eastAsia="Times New Roman"/>
          <w:sz w:val="30"/>
          <w:szCs w:val="30"/>
          <w:lang w:val="es-ES"/>
        </w:rPr>
      </w:pPr>
      <w:r>
        <w:rPr>
          <w:rFonts w:eastAsia="Times New Roman"/>
          <w:sz w:val="30"/>
          <w:szCs w:val="30"/>
          <w:lang w:val="es-ES"/>
        </w:rPr>
        <w:t xml:space="preserve">Art. 139.- </w:t>
      </w:r>
      <w:r>
        <w:rPr>
          <w:rFonts w:eastAsia="Times New Roman"/>
          <w:b/>
          <w:bCs/>
          <w:sz w:val="30"/>
          <w:szCs w:val="30"/>
          <w:lang w:val="es-ES"/>
        </w:rPr>
        <w:t xml:space="preserve">Partes esenciales.- </w:t>
      </w:r>
      <w:r>
        <w:rPr>
          <w:rFonts w:eastAsia="Times New Roman"/>
          <w:sz w:val="30"/>
          <w:szCs w:val="30"/>
          <w:lang w:val="es-ES"/>
        </w:rPr>
        <w:t>(Reformado por el Art. 54 de la Ley s/n, R.O. 249-S, 20-V-2014).-</w:t>
      </w:r>
      <w:r>
        <w:rPr>
          <w:rFonts w:eastAsia="Times New Roman"/>
          <w:b/>
          <w:bCs/>
          <w:sz w:val="30"/>
          <w:szCs w:val="30"/>
          <w:lang w:val="es-ES"/>
        </w:rPr>
        <w:t xml:space="preserve"> </w:t>
      </w:r>
      <w:r>
        <w:rPr>
          <w:rFonts w:eastAsia="Times New Roman"/>
          <w:sz w:val="30"/>
          <w:szCs w:val="30"/>
          <w:lang w:val="es-ES"/>
        </w:rPr>
        <w:t xml:space="preserve">Las partes esenciales que deben intervenir en un proceso de titularización son las </w:t>
      </w:r>
      <w:r>
        <w:rPr>
          <w:rFonts w:eastAsia="Times New Roman"/>
          <w:sz w:val="30"/>
          <w:szCs w:val="30"/>
          <w:lang w:val="es-ES"/>
        </w:rPr>
        <w:t>siguientes:</w:t>
      </w:r>
      <w:r>
        <w:rPr>
          <w:rFonts w:eastAsia="Times New Roman"/>
          <w:sz w:val="30"/>
          <w:szCs w:val="30"/>
          <w:lang w:val="es-ES"/>
        </w:rPr>
        <w:br/>
      </w:r>
      <w:r>
        <w:rPr>
          <w:rFonts w:eastAsia="Times New Roman"/>
          <w:sz w:val="30"/>
          <w:szCs w:val="30"/>
          <w:lang w:val="es-ES"/>
        </w:rPr>
        <w:br/>
        <w:t>Originador consiste en una o más personas naturales o jurídicas, de derecho público o privado, públicas, privadas o mixtas, de derecho privado con finalidad social o pública, nacionales o extranjeras, o entidades dotadas de personalidad jurídi</w:t>
      </w:r>
      <w:r>
        <w:rPr>
          <w:rFonts w:eastAsia="Times New Roman"/>
          <w:sz w:val="30"/>
          <w:szCs w:val="30"/>
          <w:lang w:val="es-ES"/>
        </w:rPr>
        <w:t>ca, propietarios de activos o derechos sobre flujos susceptibles de ser titularizados.</w:t>
      </w:r>
      <w:r>
        <w:rPr>
          <w:rFonts w:eastAsia="Times New Roman"/>
          <w:sz w:val="30"/>
          <w:szCs w:val="30"/>
          <w:lang w:val="es-ES"/>
        </w:rPr>
        <w:br/>
      </w:r>
      <w:r>
        <w:rPr>
          <w:rFonts w:eastAsia="Times New Roman"/>
          <w:sz w:val="30"/>
          <w:szCs w:val="30"/>
          <w:lang w:val="es-ES"/>
        </w:rPr>
        <w:br/>
        <w:t>Agente de Manejo será una sociedad administradora de fondos y fideicomisos que tenga a su cargo, además de las funciones consagradas en el contrato de fideicomiso merca</w:t>
      </w:r>
      <w:r>
        <w:rPr>
          <w:rFonts w:eastAsia="Times New Roman"/>
          <w:sz w:val="30"/>
          <w:szCs w:val="30"/>
          <w:lang w:val="es-ES"/>
        </w:rPr>
        <w:t>ntil, las siguientes:</w:t>
      </w:r>
      <w:r>
        <w:rPr>
          <w:rFonts w:eastAsia="Times New Roman"/>
          <w:sz w:val="30"/>
          <w:szCs w:val="30"/>
          <w:lang w:val="es-ES"/>
        </w:rPr>
        <w:br/>
      </w:r>
      <w:r>
        <w:rPr>
          <w:rFonts w:eastAsia="Times New Roman"/>
          <w:sz w:val="30"/>
          <w:szCs w:val="30"/>
          <w:lang w:val="es-ES"/>
        </w:rPr>
        <w:br/>
        <w:t xml:space="preserve">a) Obtener las autorizaciones que se requieran para procesos de titularización en los cuales los valores a emitirse vayan a ser </w:t>
      </w:r>
      <w:r>
        <w:rPr>
          <w:rFonts w:eastAsia="Times New Roman"/>
          <w:sz w:val="30"/>
          <w:szCs w:val="30"/>
          <w:lang w:val="es-ES"/>
        </w:rPr>
        <w:lastRenderedPageBreak/>
        <w:t xml:space="preserve">colocados mediante oferta pública, conforme con las disposiciones de la presente Ley; </w:t>
      </w:r>
      <w:r>
        <w:rPr>
          <w:rFonts w:eastAsia="Times New Roman"/>
          <w:sz w:val="30"/>
          <w:szCs w:val="30"/>
          <w:lang w:val="es-ES"/>
        </w:rPr>
        <w:br/>
      </w:r>
      <w:r>
        <w:rPr>
          <w:rFonts w:eastAsia="Times New Roman"/>
          <w:sz w:val="30"/>
          <w:szCs w:val="30"/>
          <w:lang w:val="es-ES"/>
        </w:rPr>
        <w:br/>
        <w:t>b) Recibir del or</w:t>
      </w:r>
      <w:r>
        <w:rPr>
          <w:rFonts w:eastAsia="Times New Roman"/>
          <w:sz w:val="30"/>
          <w:szCs w:val="30"/>
          <w:lang w:val="es-ES"/>
        </w:rPr>
        <w:t xml:space="preserve">iginador y en representación del patrimonio de propósito exclusivo, los activos a ser titularizados; </w:t>
      </w:r>
      <w:r>
        <w:rPr>
          <w:rFonts w:eastAsia="Times New Roman"/>
          <w:sz w:val="30"/>
          <w:szCs w:val="30"/>
          <w:lang w:val="es-ES"/>
        </w:rPr>
        <w:br/>
      </w:r>
      <w:r>
        <w:rPr>
          <w:rFonts w:eastAsia="Times New Roman"/>
          <w:sz w:val="30"/>
          <w:szCs w:val="30"/>
          <w:lang w:val="es-ES"/>
        </w:rPr>
        <w:br/>
        <w:t xml:space="preserve">c) Emitir valores respaldados con el patrimonio de propósito exclusivo; </w:t>
      </w:r>
      <w:r>
        <w:rPr>
          <w:rFonts w:eastAsia="Times New Roman"/>
          <w:sz w:val="30"/>
          <w:szCs w:val="30"/>
          <w:lang w:val="es-ES"/>
        </w:rPr>
        <w:br/>
      </w:r>
      <w:r>
        <w:rPr>
          <w:rFonts w:eastAsia="Times New Roman"/>
          <w:sz w:val="30"/>
          <w:szCs w:val="30"/>
          <w:lang w:val="es-ES"/>
        </w:rPr>
        <w:br/>
        <w:t>d) Colocar los valores emitidos, mediante oferta pública, conforme con las disp</w:t>
      </w:r>
      <w:r>
        <w:rPr>
          <w:rFonts w:eastAsia="Times New Roman"/>
          <w:sz w:val="30"/>
          <w:szCs w:val="30"/>
          <w:lang w:val="es-ES"/>
        </w:rPr>
        <w:t xml:space="preserve">osiciones de la presente Ley; </w:t>
      </w:r>
      <w:r>
        <w:rPr>
          <w:rFonts w:eastAsia="Times New Roman"/>
          <w:sz w:val="30"/>
          <w:szCs w:val="30"/>
          <w:lang w:val="es-ES"/>
        </w:rPr>
        <w:br/>
      </w:r>
      <w:r>
        <w:rPr>
          <w:rFonts w:eastAsia="Times New Roman"/>
          <w:sz w:val="30"/>
          <w:szCs w:val="30"/>
          <w:lang w:val="es-ES"/>
        </w:rPr>
        <w:br/>
        <w:t xml:space="preserve">e) Administrar los activos integrados en el patrimonio de propósito exclusivo, tendiendo a la obtención de los flujos futuros, sea de fondos, sea de derechos de contenido económico; y, </w:t>
      </w:r>
      <w:r>
        <w:rPr>
          <w:rFonts w:eastAsia="Times New Roman"/>
          <w:sz w:val="30"/>
          <w:szCs w:val="30"/>
          <w:lang w:val="es-ES"/>
        </w:rPr>
        <w:br/>
      </w:r>
      <w:r>
        <w:rPr>
          <w:rFonts w:eastAsia="Times New Roman"/>
          <w:sz w:val="30"/>
          <w:szCs w:val="30"/>
          <w:lang w:val="es-ES"/>
        </w:rPr>
        <w:br/>
        <w:t>f) Distribuir entre los inversionista</w:t>
      </w:r>
      <w:r>
        <w:rPr>
          <w:rFonts w:eastAsia="Times New Roman"/>
          <w:sz w:val="30"/>
          <w:szCs w:val="30"/>
          <w:lang w:val="es-ES"/>
        </w:rPr>
        <w:t>s los resultados obtenidos.</w:t>
      </w:r>
      <w:r>
        <w:rPr>
          <w:rFonts w:eastAsia="Times New Roman"/>
          <w:sz w:val="30"/>
          <w:szCs w:val="30"/>
          <w:lang w:val="es-ES"/>
        </w:rPr>
        <w:br/>
      </w:r>
      <w:r>
        <w:rPr>
          <w:rFonts w:eastAsia="Times New Roman"/>
          <w:sz w:val="30"/>
          <w:szCs w:val="30"/>
          <w:lang w:val="es-ES"/>
        </w:rPr>
        <w:br/>
        <w:t>Las funciones señaladas en los literales a), b) y c) son indelegables. La delegación de las funciones restantes deberán indicarse expresamente en el contrato de fideicomiso mercantil. El agente de manejo será siempre responsabl</w:t>
      </w:r>
      <w:r>
        <w:rPr>
          <w:rFonts w:eastAsia="Times New Roman"/>
          <w:sz w:val="30"/>
          <w:szCs w:val="30"/>
          <w:lang w:val="es-ES"/>
        </w:rPr>
        <w:t>e de todas las actuaciones de terceros que desempeñen las funciones así delegadas.</w:t>
      </w:r>
      <w:r>
        <w:rPr>
          <w:rFonts w:eastAsia="Times New Roman"/>
          <w:sz w:val="30"/>
          <w:szCs w:val="30"/>
          <w:lang w:val="es-ES"/>
        </w:rPr>
        <w:br/>
      </w:r>
      <w:r>
        <w:rPr>
          <w:rFonts w:eastAsia="Times New Roman"/>
          <w:sz w:val="30"/>
          <w:szCs w:val="30"/>
          <w:lang w:val="es-ES"/>
        </w:rPr>
        <w:br/>
        <w:t>En todo caso, la responsabilidad del agente de manejo alcanza únicamente a la buena administración del proceso de titularización, por lo que no responderá por los resultado</w:t>
      </w:r>
      <w:r>
        <w:rPr>
          <w:rFonts w:eastAsia="Times New Roman"/>
          <w:sz w:val="30"/>
          <w:szCs w:val="30"/>
          <w:lang w:val="es-ES"/>
        </w:rPr>
        <w:t>s obtenidos, a menos que dicho proceso arroje pérdidas causadas por dolo o culpa leve en las actuaciones del agente de manejo, declaradas como tales en sentencia ejecutoriada, en cuyo caso responderá por dolo o hasta por culpa leve.</w:t>
      </w:r>
      <w:r>
        <w:rPr>
          <w:rFonts w:eastAsia="Times New Roman"/>
          <w:sz w:val="30"/>
          <w:szCs w:val="30"/>
          <w:lang w:val="es-ES"/>
        </w:rPr>
        <w:br/>
      </w:r>
      <w:r>
        <w:rPr>
          <w:rFonts w:eastAsia="Times New Roman"/>
          <w:sz w:val="30"/>
          <w:szCs w:val="30"/>
          <w:lang w:val="es-ES"/>
        </w:rPr>
        <w:br/>
        <w:t>Patrimonio de propósit</w:t>
      </w:r>
      <w:r>
        <w:rPr>
          <w:rFonts w:eastAsia="Times New Roman"/>
          <w:sz w:val="30"/>
          <w:szCs w:val="30"/>
          <w:lang w:val="es-ES"/>
        </w:rPr>
        <w:t>o exclusivo, que siempre será el emisor, es un patrimonio independiente integrado inicialmente por los activos transferidos por el originador y, posteriormente por los activos, pasivos y contingentes que resulten o se integren como consecuencia del desarro</w:t>
      </w:r>
      <w:r>
        <w:rPr>
          <w:rFonts w:eastAsia="Times New Roman"/>
          <w:sz w:val="30"/>
          <w:szCs w:val="30"/>
          <w:lang w:val="es-ES"/>
        </w:rPr>
        <w:t>llo del respectivo proceso de titularización. Dicho patrimonio de propósito exclusivo deberá instrumentarse bajo la figura de un fideicomiso mercantil, de conformidad con lo que establece esta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Inversionistas, son aquellos que adquieren e invierten en</w:t>
      </w:r>
      <w:r>
        <w:rPr>
          <w:rFonts w:eastAsia="Times New Roman"/>
          <w:sz w:val="30"/>
          <w:szCs w:val="30"/>
          <w:lang w:val="es-ES"/>
        </w:rPr>
        <w:t xml:space="preserve"> valores emitidos como consecuencia de procesos de titularización.</w:t>
      </w:r>
      <w:r>
        <w:rPr>
          <w:rFonts w:eastAsia="Times New Roman"/>
          <w:sz w:val="30"/>
          <w:szCs w:val="30"/>
          <w:lang w:val="es-ES"/>
        </w:rPr>
        <w:br/>
      </w:r>
      <w:r>
        <w:rPr>
          <w:rFonts w:eastAsia="Times New Roman"/>
          <w:sz w:val="30"/>
          <w:szCs w:val="30"/>
          <w:lang w:val="es-ES"/>
        </w:rPr>
        <w:br/>
        <w:t xml:space="preserve">Comité de Vigilancia, estará compuesto por lo menos por tres miembros, elegidos por los tenedores de títulos, no relacionados al agente de manejo. No podrán ser elegidos como miembros del </w:t>
      </w:r>
      <w:r>
        <w:rPr>
          <w:rFonts w:eastAsia="Times New Roman"/>
          <w:sz w:val="30"/>
          <w:szCs w:val="30"/>
          <w:lang w:val="es-ES"/>
        </w:rPr>
        <w:t>mencionado comité los tenedores de títulos que pertenezcan a empresas vinculadas al agente de manejo.</w:t>
      </w:r>
    </w:p>
    <w:p w:rsidR="00000000" w:rsidRDefault="0018461E">
      <w:pPr>
        <w:divId w:val="1572306735"/>
        <w:rPr>
          <w:rFonts w:eastAsia="Times New Roman"/>
          <w:sz w:val="30"/>
          <w:szCs w:val="30"/>
          <w:lang w:val="es-ES"/>
        </w:rPr>
      </w:pPr>
      <w:r>
        <w:rPr>
          <w:rFonts w:eastAsia="Times New Roman"/>
          <w:b/>
          <w:bCs/>
          <w:sz w:val="30"/>
          <w:szCs w:val="30"/>
          <w:lang w:val="es-ES"/>
        </w:rPr>
        <w:t xml:space="preserve">Art. 140.- Mecanismos para titularizar.- </w:t>
      </w:r>
      <w:r>
        <w:rPr>
          <w:rFonts w:eastAsia="Times New Roman"/>
          <w:sz w:val="30"/>
          <w:szCs w:val="30"/>
          <w:lang w:val="es-ES"/>
        </w:rPr>
        <w:t>(Sustituido por el Art. 55 de la Ley s/n, R.O. 249-S, 20-V-2014).- Los procesos de titularización deberán llevars</w:t>
      </w:r>
      <w:r>
        <w:rPr>
          <w:rFonts w:eastAsia="Times New Roman"/>
          <w:sz w:val="30"/>
          <w:szCs w:val="30"/>
          <w:lang w:val="es-ES"/>
        </w:rPr>
        <w:t>e a cabo a través de fideicomisos mercantiles. El agente de manejo podrá fijar un punto de equilibrio financiero, cuyas características deberán constar en el Reglamento de Gestión, que de alcanzarse, determinará el inicio del proceso de titularización corr</w:t>
      </w:r>
      <w:r>
        <w:rPr>
          <w:rFonts w:eastAsia="Times New Roman"/>
          <w:sz w:val="30"/>
          <w:szCs w:val="30"/>
          <w:lang w:val="es-ES"/>
        </w:rPr>
        <w:t>espondiente.</w:t>
      </w:r>
    </w:p>
    <w:p w:rsidR="00000000" w:rsidRDefault="0018461E">
      <w:pPr>
        <w:divId w:val="1364087444"/>
        <w:rPr>
          <w:rFonts w:eastAsia="Times New Roman"/>
          <w:sz w:val="30"/>
          <w:szCs w:val="30"/>
          <w:lang w:val="es-ES"/>
        </w:rPr>
      </w:pPr>
      <w:r>
        <w:rPr>
          <w:rFonts w:eastAsia="Times New Roman"/>
          <w:b/>
          <w:bCs/>
          <w:sz w:val="30"/>
          <w:szCs w:val="30"/>
          <w:lang w:val="es-ES"/>
        </w:rPr>
        <w:t xml:space="preserve">Art. 141.- Del patrimonio independiente o autónomo.- </w:t>
      </w:r>
      <w:r>
        <w:rPr>
          <w:rFonts w:eastAsia="Times New Roman"/>
          <w:sz w:val="30"/>
          <w:szCs w:val="30"/>
          <w:lang w:val="es-ES"/>
        </w:rPr>
        <w:t>Cualquiera sea el patrimonio de propósito exclusivo que se utilice para desarrollar un proceso de titularización, los activos o derechos sobre flujos transferidos por el originador integrará</w:t>
      </w:r>
      <w:r>
        <w:rPr>
          <w:rFonts w:eastAsia="Times New Roman"/>
          <w:sz w:val="30"/>
          <w:szCs w:val="30"/>
          <w:lang w:val="es-ES"/>
        </w:rPr>
        <w:t>n un patrimonio independiente, que contará con su propio balance, distinto de los patrimonios individuales del originador, del agente de manejo o de los inversionistas.</w:t>
      </w:r>
      <w:r>
        <w:rPr>
          <w:rFonts w:eastAsia="Times New Roman"/>
          <w:sz w:val="30"/>
          <w:szCs w:val="30"/>
          <w:lang w:val="es-ES"/>
        </w:rPr>
        <w:br/>
      </w:r>
      <w:r>
        <w:rPr>
          <w:rFonts w:eastAsia="Times New Roman"/>
          <w:sz w:val="30"/>
          <w:szCs w:val="30"/>
          <w:lang w:val="es-ES"/>
        </w:rPr>
        <w:br/>
        <w:t>Los activos que integren el patrimonio de propósito exclusivo no pueden ser embargados</w:t>
      </w:r>
      <w:r>
        <w:rPr>
          <w:rFonts w:eastAsia="Times New Roman"/>
          <w:sz w:val="30"/>
          <w:szCs w:val="30"/>
          <w:lang w:val="es-ES"/>
        </w:rPr>
        <w:t xml:space="preserve"> ni sujetos de ninguna medida precautelatoria o preventiva por los acreedores del originador, del agente de manejo o de los inversionistas. Los acreedores de los inversionistas podrán perseguir los derechos y beneficios que a éstos les corresponda respecto</w:t>
      </w:r>
      <w:r>
        <w:rPr>
          <w:rFonts w:eastAsia="Times New Roman"/>
          <w:sz w:val="30"/>
          <w:szCs w:val="30"/>
          <w:lang w:val="es-ES"/>
        </w:rPr>
        <w:t xml:space="preserve"> de los valores en los que hayan invertido.</w:t>
      </w:r>
      <w:r>
        <w:rPr>
          <w:rFonts w:eastAsia="Times New Roman"/>
          <w:sz w:val="30"/>
          <w:szCs w:val="30"/>
          <w:lang w:val="es-ES"/>
        </w:rPr>
        <w:br/>
      </w:r>
      <w:r>
        <w:rPr>
          <w:rFonts w:eastAsia="Times New Roman"/>
          <w:sz w:val="30"/>
          <w:szCs w:val="30"/>
          <w:lang w:val="es-ES"/>
        </w:rPr>
        <w:br/>
        <w:t>El patrimonio de propósito exclusivo respalda la respectiva emisión de valores, por lo que los inversionistas sólo podrán perseguir el reconocimiento y cumplimiento de la prestación de sus derechos en los activo</w:t>
      </w:r>
      <w:r>
        <w:rPr>
          <w:rFonts w:eastAsia="Times New Roman"/>
          <w:sz w:val="30"/>
          <w:szCs w:val="30"/>
          <w:lang w:val="es-ES"/>
        </w:rPr>
        <w:t>s del patrimonio de propósito exclusivo, mas no en los activos propios del agente de manejo.</w:t>
      </w:r>
    </w:p>
    <w:p w:rsidR="00000000" w:rsidRDefault="0018461E">
      <w:pPr>
        <w:divId w:val="203640153"/>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Procesos de titularización con participación del Estado o de entidades del sector público.</w:t>
      </w:r>
      <w:r>
        <w:rPr>
          <w:rFonts w:eastAsia="Times New Roman"/>
          <w:sz w:val="30"/>
          <w:szCs w:val="30"/>
          <w:lang w:val="es-ES"/>
        </w:rPr>
        <w:t>- El Estado y las entidades del sector público podrán particip</w:t>
      </w:r>
      <w:r>
        <w:rPr>
          <w:rFonts w:eastAsia="Times New Roman"/>
          <w:sz w:val="30"/>
          <w:szCs w:val="30"/>
          <w:lang w:val="es-ES"/>
        </w:rPr>
        <w:t xml:space="preserve">ar como originadores o inversionistas dentro de procesos de titularización, en cuyo caso se sujetarán al reglamento </w:t>
      </w:r>
      <w:r>
        <w:rPr>
          <w:rFonts w:eastAsia="Times New Roman"/>
          <w:sz w:val="30"/>
          <w:szCs w:val="30"/>
          <w:lang w:val="es-ES"/>
        </w:rPr>
        <w:lastRenderedPageBreak/>
        <w:t>especial que para el efecto expedirá el C.N.V., además de las disposiciones contenidas en la presente Ley en lo que fuere pertinente.</w:t>
      </w:r>
    </w:p>
    <w:p w:rsidR="00000000" w:rsidRDefault="0018461E">
      <w:pPr>
        <w:divId w:val="1867676966"/>
        <w:rPr>
          <w:rFonts w:eastAsia="Times New Roman"/>
          <w:sz w:val="30"/>
          <w:szCs w:val="30"/>
          <w:lang w:val="es-ES"/>
        </w:rPr>
      </w:pPr>
      <w:r>
        <w:rPr>
          <w:rFonts w:eastAsia="Times New Roman"/>
          <w:sz w:val="30"/>
          <w:szCs w:val="30"/>
          <w:lang w:val="es-ES"/>
        </w:rPr>
        <w:t>Art. 1</w:t>
      </w:r>
      <w:r>
        <w:rPr>
          <w:rFonts w:eastAsia="Times New Roman"/>
          <w:sz w:val="30"/>
          <w:szCs w:val="30"/>
          <w:lang w:val="es-ES"/>
        </w:rPr>
        <w:t xml:space="preserve">43.- </w:t>
      </w:r>
      <w:r>
        <w:rPr>
          <w:rFonts w:eastAsia="Times New Roman"/>
          <w:b/>
          <w:bCs/>
          <w:sz w:val="30"/>
          <w:szCs w:val="30"/>
          <w:lang w:val="es-ES"/>
        </w:rPr>
        <w:t xml:space="preserve">Bienes susceptibles de titularizar.- </w:t>
      </w:r>
      <w:r>
        <w:rPr>
          <w:rFonts w:eastAsia="Times New Roman"/>
          <w:sz w:val="30"/>
          <w:szCs w:val="30"/>
          <w:lang w:val="es-ES"/>
        </w:rPr>
        <w:t>(Sustituido por el Art. 56 de la Ley s/n, R.O. 249-S, 20-V-2014; y, reformado por la Disposición Reformatoria Décima Séptima, num. 2 del Código Orgánico Monetario y Financiero; R.O. 332-2S, 12-IX-2014).- El proceso</w:t>
      </w:r>
      <w:r>
        <w:rPr>
          <w:rFonts w:eastAsia="Times New Roman"/>
          <w:sz w:val="30"/>
          <w:szCs w:val="30"/>
          <w:lang w:val="es-ES"/>
        </w:rPr>
        <w:t xml:space="preserve"> de titularización conllevará la expectativa de generar flujos de efectivo determinables, respecto de los cuales su titular pueda disponer libremente, a partir de:</w:t>
      </w:r>
      <w:r>
        <w:rPr>
          <w:rFonts w:eastAsia="Times New Roman"/>
          <w:sz w:val="30"/>
          <w:szCs w:val="30"/>
          <w:lang w:val="es-ES"/>
        </w:rPr>
        <w:br/>
      </w:r>
      <w:r>
        <w:rPr>
          <w:rFonts w:eastAsia="Times New Roman"/>
          <w:sz w:val="30"/>
          <w:szCs w:val="30"/>
          <w:lang w:val="es-ES"/>
        </w:rPr>
        <w:br/>
        <w:t>1. Bienes o derechos existentes generadores de flujos futuros determinables; y,</w:t>
      </w:r>
      <w:r>
        <w:rPr>
          <w:rFonts w:eastAsia="Times New Roman"/>
          <w:sz w:val="30"/>
          <w:szCs w:val="30"/>
          <w:lang w:val="es-ES"/>
        </w:rPr>
        <w:br/>
      </w:r>
      <w:r>
        <w:rPr>
          <w:rFonts w:eastAsia="Times New Roman"/>
          <w:sz w:val="30"/>
          <w:szCs w:val="30"/>
          <w:lang w:val="es-ES"/>
        </w:rPr>
        <w:br/>
        <w:t>2. Derecho</w:t>
      </w:r>
      <w:r>
        <w:rPr>
          <w:rFonts w:eastAsia="Times New Roman"/>
          <w:sz w:val="30"/>
          <w:szCs w:val="30"/>
          <w:lang w:val="es-ES"/>
        </w:rPr>
        <w:t>s de cobro sobre ventas futuras esperadas.</w:t>
      </w:r>
      <w:r>
        <w:rPr>
          <w:rFonts w:eastAsia="Times New Roman"/>
          <w:sz w:val="30"/>
          <w:szCs w:val="30"/>
          <w:lang w:val="es-ES"/>
        </w:rPr>
        <w:br/>
      </w:r>
      <w:r>
        <w:rPr>
          <w:rFonts w:eastAsia="Times New Roman"/>
          <w:sz w:val="30"/>
          <w:szCs w:val="30"/>
          <w:lang w:val="es-ES"/>
        </w:rPr>
        <w:br/>
        <w:t>Adicionalmente, no podrá pesar sobre tales bienes ni sobre los flujos que generen, ninguna clase de gravámenes, limitaciones al dominio, prohibiciones de enajenar, condiciones suspensivas o resolutorias, ni deben</w:t>
      </w:r>
      <w:r>
        <w:rPr>
          <w:rFonts w:eastAsia="Times New Roman"/>
          <w:sz w:val="30"/>
          <w:szCs w:val="30"/>
          <w:lang w:val="es-ES"/>
        </w:rPr>
        <w:t xml:space="preserve"> estar pendientes de pago, impuesto, tasa o contribución alguna.</w:t>
      </w:r>
      <w:r>
        <w:rPr>
          <w:rFonts w:eastAsia="Times New Roman"/>
          <w:sz w:val="30"/>
          <w:szCs w:val="30"/>
          <w:lang w:val="es-ES"/>
        </w:rPr>
        <w:br/>
      </w:r>
      <w:r>
        <w:rPr>
          <w:rFonts w:eastAsia="Times New Roman"/>
          <w:sz w:val="30"/>
          <w:szCs w:val="30"/>
          <w:lang w:val="es-ES"/>
        </w:rPr>
        <w:br/>
        <w:t>Podrán estructurarse procesos de titularización a partir de los siguientes bienes o activos:</w:t>
      </w:r>
      <w:r>
        <w:rPr>
          <w:rFonts w:eastAsia="Times New Roman"/>
          <w:sz w:val="30"/>
          <w:szCs w:val="30"/>
          <w:lang w:val="es-ES"/>
        </w:rPr>
        <w:br/>
      </w:r>
      <w:r>
        <w:rPr>
          <w:rFonts w:eastAsia="Times New Roman"/>
          <w:sz w:val="30"/>
          <w:szCs w:val="30"/>
          <w:lang w:val="es-ES"/>
        </w:rPr>
        <w:br/>
        <w:t>1. Valores representativos de deuda pública;</w:t>
      </w:r>
      <w:r>
        <w:rPr>
          <w:rFonts w:eastAsia="Times New Roman"/>
          <w:sz w:val="30"/>
          <w:szCs w:val="30"/>
          <w:lang w:val="es-ES"/>
        </w:rPr>
        <w:br/>
      </w:r>
      <w:r>
        <w:rPr>
          <w:rFonts w:eastAsia="Times New Roman"/>
          <w:sz w:val="30"/>
          <w:szCs w:val="30"/>
          <w:lang w:val="es-ES"/>
        </w:rPr>
        <w:br/>
        <w:t>2. (Reformado por la Disposición Reformatoria Déci</w:t>
      </w:r>
      <w:r>
        <w:rPr>
          <w:rFonts w:eastAsia="Times New Roman"/>
          <w:sz w:val="30"/>
          <w:szCs w:val="30"/>
          <w:lang w:val="es-ES"/>
        </w:rPr>
        <w:t>ma Séptima, num. 1 del Código Orgánico Monetario y Financiero; R.O. 332-2S, 12-IX-2014).- Valores inscritos en el Catastro Público del Mercado de Valores;</w:t>
      </w:r>
      <w:r>
        <w:rPr>
          <w:rFonts w:eastAsia="Times New Roman"/>
          <w:sz w:val="30"/>
          <w:szCs w:val="30"/>
          <w:lang w:val="es-ES"/>
        </w:rPr>
        <w:br/>
      </w:r>
      <w:r>
        <w:rPr>
          <w:rFonts w:eastAsia="Times New Roman"/>
          <w:sz w:val="30"/>
          <w:szCs w:val="30"/>
          <w:lang w:val="es-ES"/>
        </w:rPr>
        <w:br/>
        <w:t>3. Cartera de crédito;</w:t>
      </w:r>
      <w:r>
        <w:rPr>
          <w:rFonts w:eastAsia="Times New Roman"/>
          <w:sz w:val="30"/>
          <w:szCs w:val="30"/>
          <w:lang w:val="es-ES"/>
        </w:rPr>
        <w:br/>
      </w:r>
      <w:r>
        <w:rPr>
          <w:rFonts w:eastAsia="Times New Roman"/>
          <w:sz w:val="30"/>
          <w:szCs w:val="30"/>
          <w:lang w:val="es-ES"/>
        </w:rPr>
        <w:br/>
        <w:t>4. Inmuebles;</w:t>
      </w:r>
      <w:r>
        <w:rPr>
          <w:rFonts w:eastAsia="Times New Roman"/>
          <w:sz w:val="30"/>
          <w:szCs w:val="30"/>
          <w:lang w:val="es-ES"/>
        </w:rPr>
        <w:br/>
      </w:r>
      <w:r>
        <w:rPr>
          <w:rFonts w:eastAsia="Times New Roman"/>
          <w:sz w:val="30"/>
          <w:szCs w:val="30"/>
          <w:lang w:val="es-ES"/>
        </w:rPr>
        <w:br/>
        <w:t>5. Bienes o derechos existentes que posea el originador, susc</w:t>
      </w:r>
      <w:r>
        <w:rPr>
          <w:rFonts w:eastAsia="Times New Roman"/>
          <w:sz w:val="30"/>
          <w:szCs w:val="30"/>
          <w:lang w:val="es-ES"/>
        </w:rPr>
        <w:t>eptibles de generar flujos futuros determinables con base en estadísticas o en proyecciones, según corresponda;</w:t>
      </w:r>
      <w:r>
        <w:rPr>
          <w:rFonts w:eastAsia="Times New Roman"/>
          <w:sz w:val="30"/>
          <w:szCs w:val="30"/>
          <w:lang w:val="es-ES"/>
        </w:rPr>
        <w:br/>
      </w:r>
      <w:r>
        <w:rPr>
          <w:rFonts w:eastAsia="Times New Roman"/>
          <w:sz w:val="30"/>
          <w:szCs w:val="30"/>
          <w:lang w:val="es-ES"/>
        </w:rPr>
        <w:br/>
        <w:t>6. Derechos de cobro sobre ventas futuras esperadas;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Proyectos susceptibles de generar flujos futuros determinables con base en estadíst</w:t>
      </w:r>
      <w:r>
        <w:rPr>
          <w:rFonts w:eastAsia="Times New Roman"/>
          <w:sz w:val="30"/>
          <w:szCs w:val="30"/>
          <w:lang w:val="es-ES"/>
        </w:rPr>
        <w:t>icas o en proyecciones, según corresponda.</w:t>
      </w:r>
      <w:r>
        <w:rPr>
          <w:rFonts w:eastAsia="Times New Roman"/>
          <w:sz w:val="30"/>
          <w:szCs w:val="30"/>
          <w:lang w:val="es-ES"/>
        </w:rPr>
        <w:br/>
      </w:r>
      <w:r>
        <w:rPr>
          <w:rFonts w:eastAsia="Times New Roman"/>
          <w:sz w:val="30"/>
          <w:szCs w:val="30"/>
          <w:lang w:val="es-ES"/>
        </w:rPr>
        <w:br/>
        <w:t>No obstante lo anterior, la Junta de Política y Regulación Monetaria y Financiera podrá autorizar la estructuración de procesos con bienes o activos diferentes de los anteriormente señalados.</w:t>
      </w:r>
    </w:p>
    <w:p w:rsidR="00000000" w:rsidRDefault="0018461E">
      <w:pPr>
        <w:divId w:val="1361394634"/>
        <w:rPr>
          <w:rFonts w:eastAsia="Times New Roman"/>
          <w:sz w:val="30"/>
          <w:szCs w:val="30"/>
          <w:lang w:val="es-ES"/>
        </w:rPr>
      </w:pPr>
      <w:r>
        <w:rPr>
          <w:rFonts w:eastAsia="Times New Roman"/>
          <w:b/>
          <w:bCs/>
          <w:sz w:val="30"/>
          <w:szCs w:val="30"/>
          <w:lang w:val="es-ES"/>
        </w:rPr>
        <w:t>Art. 144.- De la tra</w:t>
      </w:r>
      <w:r>
        <w:rPr>
          <w:rFonts w:eastAsia="Times New Roman"/>
          <w:b/>
          <w:bCs/>
          <w:sz w:val="30"/>
          <w:szCs w:val="30"/>
          <w:lang w:val="es-ES"/>
        </w:rPr>
        <w:t>nsferencia de dominio.</w:t>
      </w:r>
      <w:r>
        <w:rPr>
          <w:rFonts w:eastAsia="Times New Roman"/>
          <w:sz w:val="30"/>
          <w:szCs w:val="30"/>
          <w:lang w:val="es-ES"/>
        </w:rPr>
        <w:t>- (Reformado por el Art. 57 de la Ley s/n, R.O. 249-S, 20-V-2014; y, reformado por la Disposición Reformatoria Décima Séptima, num. 2 del Código Orgánico Monetario y Financiero; R.O. 332-2S, 12-IX-2014).- La transferencia de dominio d</w:t>
      </w:r>
      <w:r>
        <w:rPr>
          <w:rFonts w:eastAsia="Times New Roman"/>
          <w:sz w:val="30"/>
          <w:szCs w:val="30"/>
          <w:lang w:val="es-ES"/>
        </w:rPr>
        <w:t>e activos desde el originador hacia el patrimonio de propósito exclusivo deberá efectuarse a título de fideicomiso mercantil, según los términos y condiciones de cada proceso de titularización. Cuando la transferencia recaiga sobre bienes inmuebles, se cum</w:t>
      </w:r>
      <w:r>
        <w:rPr>
          <w:rFonts w:eastAsia="Times New Roman"/>
          <w:sz w:val="30"/>
          <w:szCs w:val="30"/>
          <w:lang w:val="es-ES"/>
        </w:rPr>
        <w:t>plirá con las solemnidades previstas en las leyes correspondientes.</w:t>
      </w:r>
      <w:r>
        <w:rPr>
          <w:rFonts w:eastAsia="Times New Roman"/>
          <w:sz w:val="30"/>
          <w:szCs w:val="30"/>
          <w:lang w:val="es-ES"/>
        </w:rPr>
        <w:br/>
      </w:r>
      <w:r>
        <w:rPr>
          <w:rFonts w:eastAsia="Times New Roman"/>
          <w:sz w:val="30"/>
          <w:szCs w:val="30"/>
          <w:lang w:val="es-ES"/>
        </w:rPr>
        <w:br/>
        <w:t xml:space="preserve">La Junta de Política y Regulación Monetaria y Financiera determinará los casos específicos en los cuales la transferencia de dominio de activos desde el originador hacia el patrimonio de </w:t>
      </w:r>
      <w:r>
        <w:rPr>
          <w:rFonts w:eastAsia="Times New Roman"/>
          <w:sz w:val="30"/>
          <w:szCs w:val="30"/>
          <w:lang w:val="es-ES"/>
        </w:rPr>
        <w:t>propósito exclusivo podrá efectuarse a título oneroso.</w:t>
      </w:r>
      <w:r>
        <w:rPr>
          <w:rFonts w:eastAsia="Times New Roman"/>
          <w:sz w:val="30"/>
          <w:szCs w:val="30"/>
          <w:lang w:val="es-ES"/>
        </w:rPr>
        <w:br/>
      </w:r>
      <w:r>
        <w:rPr>
          <w:rFonts w:eastAsia="Times New Roman"/>
          <w:sz w:val="30"/>
          <w:szCs w:val="30"/>
          <w:lang w:val="es-ES"/>
        </w:rPr>
        <w:br/>
        <w:t>A menos que el proceso de titularización se haya estructurado en fraude de terceros, lo cual deberá ser declarado por juez competente en sentencia ejecutoriada, no podrá declararse total o parcialment</w:t>
      </w:r>
      <w:r>
        <w:rPr>
          <w:rFonts w:eastAsia="Times New Roman"/>
          <w:sz w:val="30"/>
          <w:szCs w:val="30"/>
          <w:lang w:val="es-ES"/>
        </w:rPr>
        <w:t>e, la nulidad, simulación o ineficacia de la transferencia de dominio de activos, cuando ello devenga en imposibilidad o dificultad de generar el flujo futuro proyectado y, por ende derive en perjuicio para los inversionistas, sin perjuicio de las acciones</w:t>
      </w:r>
      <w:r>
        <w:rPr>
          <w:rFonts w:eastAsia="Times New Roman"/>
          <w:sz w:val="30"/>
          <w:szCs w:val="30"/>
          <w:lang w:val="es-ES"/>
        </w:rPr>
        <w:t xml:space="preserve"> penales o civiles a que hubiere lugar.</w:t>
      </w:r>
      <w:r>
        <w:rPr>
          <w:rFonts w:eastAsia="Times New Roman"/>
          <w:sz w:val="30"/>
          <w:szCs w:val="30"/>
          <w:lang w:val="es-ES"/>
        </w:rPr>
        <w:br/>
      </w:r>
      <w:r>
        <w:rPr>
          <w:rFonts w:eastAsia="Times New Roman"/>
          <w:sz w:val="30"/>
          <w:szCs w:val="30"/>
          <w:lang w:val="es-ES"/>
        </w:rPr>
        <w:br/>
        <w:t>Ni el originador, ni el agente de manejo podrán solicitar la rescisión de la transferencia de inmueble por lesión enorme.</w:t>
      </w:r>
    </w:p>
    <w:p w:rsidR="00000000" w:rsidRDefault="0018461E">
      <w:pPr>
        <w:divId w:val="1008871966"/>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 xml:space="preserve">Del cumplimiento del proceso de titularización.- </w:t>
      </w:r>
      <w:r>
        <w:rPr>
          <w:rFonts w:eastAsia="Times New Roman"/>
          <w:sz w:val="30"/>
          <w:szCs w:val="30"/>
          <w:lang w:val="es-ES"/>
        </w:rPr>
        <w:t>Los bienes titularizados se encon</w:t>
      </w:r>
      <w:r>
        <w:rPr>
          <w:rFonts w:eastAsia="Times New Roman"/>
          <w:sz w:val="30"/>
          <w:szCs w:val="30"/>
          <w:lang w:val="es-ES"/>
        </w:rPr>
        <w:t>trarán afectos exclusivamente al cumplimiento del objeto del proceso de titularización.</w:t>
      </w:r>
    </w:p>
    <w:p w:rsidR="00000000" w:rsidRDefault="0018461E">
      <w:pPr>
        <w:divId w:val="1194424536"/>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 xml:space="preserve">Del traspaso del activo y las garantías.- </w:t>
      </w:r>
      <w:r>
        <w:rPr>
          <w:rFonts w:eastAsia="Times New Roman"/>
          <w:sz w:val="30"/>
          <w:szCs w:val="30"/>
          <w:lang w:val="es-ES"/>
        </w:rPr>
        <w:t>En la transferencia de dominio de los activos hacia el patrimonio de propósito exclusivo, importa tanto el traspaso</w:t>
      </w:r>
      <w:r>
        <w:rPr>
          <w:rFonts w:eastAsia="Times New Roman"/>
          <w:sz w:val="30"/>
          <w:szCs w:val="30"/>
          <w:lang w:val="es-ES"/>
        </w:rPr>
        <w:t xml:space="preserve"> del activo como de las garantías que le accedieren, a menos que originador y agente de </w:t>
      </w:r>
      <w:r>
        <w:rPr>
          <w:rFonts w:eastAsia="Times New Roman"/>
          <w:sz w:val="30"/>
          <w:szCs w:val="30"/>
          <w:lang w:val="es-ES"/>
        </w:rPr>
        <w:lastRenderedPageBreak/>
        <w:t>manejo establezcan expresamente y por escrito lo contrario, situación que deberá ser revelada por el agente de manejo a los inversionistas.</w:t>
      </w:r>
    </w:p>
    <w:p w:rsidR="00000000" w:rsidRDefault="0018461E">
      <w:pPr>
        <w:divId w:val="469518066"/>
        <w:rPr>
          <w:rFonts w:eastAsia="Times New Roman"/>
          <w:sz w:val="30"/>
          <w:szCs w:val="30"/>
          <w:lang w:val="es-ES"/>
        </w:rPr>
      </w:pPr>
      <w:r>
        <w:rPr>
          <w:rFonts w:eastAsia="Times New Roman"/>
          <w:b/>
          <w:bCs/>
          <w:sz w:val="30"/>
          <w:szCs w:val="30"/>
          <w:lang w:val="es-ES"/>
        </w:rPr>
        <w:t>Art. 147.- Valores que puede</w:t>
      </w:r>
      <w:r>
        <w:rPr>
          <w:rFonts w:eastAsia="Times New Roman"/>
          <w:b/>
          <w:bCs/>
          <w:sz w:val="30"/>
          <w:szCs w:val="30"/>
          <w:lang w:val="es-ES"/>
        </w:rPr>
        <w:t>n emitirse.</w:t>
      </w:r>
      <w:r>
        <w:rPr>
          <w:rFonts w:eastAsia="Times New Roman"/>
          <w:sz w:val="30"/>
          <w:szCs w:val="30"/>
          <w:lang w:val="es-ES"/>
        </w:rPr>
        <w:t>- Los valores que se emitan como consecuencia de procesos de titularización pueden ser de tres tipos: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Valores de contenido crediticio:</w:t>
      </w:r>
      <w:r>
        <w:rPr>
          <w:rFonts w:eastAsia="Times New Roman"/>
          <w:sz w:val="30"/>
          <w:szCs w:val="30"/>
          <w:lang w:val="es-ES"/>
        </w:rPr>
        <w:t xml:space="preserve"> Por los cuales los inversionistas adquieren el derecho a percibir la restitución del capital invertido más</w:t>
      </w:r>
      <w:r>
        <w:rPr>
          <w:rFonts w:eastAsia="Times New Roman"/>
          <w:sz w:val="30"/>
          <w:szCs w:val="30"/>
          <w:lang w:val="es-ES"/>
        </w:rPr>
        <w:t xml:space="preserve"> el rendimiento financiero correspondiente, con los recursos provenientes del fideicomiso mercantil y según los términos y condiciones de los valores emitidos. Los activos que integran el patrimonio de propósito exclusivo respaldan el pasivo adquirido con </w:t>
      </w:r>
      <w:r>
        <w:rPr>
          <w:rFonts w:eastAsia="Times New Roman"/>
          <w:sz w:val="30"/>
          <w:szCs w:val="30"/>
          <w:lang w:val="es-ES"/>
        </w:rPr>
        <w:t>los inversionistas, correspondiendo al agente de manejo adoptar las medidas necesarias para obtener el recaudo de los flujos requeridos para la atención oportuna de las obligaciones contenidas en los valores emitidos;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Valores de participación:</w:t>
      </w:r>
      <w:r>
        <w:rPr>
          <w:rFonts w:eastAsia="Times New Roman"/>
          <w:sz w:val="30"/>
          <w:szCs w:val="30"/>
          <w:lang w:val="es-ES"/>
        </w:rPr>
        <w:t xml:space="preserve"> Por los </w:t>
      </w:r>
      <w:r>
        <w:rPr>
          <w:rFonts w:eastAsia="Times New Roman"/>
          <w:sz w:val="30"/>
          <w:szCs w:val="30"/>
          <w:lang w:val="es-ES"/>
        </w:rPr>
        <w:t>cuales los inversionistas adquieren una alícuota en el patrimonio de propósito exclusivo, a prorrata de su inversión, con lo cual participa de los resultados, sea utilidades, sea pérdidas, que arroje dicho patrimonio respecto del proceso de titularización;</w:t>
      </w:r>
      <w:r>
        <w:rPr>
          <w:rFonts w:eastAsia="Times New Roman"/>
          <w:sz w:val="30"/>
          <w:szCs w:val="30"/>
          <w:lang w:val="es-ES"/>
        </w:rPr>
        <w:t xml:space="preserve">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 Valores mixtos:</w:t>
      </w:r>
      <w:r>
        <w:rPr>
          <w:rFonts w:eastAsia="Times New Roman"/>
          <w:sz w:val="30"/>
          <w:szCs w:val="30"/>
          <w:lang w:val="es-ES"/>
        </w:rPr>
        <w:t xml:space="preserve"> Por los cuales los inversionistas adquieren valores que combinan las características de valores de contenido crediticio y valores de participación, según los términos y condiciones de cada proceso de titularización.</w:t>
      </w:r>
      <w:r>
        <w:rPr>
          <w:rFonts w:eastAsia="Times New Roman"/>
          <w:sz w:val="30"/>
          <w:szCs w:val="30"/>
          <w:lang w:val="es-ES"/>
        </w:rPr>
        <w:br/>
      </w:r>
      <w:r>
        <w:rPr>
          <w:rFonts w:eastAsia="Times New Roman"/>
          <w:sz w:val="30"/>
          <w:szCs w:val="30"/>
          <w:lang w:val="es-ES"/>
        </w:rPr>
        <w:br/>
        <w:t>Un mismo patrim</w:t>
      </w:r>
      <w:r>
        <w:rPr>
          <w:rFonts w:eastAsia="Times New Roman"/>
          <w:sz w:val="30"/>
          <w:szCs w:val="30"/>
          <w:lang w:val="es-ES"/>
        </w:rPr>
        <w:t>onio de propósito exclusivo podrá respaldar la emisión de distintos tipos de valores. Cada tipo determinado de valor podrá estar integrado por varias series. Los valores correspondientes a cada tipo o serie, de existir, deberán reconocer iguales derechos a</w:t>
      </w:r>
      <w:r>
        <w:rPr>
          <w:rFonts w:eastAsia="Times New Roman"/>
          <w:sz w:val="30"/>
          <w:szCs w:val="30"/>
          <w:lang w:val="es-ES"/>
        </w:rPr>
        <w:t xml:space="preserve"> los inversionistas, pudiendo establecer diferencias en los derechos asignados a las distintas series.</w:t>
      </w:r>
      <w:r>
        <w:rPr>
          <w:rFonts w:eastAsia="Times New Roman"/>
          <w:sz w:val="30"/>
          <w:szCs w:val="30"/>
          <w:lang w:val="es-ES"/>
        </w:rPr>
        <w:br/>
      </w:r>
      <w:r>
        <w:rPr>
          <w:rFonts w:eastAsia="Times New Roman"/>
          <w:sz w:val="30"/>
          <w:szCs w:val="30"/>
          <w:lang w:val="es-ES"/>
        </w:rPr>
        <w:br/>
        <w:t>Cualquiera sea el tipo de valores emitidos, de producirse situaciones que impidan la generación proyectada del flujo futuro de fondos o de derechos de c</w:t>
      </w:r>
      <w:r>
        <w:rPr>
          <w:rFonts w:eastAsia="Times New Roman"/>
          <w:sz w:val="30"/>
          <w:szCs w:val="30"/>
          <w:lang w:val="es-ES"/>
        </w:rPr>
        <w:t xml:space="preserve">ontenido económico y, una vez agotados los recursos del patrimonio de propósito exclusivo, los inversionistas deberán asumir las eventuales pérdidas que se produzcan como consecuencia de tales </w:t>
      </w:r>
      <w:r>
        <w:rPr>
          <w:rFonts w:eastAsia="Times New Roman"/>
          <w:sz w:val="30"/>
          <w:szCs w:val="30"/>
          <w:lang w:val="es-ES"/>
        </w:rPr>
        <w:lastRenderedPageBreak/>
        <w:t>situaciones.</w:t>
      </w:r>
      <w:r>
        <w:rPr>
          <w:rFonts w:eastAsia="Times New Roman"/>
          <w:sz w:val="30"/>
          <w:szCs w:val="30"/>
          <w:lang w:val="es-ES"/>
        </w:rPr>
        <w:br/>
      </w:r>
      <w:r>
        <w:rPr>
          <w:rFonts w:eastAsia="Times New Roman"/>
          <w:sz w:val="30"/>
          <w:szCs w:val="30"/>
          <w:lang w:val="es-ES"/>
        </w:rPr>
        <w:br/>
        <w:t>El monto máximo de emisión de cualquier proceso d</w:t>
      </w:r>
      <w:r>
        <w:rPr>
          <w:rFonts w:eastAsia="Times New Roman"/>
          <w:sz w:val="30"/>
          <w:szCs w:val="30"/>
          <w:lang w:val="es-ES"/>
        </w:rPr>
        <w:t>e titularización será determinado mediante norma de carácter general por el C.N.V.</w:t>
      </w:r>
      <w:r>
        <w:rPr>
          <w:rFonts w:eastAsia="Times New Roman"/>
          <w:sz w:val="30"/>
          <w:szCs w:val="30"/>
          <w:lang w:val="es-ES"/>
        </w:rPr>
        <w:br/>
      </w:r>
      <w:r>
        <w:rPr>
          <w:rFonts w:eastAsia="Times New Roman"/>
          <w:sz w:val="30"/>
          <w:szCs w:val="30"/>
          <w:lang w:val="es-ES"/>
        </w:rPr>
        <w:br/>
        <w:t>Cualquiera sea el tipo de valores emitidos, éstos podrán ser redimidos anticipadamente, en forma total por parte del agente de manejo, en los casos expresamente contemplado</w:t>
      </w:r>
      <w:r>
        <w:rPr>
          <w:rFonts w:eastAsia="Times New Roman"/>
          <w:sz w:val="30"/>
          <w:szCs w:val="30"/>
          <w:lang w:val="es-ES"/>
        </w:rPr>
        <w:t>s en el reglamento de gestión del respectivo proceso de titularización cuando éste prevea la posibilidad de que por circunstancias económicas o financieras se ponga en riesgo la generación proyectada del flujo futuro de fondos o de derechos de contenido ec</w:t>
      </w:r>
      <w:r>
        <w:rPr>
          <w:rFonts w:eastAsia="Times New Roman"/>
          <w:sz w:val="30"/>
          <w:szCs w:val="30"/>
          <w:lang w:val="es-ES"/>
        </w:rPr>
        <w:t>onómico</w:t>
      </w:r>
      <w:r>
        <w:rPr>
          <w:rFonts w:eastAsia="Times New Roman"/>
          <w:sz w:val="30"/>
          <w:szCs w:val="30"/>
          <w:lang w:val="es-ES"/>
        </w:rPr>
        <w:br/>
      </w:r>
      <w:r>
        <w:rPr>
          <w:rFonts w:eastAsia="Times New Roman"/>
          <w:sz w:val="30"/>
          <w:szCs w:val="30"/>
          <w:lang w:val="es-ES"/>
        </w:rPr>
        <w:br/>
        <w:t>Sin embargo, en caso de que el proceso de titularización arroje pérdidas causadas por dolo o culpa leve en las actuaciones del agente de manejo, declarados como tales por juez competente en sentencia ejecutoriada, los inversionistas, podrán ejerce</w:t>
      </w:r>
      <w:r>
        <w:rPr>
          <w:rFonts w:eastAsia="Times New Roman"/>
          <w:sz w:val="30"/>
          <w:szCs w:val="30"/>
          <w:lang w:val="es-ES"/>
        </w:rPr>
        <w:t>r las acciones estipuladas en las disposiciones legales pertinentes con el objeto de obtener las indemnizaciones que hubiere lugar.</w:t>
      </w:r>
      <w:r>
        <w:rPr>
          <w:rFonts w:eastAsia="Times New Roman"/>
          <w:sz w:val="30"/>
          <w:szCs w:val="30"/>
          <w:lang w:val="es-ES"/>
        </w:rPr>
        <w:br/>
      </w:r>
      <w:r>
        <w:rPr>
          <w:rFonts w:eastAsia="Times New Roman"/>
          <w:sz w:val="30"/>
          <w:szCs w:val="30"/>
          <w:lang w:val="es-ES"/>
        </w:rPr>
        <w:br/>
        <w:t>En el evento de que el proceso de titularización arroje total o parcialmente utilidades y, éstas no hayan sido oportunament</w:t>
      </w:r>
      <w:r>
        <w:rPr>
          <w:rFonts w:eastAsia="Times New Roman"/>
          <w:sz w:val="30"/>
          <w:szCs w:val="30"/>
          <w:lang w:val="es-ES"/>
        </w:rPr>
        <w:t>e pagadas a los inversionistas, los valores adquiridos constituirán títulos ejecutivos contentivos de obligaciones ejecutivas en contra del patrimonio de propósito exclusivo.</w:t>
      </w:r>
    </w:p>
    <w:p w:rsidR="00000000" w:rsidRDefault="0018461E">
      <w:pPr>
        <w:divId w:val="1070232143"/>
        <w:rPr>
          <w:rFonts w:eastAsia="Times New Roman"/>
          <w:sz w:val="30"/>
          <w:szCs w:val="30"/>
          <w:lang w:val="es-ES"/>
        </w:rPr>
      </w:pPr>
      <w:r>
        <w:rPr>
          <w:rFonts w:eastAsia="Times New Roman"/>
          <w:b/>
          <w:bCs/>
          <w:sz w:val="30"/>
          <w:szCs w:val="30"/>
          <w:lang w:val="es-ES"/>
        </w:rPr>
        <w:t xml:space="preserve">Art. 148.- De la naturaleza de los valores emitidos.- </w:t>
      </w:r>
      <w:r>
        <w:rPr>
          <w:rFonts w:eastAsia="Times New Roman"/>
          <w:sz w:val="30"/>
          <w:szCs w:val="30"/>
          <w:lang w:val="es-ES"/>
        </w:rPr>
        <w:t>Los valores que se emitan c</w:t>
      </w:r>
      <w:r>
        <w:rPr>
          <w:rFonts w:eastAsia="Times New Roman"/>
          <w:sz w:val="30"/>
          <w:szCs w:val="30"/>
          <w:lang w:val="es-ES"/>
        </w:rPr>
        <w:t xml:space="preserve">omo consecuencia de procesos de titularización, pueden ser nominativos o a la orden. Los valores de contenido crediticio o valores mixtos podrán tener cupones que reconozcan un rendimiento financiero fijo o variable, pudiendo tales cupones ser nominativos </w:t>
      </w:r>
      <w:r>
        <w:rPr>
          <w:rFonts w:eastAsia="Times New Roman"/>
          <w:sz w:val="30"/>
          <w:szCs w:val="30"/>
          <w:lang w:val="es-ES"/>
        </w:rPr>
        <w:t>o a la orden, según corresponda a las características de los valores a los cuales se adhieren. La negociación secundaria de estos valores se regirá por las disposiciones contenidas en el Art. 204 del Código de Comercio.</w:t>
      </w:r>
      <w:r>
        <w:rPr>
          <w:rFonts w:eastAsia="Times New Roman"/>
          <w:sz w:val="30"/>
          <w:szCs w:val="30"/>
          <w:lang w:val="es-ES"/>
        </w:rPr>
        <w:br/>
      </w:r>
      <w:r>
        <w:rPr>
          <w:rFonts w:eastAsia="Times New Roman"/>
          <w:sz w:val="30"/>
          <w:szCs w:val="30"/>
          <w:lang w:val="es-ES"/>
        </w:rPr>
        <w:br/>
        <w:t>En el contrato de fiducia se deberá</w:t>
      </w:r>
      <w:r>
        <w:rPr>
          <w:rFonts w:eastAsia="Times New Roman"/>
          <w:sz w:val="30"/>
          <w:szCs w:val="30"/>
          <w:lang w:val="es-ES"/>
        </w:rPr>
        <w:t xml:space="preserve"> contemplar el procedimiento a seguir en el caso que los inversionistas no ejercieren sus derechos dentro de los seis meses posteriores a la fecha en la que haya nacido para el agente de manejo la última obligación de pagar los flujos de fondos o de transf</w:t>
      </w:r>
      <w:r>
        <w:rPr>
          <w:rFonts w:eastAsia="Times New Roman"/>
          <w:sz w:val="30"/>
          <w:szCs w:val="30"/>
          <w:lang w:val="es-ES"/>
        </w:rPr>
        <w:t>erir los derechos de contenido económico.</w:t>
      </w:r>
      <w:r>
        <w:rPr>
          <w:rFonts w:eastAsia="Times New Roman"/>
          <w:sz w:val="30"/>
          <w:szCs w:val="30"/>
          <w:lang w:val="es-ES"/>
        </w:rPr>
        <w:br/>
      </w:r>
      <w:r>
        <w:rPr>
          <w:rFonts w:eastAsia="Times New Roman"/>
          <w:sz w:val="30"/>
          <w:szCs w:val="30"/>
          <w:lang w:val="es-ES"/>
        </w:rPr>
        <w:lastRenderedPageBreak/>
        <w:br/>
        <w:t>Los valores que se emitan como consecuencia del proceso de titularización podrán estar representados por títulos o por anotaciones en cuenta. Cuando se emitan títulos, estos podrán representar uno o más valores.</w:t>
      </w:r>
    </w:p>
    <w:p w:rsidR="00000000" w:rsidRDefault="0018461E">
      <w:pPr>
        <w:divId w:val="1482044062"/>
        <w:rPr>
          <w:rFonts w:eastAsia="Times New Roman"/>
          <w:sz w:val="30"/>
          <w:szCs w:val="30"/>
          <w:lang w:val="es-ES"/>
        </w:rPr>
      </w:pPr>
      <w:r>
        <w:rPr>
          <w:rFonts w:eastAsia="Times New Roman"/>
          <w:sz w:val="30"/>
          <w:szCs w:val="30"/>
          <w:lang w:val="es-ES"/>
        </w:rPr>
        <w:t>A</w:t>
      </w:r>
      <w:r>
        <w:rPr>
          <w:rFonts w:eastAsia="Times New Roman"/>
          <w:sz w:val="30"/>
          <w:szCs w:val="30"/>
          <w:lang w:val="es-ES"/>
        </w:rPr>
        <w:t>rt. 149.-</w:t>
      </w:r>
      <w:r>
        <w:rPr>
          <w:rFonts w:eastAsia="Times New Roman"/>
          <w:b/>
          <w:bCs/>
          <w:sz w:val="30"/>
          <w:szCs w:val="30"/>
          <w:lang w:val="es-ES"/>
        </w:rPr>
        <w:t xml:space="preserve"> De la periodicidad de la información.- </w:t>
      </w:r>
      <w:r>
        <w:rPr>
          <w:rFonts w:eastAsia="Times New Roman"/>
          <w:sz w:val="30"/>
          <w:szCs w:val="30"/>
          <w:lang w:val="es-ES"/>
        </w:rPr>
        <w:t>El C.N.V., dictará las normas de carácter general respecto del contenido y periodicidad de la información que el agente de manejo deberá poner a disposición de la Superintendencia de Compañías y de los inver</w:t>
      </w:r>
      <w:r>
        <w:rPr>
          <w:rFonts w:eastAsia="Times New Roman"/>
          <w:sz w:val="30"/>
          <w:szCs w:val="30"/>
          <w:lang w:val="es-ES"/>
        </w:rPr>
        <w:t>sionistas.</w:t>
      </w:r>
    </w:p>
    <w:p w:rsidR="00000000" w:rsidRDefault="0018461E">
      <w:pPr>
        <w:divId w:val="1787381820"/>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w:t>
      </w:r>
      <w:r>
        <w:rPr>
          <w:rFonts w:eastAsia="Times New Roman"/>
          <w:b/>
          <w:bCs/>
          <w:sz w:val="30"/>
          <w:szCs w:val="30"/>
          <w:lang w:val="es-ES"/>
        </w:rPr>
        <w:t>De los mecanismos de garantía.-</w:t>
      </w:r>
      <w:r>
        <w:rPr>
          <w:rFonts w:eastAsia="Times New Roman"/>
          <w:sz w:val="30"/>
          <w:szCs w:val="30"/>
          <w:lang w:val="es-ES"/>
        </w:rPr>
        <w:t xml:space="preserve"> Atendiendo las características propias de cada proceso de titularización, el agente de manejo o el originador de ser el caso, deberá constituir al menos uno de los mecanismos de garantía señalados a con</w:t>
      </w:r>
      <w:r>
        <w:rPr>
          <w:rFonts w:eastAsia="Times New Roman"/>
          <w:sz w:val="30"/>
          <w:szCs w:val="30"/>
          <w:lang w:val="es-ES"/>
        </w:rPr>
        <w:t>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Subordinación de la emisión.-</w:t>
      </w:r>
      <w:r>
        <w:rPr>
          <w:rFonts w:eastAsia="Times New Roman"/>
          <w:sz w:val="30"/>
          <w:szCs w:val="30"/>
          <w:lang w:val="es-ES"/>
        </w:rPr>
        <w:t xml:space="preserve"> Implica que el originador o terceros debidamente informados, suscriban una porción de los valores emitidos. A dicha porción se imputarán hasta agotarla, los siniestros o faltantes de activos, mientras que a la porc</w:t>
      </w:r>
      <w:r>
        <w:rPr>
          <w:rFonts w:eastAsia="Times New Roman"/>
          <w:sz w:val="30"/>
          <w:szCs w:val="30"/>
          <w:lang w:val="es-ES"/>
        </w:rPr>
        <w:t>ión colocada entre el público se cancelarán prioritariamente los intereses y el capital.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Sobrecolaterización.-</w:t>
      </w:r>
      <w:r>
        <w:rPr>
          <w:rFonts w:eastAsia="Times New Roman"/>
          <w:sz w:val="30"/>
          <w:szCs w:val="30"/>
          <w:lang w:val="es-ES"/>
        </w:rPr>
        <w:t xml:space="preserve"> Consiste en que el monto de los activos fideicomitidos o entregados al fiduciario, exceda al valor de los valores emitidos en forma tal que cubr</w:t>
      </w:r>
      <w:r>
        <w:rPr>
          <w:rFonts w:eastAsia="Times New Roman"/>
          <w:sz w:val="30"/>
          <w:szCs w:val="30"/>
          <w:lang w:val="es-ES"/>
        </w:rPr>
        <w:t>a el índice de siniestralidad, a la porción excedente se imputarán los siniestros o faltantes de activos. El C.N.V., mediante norma de carácter general fijará los parámetros para la determinación del índice de siniestralidad.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Exceso de flujo de fondos.-</w:t>
      </w:r>
      <w:r>
        <w:rPr>
          <w:rFonts w:eastAsia="Times New Roman"/>
          <w:sz w:val="30"/>
          <w:szCs w:val="30"/>
          <w:lang w:val="es-ES"/>
        </w:rPr>
        <w:t xml:space="preserve"> C</w:t>
      </w:r>
      <w:r>
        <w:rPr>
          <w:rFonts w:eastAsia="Times New Roman"/>
          <w:sz w:val="30"/>
          <w:szCs w:val="30"/>
          <w:lang w:val="es-ES"/>
        </w:rPr>
        <w:t>onsiste en que el flujo de fondos generado por los activos titularizados sea superior a los derechos reconocidos en los valores emitidos, a fin de que ese diferencial se lo destine a un depósito de garantía, de tal manera que de producirse desviaciones o d</w:t>
      </w:r>
      <w:r>
        <w:rPr>
          <w:rFonts w:eastAsia="Times New Roman"/>
          <w:sz w:val="30"/>
          <w:szCs w:val="30"/>
          <w:lang w:val="es-ES"/>
        </w:rPr>
        <w:t>istorsiones en el flujo, el agente de manejo proceda a liquidar total o parcialmente el depósito, según corresponda, a fin de obtener los recursos necesarios y con ellos cumplir con los derechos reconocidos en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Sustitución de a</w:t>
      </w:r>
      <w:r>
        <w:rPr>
          <w:rFonts w:eastAsia="Times New Roman"/>
          <w:b/>
          <w:bCs/>
          <w:sz w:val="30"/>
          <w:szCs w:val="30"/>
          <w:lang w:val="es-ES"/>
        </w:rPr>
        <w:t>ctivos.-</w:t>
      </w:r>
      <w:r>
        <w:rPr>
          <w:rFonts w:eastAsia="Times New Roman"/>
          <w:sz w:val="30"/>
          <w:szCs w:val="30"/>
          <w:lang w:val="es-ES"/>
        </w:rPr>
        <w:t xml:space="preserve"> Consiste en sustituir los activos que han producido desviaciones o distorsiones en el flujo, a fin de incorporar al patrimonio de propósito exclusivo, en lugar de los activos que han producido dichas desviaciones o distorsiones, otros activos de i</w:t>
      </w:r>
      <w:r>
        <w:rPr>
          <w:rFonts w:eastAsia="Times New Roman"/>
          <w:sz w:val="30"/>
          <w:szCs w:val="30"/>
          <w:lang w:val="es-ES"/>
        </w:rPr>
        <w:t xml:space="preserve">guales </w:t>
      </w:r>
      <w:r>
        <w:rPr>
          <w:rFonts w:eastAsia="Times New Roman"/>
          <w:sz w:val="30"/>
          <w:szCs w:val="30"/>
          <w:lang w:val="es-ES"/>
        </w:rPr>
        <w:lastRenderedPageBreak/>
        <w:t>o mejores características. Los activos sustitutos serán provistos por el originador, debiéndosele transferir a cambio, los activos sustituidos.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Contratos de apertura de crédito.-</w:t>
      </w:r>
      <w:r>
        <w:rPr>
          <w:rFonts w:eastAsia="Times New Roman"/>
          <w:sz w:val="30"/>
          <w:szCs w:val="30"/>
          <w:lang w:val="es-ES"/>
        </w:rPr>
        <w:t xml:space="preserve"> A través de los cuales se disponga, por cuenta del originador y a fav</w:t>
      </w:r>
      <w:r>
        <w:rPr>
          <w:rFonts w:eastAsia="Times New Roman"/>
          <w:sz w:val="30"/>
          <w:szCs w:val="30"/>
          <w:lang w:val="es-ES"/>
        </w:rPr>
        <w:t>or del patrimonio de propósito exclusivo, de líneas de crédito para atender necesidades de liquidez de dicho patrimonio, las cuales deberán ser atendidas por una institución del sistema financiero a solicitud del agente de manejo, quien en representación d</w:t>
      </w:r>
      <w:r>
        <w:rPr>
          <w:rFonts w:eastAsia="Times New Roman"/>
          <w:sz w:val="30"/>
          <w:szCs w:val="30"/>
          <w:lang w:val="es-ES"/>
        </w:rPr>
        <w:t>el patrimonio de propósito exclusivo tomará la decisión de reconstituir el flujo con base en el crédito.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Garantía o aval.-</w:t>
      </w:r>
      <w:r>
        <w:rPr>
          <w:rFonts w:eastAsia="Times New Roman"/>
          <w:sz w:val="30"/>
          <w:szCs w:val="30"/>
          <w:lang w:val="es-ES"/>
        </w:rPr>
        <w:t xml:space="preserve"> Consiste en garantías generales o específicas constituidas por el originador o por terceros, quienes se comprometen a cumplir total </w:t>
      </w:r>
      <w:r>
        <w:rPr>
          <w:rFonts w:eastAsia="Times New Roman"/>
          <w:sz w:val="30"/>
          <w:szCs w:val="30"/>
          <w:lang w:val="es-ES"/>
        </w:rPr>
        <w:t>o parcialmente con los derechos reconocidos en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Garantía bancaria o póliza de seguro.-</w:t>
      </w:r>
      <w:r>
        <w:rPr>
          <w:rFonts w:eastAsia="Times New Roman"/>
          <w:sz w:val="30"/>
          <w:szCs w:val="30"/>
          <w:lang w:val="es-ES"/>
        </w:rPr>
        <w:t xml:space="preserve"> </w:t>
      </w:r>
      <w:r>
        <w:rPr>
          <w:rFonts w:eastAsia="Times New Roman"/>
          <w:sz w:val="30"/>
          <w:szCs w:val="30"/>
          <w:lang w:val="es-ES"/>
        </w:rPr>
        <w:t>Consisten en la contratación de garantías bancarias o pólizas de seguros, las cuales serán ejecutadas por el agente de manejo en caso de producirse el siniestro garantizado o asegurado y, con ello cumplir total o parcialmente con los derechos reconocidos e</w:t>
      </w:r>
      <w:r>
        <w:rPr>
          <w:rFonts w:eastAsia="Times New Roman"/>
          <w:sz w:val="30"/>
          <w:szCs w:val="30"/>
          <w:lang w:val="es-ES"/>
        </w:rPr>
        <w:t>n favor de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Fideicomiso de garantía.-</w:t>
      </w:r>
      <w:r>
        <w:rPr>
          <w:rFonts w:eastAsia="Times New Roman"/>
          <w:sz w:val="30"/>
          <w:szCs w:val="30"/>
          <w:lang w:val="es-ES"/>
        </w:rPr>
        <w:t xml:space="preserve"> Consiste en la constitución de patrimonios independientes que tengan por objeto garantizar el cumplimiento de los derechos reconocidos a favor de los inversionistas.</w:t>
      </w:r>
    </w:p>
    <w:p w:rsidR="00000000" w:rsidRDefault="0018461E">
      <w:pPr>
        <w:divId w:val="1095054422"/>
        <w:rPr>
          <w:rFonts w:eastAsia="Times New Roman"/>
          <w:sz w:val="30"/>
          <w:szCs w:val="30"/>
          <w:lang w:val="es-ES"/>
        </w:rPr>
      </w:pPr>
      <w:r>
        <w:rPr>
          <w:rFonts w:eastAsia="Times New Roman"/>
          <w:sz w:val="30"/>
          <w:szCs w:val="30"/>
          <w:lang w:val="es-ES"/>
        </w:rPr>
        <w:t xml:space="preserve">Art. 151.- </w:t>
      </w:r>
      <w:r>
        <w:rPr>
          <w:rFonts w:eastAsia="Times New Roman"/>
          <w:b/>
          <w:bCs/>
          <w:sz w:val="30"/>
          <w:szCs w:val="30"/>
          <w:lang w:val="es-ES"/>
        </w:rPr>
        <w:t>Calificación de riesg</w:t>
      </w:r>
      <w:r>
        <w:rPr>
          <w:rFonts w:eastAsia="Times New Roman"/>
          <w:b/>
          <w:bCs/>
          <w:sz w:val="30"/>
          <w:szCs w:val="30"/>
          <w:lang w:val="es-ES"/>
        </w:rPr>
        <w:t>o para los valores emitidos por un proceso de titularización.</w:t>
      </w:r>
      <w:r>
        <w:rPr>
          <w:rFonts w:eastAsia="Times New Roman"/>
          <w:sz w:val="30"/>
          <w:szCs w:val="30"/>
          <w:lang w:val="es-ES"/>
        </w:rPr>
        <w:t>- (Reformado por el Art. 58 de la Ley s/n, R.O. 249-S, 20-V-2014; y, reformado por la Disposición Reformatoria Décima Séptima, num. 2 del Código Orgánico Monetario y Financiero; R.O. 332-2S, 12-I</w:t>
      </w:r>
      <w:r>
        <w:rPr>
          <w:rFonts w:eastAsia="Times New Roman"/>
          <w:sz w:val="30"/>
          <w:szCs w:val="30"/>
          <w:lang w:val="es-ES"/>
        </w:rPr>
        <w:t>X-2014).- Todos los valores que se emitan como consecuencia de procesos de titularización, deberán contar al menos con una calificación emitida por una de las calificadoras de riesgo legalmente establecidas y autorizadas para tal efecto.</w:t>
      </w:r>
      <w:r>
        <w:rPr>
          <w:rFonts w:eastAsia="Times New Roman"/>
          <w:sz w:val="30"/>
          <w:szCs w:val="30"/>
          <w:lang w:val="es-ES"/>
        </w:rPr>
        <w:br/>
      </w:r>
      <w:r>
        <w:rPr>
          <w:rFonts w:eastAsia="Times New Roman"/>
          <w:sz w:val="30"/>
          <w:szCs w:val="30"/>
          <w:lang w:val="es-ES"/>
        </w:rPr>
        <w:br/>
        <w:t>Cuando se emita l</w:t>
      </w:r>
      <w:r>
        <w:rPr>
          <w:rFonts w:eastAsia="Times New Roman"/>
          <w:sz w:val="30"/>
          <w:szCs w:val="30"/>
          <w:lang w:val="es-ES"/>
        </w:rPr>
        <w:t>a calificación de riesgo, ésta deberá indicar los factores que se tuvieron en cuenta para otorgarla y adicionalmente deberá referirse a la legalidad y forma de transferencia de los activos al patrimonio autónomo. En ningún caso la calificación de riesgos c</w:t>
      </w:r>
      <w:r>
        <w:rPr>
          <w:rFonts w:eastAsia="Times New Roman"/>
          <w:sz w:val="30"/>
          <w:szCs w:val="30"/>
          <w:lang w:val="es-ES"/>
        </w:rPr>
        <w:t xml:space="preserve">onsiderará la solvencia del originador o del agente de manejo o de </w:t>
      </w:r>
      <w:r>
        <w:rPr>
          <w:rFonts w:eastAsia="Times New Roman"/>
          <w:sz w:val="30"/>
          <w:szCs w:val="30"/>
          <w:lang w:val="es-ES"/>
        </w:rPr>
        <w:lastRenderedPageBreak/>
        <w:t>cualquier tercero.</w:t>
      </w:r>
      <w:r>
        <w:rPr>
          <w:rFonts w:eastAsia="Times New Roman"/>
          <w:sz w:val="30"/>
          <w:szCs w:val="30"/>
          <w:lang w:val="es-ES"/>
        </w:rPr>
        <w:br/>
      </w:r>
      <w:r>
        <w:rPr>
          <w:rFonts w:eastAsia="Times New Roman"/>
          <w:sz w:val="30"/>
          <w:szCs w:val="30"/>
          <w:lang w:val="es-ES"/>
        </w:rPr>
        <w:br/>
        <w:t>Para los procesos de titularización de derechos de cobro sobre ventas futuras esperadas, se deberá contar también con una calificación de riesgo del originador de confor</w:t>
      </w:r>
      <w:r>
        <w:rPr>
          <w:rFonts w:eastAsia="Times New Roman"/>
          <w:sz w:val="30"/>
          <w:szCs w:val="30"/>
          <w:lang w:val="es-ES"/>
        </w:rPr>
        <w:t>midad con la norma de carácter general que expida la Junta de Política y Regulación Monetaria y Financiera.</w:t>
      </w:r>
    </w:p>
    <w:p w:rsidR="00000000" w:rsidRDefault="0018461E">
      <w:pPr>
        <w:divId w:val="1910192155"/>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Del Comité de Vigilancia y del Agente Pagador.- </w:t>
      </w:r>
      <w:r>
        <w:rPr>
          <w:rFonts w:eastAsia="Times New Roman"/>
          <w:sz w:val="30"/>
          <w:szCs w:val="30"/>
          <w:lang w:val="es-ES"/>
        </w:rPr>
        <w:t>(Reformado por el Art. 59 de la Ley s/n, R.O. 249-S, 20-V-2014).-</w:t>
      </w:r>
      <w:r>
        <w:rPr>
          <w:rFonts w:eastAsia="Times New Roman"/>
          <w:b/>
          <w:bCs/>
          <w:sz w:val="30"/>
          <w:szCs w:val="30"/>
          <w:lang w:val="es-ES"/>
        </w:rPr>
        <w:t xml:space="preserve"> </w:t>
      </w:r>
      <w:r>
        <w:rPr>
          <w:rFonts w:eastAsia="Times New Roman"/>
          <w:sz w:val="30"/>
          <w:szCs w:val="30"/>
          <w:lang w:val="es-ES"/>
        </w:rPr>
        <w:t>Será atribución del Com</w:t>
      </w:r>
      <w:r>
        <w:rPr>
          <w:rFonts w:eastAsia="Times New Roman"/>
          <w:sz w:val="30"/>
          <w:szCs w:val="30"/>
          <w:lang w:val="es-ES"/>
        </w:rPr>
        <w:t>ité de Vigilancia comprobar que el agente de manejo cumpla en relación al respectivo patrimonio lo dispuesto en esta Ley, normas complementarias y su reglamento interno, pudiendo convocar a asamblea extraordinaria de tenedores cuando lo considere necesario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Las fiduciarias que actúen como agentes de manejo en procesos de titularización, designarán un agente pagador, quien podrá ser la propia fiduciaria o una institución financiera sujeta al control de la Superintendencia de Bancos y Seguros o un depósito d</w:t>
      </w:r>
      <w:r>
        <w:rPr>
          <w:rFonts w:eastAsia="Times New Roman"/>
          <w:sz w:val="30"/>
          <w:szCs w:val="30"/>
          <w:lang w:val="es-ES"/>
        </w:rPr>
        <w:t>e compensación y liquidación de valores. El agente pagador no podrá formar parte del Comité de Vigilancia.</w:t>
      </w:r>
      <w:r>
        <w:rPr>
          <w:rFonts w:eastAsia="Times New Roman"/>
          <w:sz w:val="30"/>
          <w:szCs w:val="30"/>
          <w:lang w:val="es-ES"/>
        </w:rPr>
        <w:br/>
      </w:r>
      <w:r>
        <w:rPr>
          <w:rFonts w:eastAsia="Times New Roman"/>
          <w:sz w:val="30"/>
          <w:szCs w:val="30"/>
          <w:lang w:val="es-ES"/>
        </w:rPr>
        <w:br/>
        <w:t>El Comité de Vigilancia deberá informar a la asamblea de tenedores, sobre su labor y las conclusiones obtenidas. Sin perjuicio de ello, cuando en su</w:t>
      </w:r>
      <w:r>
        <w:rPr>
          <w:rFonts w:eastAsia="Times New Roman"/>
          <w:sz w:val="30"/>
          <w:szCs w:val="30"/>
          <w:lang w:val="es-ES"/>
        </w:rPr>
        <w:t xml:space="preserve"> labor detecte el incumplimiento de las normas que rigen al fideicomiso mercantil, deberá ponerlos en conocimiento de la Superintendencia de Compañías, de acuerdo a las normas que para el efecto dicte el C.N.V.</w:t>
      </w:r>
    </w:p>
    <w:p w:rsidR="00000000" w:rsidRDefault="0018461E">
      <w:pPr>
        <w:divId w:val="20009503"/>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(Derogado por el Art. 60 de la Ley</w:t>
      </w:r>
      <w:r>
        <w:rPr>
          <w:rFonts w:eastAsia="Times New Roman"/>
          <w:sz w:val="30"/>
          <w:szCs w:val="30"/>
          <w:lang w:val="es-ES"/>
        </w:rPr>
        <w:t xml:space="preserve"> s/n, R.O. 249-S, 20-V-2014).-</w:t>
      </w:r>
    </w:p>
    <w:p w:rsidR="00000000" w:rsidRDefault="0018461E">
      <w:pPr>
        <w:divId w:val="392780853"/>
        <w:rPr>
          <w:rFonts w:eastAsia="Times New Roman"/>
          <w:sz w:val="30"/>
          <w:szCs w:val="30"/>
          <w:lang w:val="es-ES"/>
        </w:rPr>
      </w:pPr>
      <w:r>
        <w:rPr>
          <w:rFonts w:eastAsia="Times New Roman"/>
          <w:b/>
          <w:bCs/>
          <w:sz w:val="30"/>
          <w:szCs w:val="30"/>
          <w:lang w:val="es-ES"/>
        </w:rPr>
        <w:t xml:space="preserve">Art. 154.- </w:t>
      </w:r>
      <w:r>
        <w:rPr>
          <w:rFonts w:eastAsia="Times New Roman"/>
          <w:sz w:val="30"/>
          <w:szCs w:val="30"/>
          <w:lang w:val="es-ES"/>
        </w:rPr>
        <w:t>(Derogado por el Art. 60 de la Ley s/n, R.O. 249-S, 20-V-2014).-</w:t>
      </w:r>
    </w:p>
    <w:p w:rsidR="00000000" w:rsidRDefault="0018461E">
      <w:pPr>
        <w:divId w:val="196041169"/>
        <w:rPr>
          <w:rFonts w:eastAsia="Times New Roman"/>
          <w:sz w:val="30"/>
          <w:szCs w:val="30"/>
          <w:lang w:val="es-ES"/>
        </w:rPr>
      </w:pPr>
      <w:r>
        <w:rPr>
          <w:rFonts w:eastAsia="Times New Roman"/>
          <w:b/>
          <w:bCs/>
          <w:sz w:val="30"/>
          <w:szCs w:val="30"/>
          <w:lang w:val="es-ES"/>
        </w:rPr>
        <w:t xml:space="preserve">Art. 155.- </w:t>
      </w:r>
      <w:r>
        <w:rPr>
          <w:rFonts w:eastAsia="Times New Roman"/>
          <w:sz w:val="30"/>
          <w:szCs w:val="30"/>
          <w:lang w:val="es-ES"/>
        </w:rPr>
        <w:t>(Derogado por el Art. 60 de la Ley s/n, R.O. 249-S, 20-V-2014).-</w:t>
      </w:r>
    </w:p>
    <w:p w:rsidR="00000000" w:rsidRDefault="0018461E">
      <w:pPr>
        <w:divId w:val="975984807"/>
        <w:rPr>
          <w:rFonts w:eastAsia="Times New Roman"/>
          <w:sz w:val="30"/>
          <w:szCs w:val="30"/>
          <w:lang w:val="es-ES"/>
        </w:rPr>
      </w:pPr>
      <w:r>
        <w:rPr>
          <w:rFonts w:eastAsia="Times New Roman"/>
          <w:b/>
          <w:bCs/>
          <w:sz w:val="30"/>
          <w:szCs w:val="30"/>
          <w:lang w:val="es-ES"/>
        </w:rPr>
        <w:t xml:space="preserve">Art. 156.- </w:t>
      </w:r>
      <w:r>
        <w:rPr>
          <w:rFonts w:eastAsia="Times New Roman"/>
          <w:sz w:val="30"/>
          <w:szCs w:val="30"/>
          <w:lang w:val="es-ES"/>
        </w:rPr>
        <w:t>(Derogado por el Art. 60 de la Ley s/n, R.O. 249-S, 20-V-2014)</w:t>
      </w:r>
      <w:r>
        <w:rPr>
          <w:rFonts w:eastAsia="Times New Roman"/>
          <w:sz w:val="30"/>
          <w:szCs w:val="30"/>
          <w:lang w:val="es-ES"/>
        </w:rPr>
        <w:t>.-</w:t>
      </w:r>
    </w:p>
    <w:p w:rsidR="00000000" w:rsidRDefault="0018461E">
      <w:pPr>
        <w:divId w:val="524096044"/>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Del prospecto de oferta pública.-</w:t>
      </w:r>
      <w:r>
        <w:rPr>
          <w:rFonts w:eastAsia="Times New Roman"/>
          <w:sz w:val="30"/>
          <w:szCs w:val="30"/>
          <w:lang w:val="es-ES"/>
        </w:rPr>
        <w:t xml:space="preserve"> El agente de manejo deberá someter a aprobación de la Superintendencia de Compañías el prospecto de oferta pública de los valores a emitirse como consecuencia de un proceso de titularización.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el prospecto</w:t>
      </w:r>
      <w:r>
        <w:rPr>
          <w:rFonts w:eastAsia="Times New Roman"/>
          <w:sz w:val="30"/>
          <w:szCs w:val="30"/>
          <w:lang w:val="es-ES"/>
        </w:rPr>
        <w:t xml:space="preserve"> de oferta pública se hará constar información que le permita al inversionista formarse una idea cabal sobre los términos y condiciones de los valores en los cuales invertirá.</w:t>
      </w:r>
      <w:r>
        <w:rPr>
          <w:rFonts w:eastAsia="Times New Roman"/>
          <w:sz w:val="30"/>
          <w:szCs w:val="30"/>
          <w:lang w:val="es-ES"/>
        </w:rPr>
        <w:br/>
      </w:r>
      <w:r>
        <w:rPr>
          <w:rFonts w:eastAsia="Times New Roman"/>
          <w:sz w:val="30"/>
          <w:szCs w:val="30"/>
          <w:lang w:val="es-ES"/>
        </w:rPr>
        <w:br/>
        <w:t>El C.N.V., determinará mediante norma de carácter general el contenido de dicho</w:t>
      </w:r>
      <w:r>
        <w:rPr>
          <w:rFonts w:eastAsia="Times New Roman"/>
          <w:sz w:val="30"/>
          <w:szCs w:val="30"/>
          <w:lang w:val="es-ES"/>
        </w:rPr>
        <w:t xml:space="preserve"> prospecto.</w:t>
      </w:r>
    </w:p>
    <w:p w:rsidR="00000000" w:rsidRDefault="0018461E">
      <w:pPr>
        <w:divId w:val="823468093"/>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Reglamento de gestión de cada proceso de titularización.</w:t>
      </w:r>
      <w:r>
        <w:rPr>
          <w:rFonts w:eastAsia="Times New Roman"/>
          <w:sz w:val="30"/>
          <w:szCs w:val="30"/>
          <w:lang w:val="es-ES"/>
        </w:rPr>
        <w:t>- El reglamento de gestión de cada proceso de titularización contendrá las normas que han de regirlos, debiendo al menos contener las siguientes normas:</w:t>
      </w:r>
      <w:r>
        <w:rPr>
          <w:rFonts w:eastAsia="Times New Roman"/>
          <w:sz w:val="30"/>
          <w:szCs w:val="30"/>
          <w:lang w:val="es-ES"/>
        </w:rPr>
        <w:br/>
      </w:r>
      <w:r>
        <w:rPr>
          <w:rFonts w:eastAsia="Times New Roman"/>
          <w:sz w:val="30"/>
          <w:szCs w:val="30"/>
          <w:lang w:val="es-ES"/>
        </w:rPr>
        <w:br/>
        <w:t>a) Régimen aplicable pa</w:t>
      </w:r>
      <w:r>
        <w:rPr>
          <w:rFonts w:eastAsia="Times New Roman"/>
          <w:sz w:val="30"/>
          <w:szCs w:val="30"/>
          <w:lang w:val="es-ES"/>
        </w:rPr>
        <w:t xml:space="preserve">ra la obtención de los recursos y/o flujos futuros; </w:t>
      </w:r>
      <w:r>
        <w:rPr>
          <w:rFonts w:eastAsia="Times New Roman"/>
          <w:sz w:val="30"/>
          <w:szCs w:val="30"/>
          <w:lang w:val="es-ES"/>
        </w:rPr>
        <w:br/>
      </w:r>
      <w:r>
        <w:rPr>
          <w:rFonts w:eastAsia="Times New Roman"/>
          <w:sz w:val="30"/>
          <w:szCs w:val="30"/>
          <w:lang w:val="es-ES"/>
        </w:rPr>
        <w:br/>
        <w:t xml:space="preserve">b) Destino de los remanentes de los recursos y/o flujos futuros, de existir; </w:t>
      </w:r>
      <w:r>
        <w:rPr>
          <w:rFonts w:eastAsia="Times New Roman"/>
          <w:sz w:val="30"/>
          <w:szCs w:val="30"/>
          <w:lang w:val="es-ES"/>
        </w:rPr>
        <w:br/>
      </w:r>
      <w:r>
        <w:rPr>
          <w:rFonts w:eastAsia="Times New Roman"/>
          <w:sz w:val="30"/>
          <w:szCs w:val="30"/>
          <w:lang w:val="es-ES"/>
        </w:rPr>
        <w:br/>
        <w:t xml:space="preserve">c) Casos en los cuales procede la redención anticipada de los valores emitidos; </w:t>
      </w:r>
      <w:r>
        <w:rPr>
          <w:rFonts w:eastAsia="Times New Roman"/>
          <w:sz w:val="30"/>
          <w:szCs w:val="30"/>
          <w:lang w:val="es-ES"/>
        </w:rPr>
        <w:br/>
      </w:r>
      <w:r>
        <w:rPr>
          <w:rFonts w:eastAsia="Times New Roman"/>
          <w:sz w:val="30"/>
          <w:szCs w:val="30"/>
          <w:lang w:val="es-ES"/>
        </w:rPr>
        <w:br/>
        <w:t xml:space="preserve">d) Características y forma de determinar </w:t>
      </w:r>
      <w:r>
        <w:rPr>
          <w:rFonts w:eastAsia="Times New Roman"/>
          <w:sz w:val="30"/>
          <w:szCs w:val="30"/>
          <w:lang w:val="es-ES"/>
        </w:rPr>
        <w:t xml:space="preserve">el punto de equilibrio para iniciar la ejecución del proyecto; y, </w:t>
      </w:r>
      <w:r>
        <w:rPr>
          <w:rFonts w:eastAsia="Times New Roman"/>
          <w:sz w:val="30"/>
          <w:szCs w:val="30"/>
          <w:lang w:val="es-ES"/>
        </w:rPr>
        <w:br/>
      </w:r>
      <w:r>
        <w:rPr>
          <w:rFonts w:eastAsia="Times New Roman"/>
          <w:sz w:val="30"/>
          <w:szCs w:val="30"/>
          <w:lang w:val="es-ES"/>
        </w:rPr>
        <w:br/>
        <w:t>e) Los demás requisitos que establezca mediante norma de carácter general el C.N.V..</w:t>
      </w:r>
    </w:p>
    <w:p w:rsidR="00000000" w:rsidRDefault="0018461E">
      <w:pPr>
        <w:divId w:val="1403335379"/>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Tratamiento tributario aplicable a procesos de titularización.- </w:t>
      </w:r>
      <w:r>
        <w:rPr>
          <w:rFonts w:eastAsia="Times New Roman"/>
          <w:sz w:val="30"/>
          <w:szCs w:val="30"/>
          <w:lang w:val="es-ES"/>
        </w:rPr>
        <w:t>En los procesos de titulariz</w:t>
      </w:r>
      <w:r>
        <w:rPr>
          <w:rFonts w:eastAsia="Times New Roman"/>
          <w:sz w:val="30"/>
          <w:szCs w:val="30"/>
          <w:lang w:val="es-ES"/>
        </w:rPr>
        <w:t>ación se aplicará el siguiente tratamiento tributario:</w:t>
      </w:r>
      <w:r>
        <w:rPr>
          <w:rFonts w:eastAsia="Times New Roman"/>
          <w:sz w:val="30"/>
          <w:szCs w:val="30"/>
          <w:lang w:val="es-ES"/>
        </w:rPr>
        <w:br/>
      </w:r>
      <w:r>
        <w:rPr>
          <w:rFonts w:eastAsia="Times New Roman"/>
          <w:sz w:val="30"/>
          <w:szCs w:val="30"/>
          <w:lang w:val="es-ES"/>
        </w:rPr>
        <w:br/>
        <w:t>a) Las transferencias de dominio de activos, cualquiera fuere su naturaleza, realizadas con el propósito de desarrollar procesos de titularización, están exentas de todo tipo de impuestos, tasas y con</w:t>
      </w:r>
      <w:r>
        <w:rPr>
          <w:rFonts w:eastAsia="Times New Roman"/>
          <w:sz w:val="30"/>
          <w:szCs w:val="30"/>
          <w:lang w:val="es-ES"/>
        </w:rPr>
        <w:t>tribuciones, así como de impuestos indirectos previstos en las leyes que gravan las transferencias de bienes.</w:t>
      </w:r>
      <w:r>
        <w:rPr>
          <w:rFonts w:eastAsia="Times New Roman"/>
          <w:sz w:val="30"/>
          <w:szCs w:val="30"/>
          <w:lang w:val="es-ES"/>
        </w:rPr>
        <w:br/>
      </w:r>
      <w:r>
        <w:rPr>
          <w:rFonts w:eastAsia="Times New Roman"/>
          <w:sz w:val="30"/>
          <w:szCs w:val="30"/>
          <w:lang w:val="es-ES"/>
        </w:rPr>
        <w:br/>
        <w:t>Las transferencias de dominio de bienes inmuebles realizadas con el propósito antes enunciado, están exentas y no sujetas al pago de los impuesto</w:t>
      </w:r>
      <w:r>
        <w:rPr>
          <w:rFonts w:eastAsia="Times New Roman"/>
          <w:sz w:val="30"/>
          <w:szCs w:val="30"/>
          <w:lang w:val="es-ES"/>
        </w:rPr>
        <w:t xml:space="preserve">s de alcabalas, registro e inscripción y de los correspondientes adicionales a tales impuestos, así como del impuesto a las utilidades en la compraventa de predios urbanos y plusvalía de </w:t>
      </w:r>
      <w:r>
        <w:rPr>
          <w:rFonts w:eastAsia="Times New Roman"/>
          <w:sz w:val="30"/>
          <w:szCs w:val="30"/>
          <w:lang w:val="es-ES"/>
        </w:rPr>
        <w:lastRenderedPageBreak/>
        <w:t>los mismos. Cuando no se haya alcanzado el punto de equilibrio prefij</w:t>
      </w:r>
      <w:r>
        <w:rPr>
          <w:rFonts w:eastAsia="Times New Roman"/>
          <w:sz w:val="30"/>
          <w:szCs w:val="30"/>
          <w:lang w:val="es-ES"/>
        </w:rPr>
        <w:t>ado para la colocación de valores emitidos como consecuencia de procesos de titularización y, el agente de manejo proceda con la restitución del dominio de los bienes inmuebles al originador, dicha restitución gozará también de las exenciones anteriormente</w:t>
      </w:r>
      <w:r>
        <w:rPr>
          <w:rFonts w:eastAsia="Times New Roman"/>
          <w:sz w:val="30"/>
          <w:szCs w:val="30"/>
          <w:lang w:val="es-ES"/>
        </w:rPr>
        <w:t xml:space="preserve"> establecidas.</w:t>
      </w:r>
      <w:r>
        <w:rPr>
          <w:rFonts w:eastAsia="Times New Roman"/>
          <w:sz w:val="30"/>
          <w:szCs w:val="30"/>
          <w:lang w:val="es-ES"/>
        </w:rPr>
        <w:br/>
      </w:r>
      <w:r>
        <w:rPr>
          <w:rFonts w:eastAsia="Times New Roman"/>
          <w:sz w:val="30"/>
          <w:szCs w:val="30"/>
          <w:lang w:val="es-ES"/>
        </w:rPr>
        <w:br/>
        <w:t>La transferencia de dominio de bienes muebles realizadas con el propósito enunciado en este artículo, están exentas y no sujetas al pago de Impuesto al Valor Agregado u otros impuestos indirectos. Igual exención se aplicará en el caso de la</w:t>
      </w:r>
      <w:r>
        <w:rPr>
          <w:rFonts w:eastAsia="Times New Roman"/>
          <w:sz w:val="30"/>
          <w:szCs w:val="30"/>
          <w:lang w:val="es-ES"/>
        </w:rPr>
        <w:t xml:space="preserve"> restitución del dominio de tales bienes muebles al originador; y,</w:t>
      </w:r>
      <w:r>
        <w:rPr>
          <w:rFonts w:eastAsia="Times New Roman"/>
          <w:sz w:val="30"/>
          <w:szCs w:val="30"/>
          <w:lang w:val="es-ES"/>
        </w:rPr>
        <w:br/>
      </w:r>
      <w:r>
        <w:rPr>
          <w:rFonts w:eastAsia="Times New Roman"/>
          <w:sz w:val="30"/>
          <w:szCs w:val="30"/>
          <w:lang w:val="es-ES"/>
        </w:rPr>
        <w:br/>
        <w:t>b) Los ingresos que perciba el patrimonio de propósito exclusivo están sujetos a tributación en él, de conformidad con la naturaleza propia de tales rentas y el régimen tributario ordinari</w:t>
      </w:r>
      <w:r>
        <w:rPr>
          <w:rFonts w:eastAsia="Times New Roman"/>
          <w:sz w:val="30"/>
          <w:szCs w:val="30"/>
          <w:lang w:val="es-ES"/>
        </w:rPr>
        <w:t>o aplicables a ella.</w:t>
      </w:r>
    </w:p>
    <w:p w:rsidR="00000000" w:rsidRDefault="0018461E">
      <w:pPr>
        <w:divId w:val="1636060337"/>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Disposiciones comunes para procesos de titularización.- </w:t>
      </w:r>
      <w:r>
        <w:rPr>
          <w:rFonts w:eastAsia="Times New Roman"/>
          <w:sz w:val="30"/>
          <w:szCs w:val="30"/>
          <w:lang w:val="es-ES"/>
        </w:rPr>
        <w:t>(Agregado por el Art. 61 de la Ley s/n, R.O. 249-S, 20-V-2014).- Además del cumplimiento de las normas generales antes enunciadas, el agente de manejo cumplirá con las nor</w:t>
      </w:r>
      <w:r>
        <w:rPr>
          <w:rFonts w:eastAsia="Times New Roman"/>
          <w:sz w:val="30"/>
          <w:szCs w:val="30"/>
          <w:lang w:val="es-ES"/>
        </w:rPr>
        <w:t>mas especiales contenidas a continuación:</w:t>
      </w:r>
      <w:r>
        <w:rPr>
          <w:rFonts w:eastAsia="Times New Roman"/>
          <w:sz w:val="30"/>
          <w:szCs w:val="30"/>
          <w:lang w:val="es-ES"/>
        </w:rPr>
        <w:br/>
      </w:r>
      <w:r>
        <w:rPr>
          <w:rFonts w:eastAsia="Times New Roman"/>
          <w:sz w:val="30"/>
          <w:szCs w:val="30"/>
          <w:lang w:val="es-ES"/>
        </w:rPr>
        <w:br/>
        <w:t>1.- Verificar los modelos de negocios sustentados en estudios matemáticos y estadísticos, para determinar que los flujos futuros que se proyectan sean generados por los bienes que existen, o por los derechos ya ad</w:t>
      </w:r>
      <w:r>
        <w:rPr>
          <w:rFonts w:eastAsia="Times New Roman"/>
          <w:sz w:val="30"/>
          <w:szCs w:val="30"/>
          <w:lang w:val="es-ES"/>
        </w:rPr>
        <w:t>quiridos que generarán estos flujos futuros;</w:t>
      </w:r>
      <w:r>
        <w:rPr>
          <w:rFonts w:eastAsia="Times New Roman"/>
          <w:sz w:val="30"/>
          <w:szCs w:val="30"/>
          <w:lang w:val="es-ES"/>
        </w:rPr>
        <w:br/>
      </w:r>
      <w:r>
        <w:rPr>
          <w:rFonts w:eastAsia="Times New Roman"/>
          <w:sz w:val="30"/>
          <w:szCs w:val="30"/>
          <w:lang w:val="es-ES"/>
        </w:rPr>
        <w:br/>
        <w:t>2.- (Reformado por la Disposición Reformatoria Décima Séptima, num. 2 del Código Orgánico Monetario y Financiero; R.O. 332-2S, 12-IX-2014).- Emitir, con cargo al patrimonio autónomo de propósito exclusivo, valo</w:t>
      </w:r>
      <w:r>
        <w:rPr>
          <w:rFonts w:eastAsia="Times New Roman"/>
          <w:sz w:val="30"/>
          <w:szCs w:val="30"/>
          <w:lang w:val="es-ES"/>
        </w:rPr>
        <w:t>res hasta por el monto que fije la Junta de Política y Regulación Monetaria y Financiera mediante disposición de carácter general;</w:t>
      </w:r>
      <w:r>
        <w:rPr>
          <w:rFonts w:eastAsia="Times New Roman"/>
          <w:sz w:val="30"/>
          <w:szCs w:val="30"/>
          <w:lang w:val="es-ES"/>
        </w:rPr>
        <w:br/>
      </w:r>
      <w:r>
        <w:rPr>
          <w:rFonts w:eastAsia="Times New Roman"/>
          <w:sz w:val="30"/>
          <w:szCs w:val="30"/>
          <w:lang w:val="es-ES"/>
        </w:rPr>
        <w:br/>
        <w:t>3.- (Reformado por la Disposición Reformatoria Décima Séptima, num. 2 del Código Orgánico Monetario y Financiero; R.O. 332-2</w:t>
      </w:r>
      <w:r>
        <w:rPr>
          <w:rFonts w:eastAsia="Times New Roman"/>
          <w:sz w:val="30"/>
          <w:szCs w:val="30"/>
          <w:lang w:val="es-ES"/>
        </w:rPr>
        <w:t>S, 12-IX-2014).- Constituir los mecanismos de garantía previstos en esta Ley, en los porcentajes de cobertura que mediante normas de carácter general determine la Junta de Política y Regulación Monetaria y Financiera;</w:t>
      </w:r>
      <w:r>
        <w:rPr>
          <w:rFonts w:eastAsia="Times New Roman"/>
          <w:sz w:val="30"/>
          <w:szCs w:val="30"/>
          <w:lang w:val="es-ES"/>
        </w:rPr>
        <w:br/>
      </w:r>
      <w:r>
        <w:rPr>
          <w:rFonts w:eastAsia="Times New Roman"/>
          <w:sz w:val="30"/>
          <w:szCs w:val="30"/>
          <w:lang w:val="es-ES"/>
        </w:rPr>
        <w:lastRenderedPageBreak/>
        <w:br/>
        <w:t>4.- Los activos o bienes a titulariza</w:t>
      </w:r>
      <w:r>
        <w:rPr>
          <w:rFonts w:eastAsia="Times New Roman"/>
          <w:sz w:val="30"/>
          <w:szCs w:val="30"/>
          <w:lang w:val="es-ES"/>
        </w:rPr>
        <w:t>r deberán estar libre de gravámenes, limitaciones de dominio, prohibiciones de enajenar o condiciones resolutorias, y no deberán tener pendientes de pago los impuestos, tasas y contribuciones;</w:t>
      </w:r>
      <w:r>
        <w:rPr>
          <w:rFonts w:eastAsia="Times New Roman"/>
          <w:sz w:val="30"/>
          <w:szCs w:val="30"/>
          <w:lang w:val="es-ES"/>
        </w:rPr>
        <w:br/>
      </w:r>
      <w:r>
        <w:rPr>
          <w:rFonts w:eastAsia="Times New Roman"/>
          <w:sz w:val="30"/>
          <w:szCs w:val="30"/>
          <w:lang w:val="es-ES"/>
        </w:rPr>
        <w:br/>
        <w:t xml:space="preserve">5.- Determinación del punto de equilibrio en los procesos que </w:t>
      </w:r>
      <w:r>
        <w:rPr>
          <w:rFonts w:eastAsia="Times New Roman"/>
          <w:sz w:val="30"/>
          <w:szCs w:val="30"/>
          <w:lang w:val="es-ES"/>
        </w:rPr>
        <w:t>fuera aplicable;</w:t>
      </w:r>
      <w:r>
        <w:rPr>
          <w:rFonts w:eastAsia="Times New Roman"/>
          <w:sz w:val="30"/>
          <w:szCs w:val="30"/>
          <w:lang w:val="es-ES"/>
        </w:rPr>
        <w:br/>
      </w:r>
      <w:r>
        <w:rPr>
          <w:rFonts w:eastAsia="Times New Roman"/>
          <w:sz w:val="30"/>
          <w:szCs w:val="30"/>
          <w:lang w:val="es-ES"/>
        </w:rPr>
        <w:br/>
        <w:t>6.- (Reformado por la Disposición Reformatoria Décima Séptima, num. 2 del Código Orgánico Monetario y Financiero; R.O. 332-2S, 12-IX-2014).- Determinación de los índices de desviación y/o de siniestralidad y/o los que determine la Junta d</w:t>
      </w:r>
      <w:r>
        <w:rPr>
          <w:rFonts w:eastAsia="Times New Roman"/>
          <w:sz w:val="30"/>
          <w:szCs w:val="30"/>
          <w:lang w:val="es-ES"/>
        </w:rPr>
        <w:t>e Política y Regulación Monetaria y Financiera; y,</w:t>
      </w:r>
      <w:r>
        <w:rPr>
          <w:rFonts w:eastAsia="Times New Roman"/>
          <w:sz w:val="30"/>
          <w:szCs w:val="30"/>
          <w:lang w:val="es-ES"/>
        </w:rPr>
        <w:br/>
      </w:r>
      <w:r>
        <w:rPr>
          <w:rFonts w:eastAsia="Times New Roman"/>
          <w:sz w:val="30"/>
          <w:szCs w:val="30"/>
          <w:lang w:val="es-ES"/>
        </w:rPr>
        <w:br/>
        <w:t>7.- Reformado por la Disposición Reformatoria Décima Séptima, num. 2 del Código Orgánico Monetario y Financiero; R.O. 332-2S, 12-IX-2014). Los demás requisitos que determine la Junta de Política y Regulac</w:t>
      </w:r>
      <w:r>
        <w:rPr>
          <w:rFonts w:eastAsia="Times New Roman"/>
          <w:sz w:val="30"/>
          <w:szCs w:val="30"/>
          <w:lang w:val="es-ES"/>
        </w:rPr>
        <w:t>ión Monetaria y Financiera.</w:t>
      </w:r>
      <w:r>
        <w:rPr>
          <w:rFonts w:eastAsia="Times New Roman"/>
          <w:sz w:val="30"/>
          <w:szCs w:val="30"/>
          <w:lang w:val="es-ES"/>
        </w:rPr>
        <w:br/>
      </w:r>
      <w:r>
        <w:rPr>
          <w:rFonts w:eastAsia="Times New Roman"/>
          <w:sz w:val="30"/>
          <w:szCs w:val="30"/>
          <w:lang w:val="es-ES"/>
        </w:rPr>
        <w:br/>
        <w:t>En caso que el Originador forme parte del sector público o sea una empresa pública, en subsidio de constituir los mecanismos de garantía establecidos en esta ley, podrá beneficiarse del otorgamiento de garantías soberanas conce</w:t>
      </w:r>
      <w:r>
        <w:rPr>
          <w:rFonts w:eastAsia="Times New Roman"/>
          <w:sz w:val="30"/>
          <w:szCs w:val="30"/>
          <w:lang w:val="es-ES"/>
        </w:rPr>
        <w:t>didas por el Estado, de conformidad con lo previsto en el Código Orgánico de Planificación y Finanzas Públicas y en la Ley Orgánica de Empresas Públicas, respectivamente.</w:t>
      </w:r>
    </w:p>
    <w:p w:rsidR="00000000" w:rsidRDefault="0018461E">
      <w:pPr>
        <w:divId w:val="1051615491"/>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Clases de Titularizaciones.-</w:t>
      </w:r>
      <w:r>
        <w:rPr>
          <w:rFonts w:eastAsia="Times New Roman"/>
          <w:sz w:val="30"/>
          <w:szCs w:val="30"/>
          <w:lang w:val="es-ES"/>
        </w:rPr>
        <w:t xml:space="preserve"> </w:t>
      </w:r>
      <w:r>
        <w:rPr>
          <w:rFonts w:eastAsia="Times New Roman"/>
          <w:sz w:val="30"/>
          <w:szCs w:val="30"/>
          <w:lang w:val="es-ES"/>
        </w:rPr>
        <w:t>(Agregado por el Art. 61 de la Ley s/n, R.O. 249-S, 20-V-2014).-</w:t>
      </w:r>
      <w:r>
        <w:rPr>
          <w:rFonts w:eastAsia="Times New Roman"/>
          <w:b/>
          <w:bCs/>
          <w:sz w:val="30"/>
          <w:szCs w:val="30"/>
          <w:lang w:val="es-ES"/>
        </w:rPr>
        <w:t xml:space="preserve"> </w:t>
      </w:r>
      <w:r>
        <w:rPr>
          <w:rFonts w:eastAsia="Times New Roman"/>
          <w:sz w:val="30"/>
          <w:szCs w:val="30"/>
          <w:lang w:val="es-ES"/>
        </w:rPr>
        <w:t>Se podrán efectuar titularizaciones de las siguientes clases:</w:t>
      </w:r>
      <w:r>
        <w:rPr>
          <w:rFonts w:eastAsia="Times New Roman"/>
          <w:sz w:val="30"/>
          <w:szCs w:val="30"/>
          <w:lang w:val="es-ES"/>
        </w:rPr>
        <w:br/>
      </w:r>
      <w:r>
        <w:rPr>
          <w:rFonts w:eastAsia="Times New Roman"/>
          <w:sz w:val="30"/>
          <w:szCs w:val="30"/>
          <w:lang w:val="es-ES"/>
        </w:rPr>
        <w:br/>
        <w:t>1.- Titularización de cartera.- Consiste en la emisión de valores de contenido crediticio, con cargo a un patrimonio de propósit</w:t>
      </w:r>
      <w:r>
        <w:rPr>
          <w:rFonts w:eastAsia="Times New Roman"/>
          <w:sz w:val="30"/>
          <w:szCs w:val="30"/>
          <w:lang w:val="es-ES"/>
        </w:rPr>
        <w:t>o exclusivo constituido con el aporte de cartera de la misma clase y características;</w:t>
      </w:r>
      <w:r>
        <w:rPr>
          <w:rFonts w:eastAsia="Times New Roman"/>
          <w:sz w:val="30"/>
          <w:szCs w:val="30"/>
          <w:lang w:val="es-ES"/>
        </w:rPr>
        <w:br/>
      </w:r>
      <w:r>
        <w:rPr>
          <w:rFonts w:eastAsia="Times New Roman"/>
          <w:sz w:val="30"/>
          <w:szCs w:val="30"/>
          <w:lang w:val="es-ES"/>
        </w:rPr>
        <w:br/>
        <w:t>2.- Titularización de inmuebles.- Consiste en la emisión de valores de contenido crediticio, mixtos o de participación, sobre un patrimonio de propósito exclusivo consti</w:t>
      </w:r>
      <w:r>
        <w:rPr>
          <w:rFonts w:eastAsia="Times New Roman"/>
          <w:sz w:val="30"/>
          <w:szCs w:val="30"/>
          <w:lang w:val="es-ES"/>
        </w:rPr>
        <w:t>tuido con un bien inmueble generador de flujos;</w:t>
      </w:r>
      <w:r>
        <w:rPr>
          <w:rFonts w:eastAsia="Times New Roman"/>
          <w:sz w:val="30"/>
          <w:szCs w:val="30"/>
          <w:lang w:val="es-ES"/>
        </w:rPr>
        <w:br/>
      </w:r>
      <w:r>
        <w:rPr>
          <w:rFonts w:eastAsia="Times New Roman"/>
          <w:sz w:val="30"/>
          <w:szCs w:val="30"/>
          <w:lang w:val="es-ES"/>
        </w:rPr>
        <w:br/>
        <w:t xml:space="preserve">3.- Titularización de proyectos inmobiliarios.- Consiste en la emisión </w:t>
      </w:r>
      <w:r>
        <w:rPr>
          <w:rFonts w:eastAsia="Times New Roman"/>
          <w:sz w:val="30"/>
          <w:szCs w:val="30"/>
          <w:lang w:val="es-ES"/>
        </w:rPr>
        <w:lastRenderedPageBreak/>
        <w:t>de valores mixtos y de participación que incorporen derechos o alícuotas, sobre un patrimonio de propósito exclusivo constituido sobre u</w:t>
      </w:r>
      <w:r>
        <w:rPr>
          <w:rFonts w:eastAsia="Times New Roman"/>
          <w:sz w:val="30"/>
          <w:szCs w:val="30"/>
          <w:lang w:val="es-ES"/>
        </w:rPr>
        <w:t>n proyecto inmobiliario;</w:t>
      </w:r>
      <w:r>
        <w:rPr>
          <w:rFonts w:eastAsia="Times New Roman"/>
          <w:sz w:val="30"/>
          <w:szCs w:val="30"/>
          <w:lang w:val="es-ES"/>
        </w:rPr>
        <w:br/>
      </w:r>
      <w:r>
        <w:rPr>
          <w:rFonts w:eastAsia="Times New Roman"/>
          <w:sz w:val="30"/>
          <w:szCs w:val="30"/>
          <w:lang w:val="es-ES"/>
        </w:rPr>
        <w:br/>
        <w:t>4.- Titularización de derechos existentes generadores de flujos futuros o de proyectos susceptibles de generar flujos futuros determinables.- Consiste en la emisión de valores con cargo a un patrimonio de propósito exclusivo const</w:t>
      </w:r>
      <w:r>
        <w:rPr>
          <w:rFonts w:eastAsia="Times New Roman"/>
          <w:sz w:val="30"/>
          <w:szCs w:val="30"/>
          <w:lang w:val="es-ES"/>
        </w:rPr>
        <w:t>ituido con derechos existentes generadores de flujos futuros para lo cual se deberá acreditar documentadamente la propiedad del originador sobre tales derechos.</w:t>
      </w:r>
      <w:r>
        <w:rPr>
          <w:rFonts w:eastAsia="Times New Roman"/>
          <w:sz w:val="30"/>
          <w:szCs w:val="30"/>
          <w:lang w:val="es-ES"/>
        </w:rPr>
        <w:br/>
      </w:r>
      <w:r>
        <w:rPr>
          <w:rFonts w:eastAsia="Times New Roman"/>
          <w:sz w:val="30"/>
          <w:szCs w:val="30"/>
          <w:lang w:val="es-ES"/>
        </w:rPr>
        <w:br/>
        <w:t>No se podrá titularizar bajo esta modalidad de flujos futuros, titularizaciones de cartera, ni</w:t>
      </w:r>
      <w:r>
        <w:rPr>
          <w:rFonts w:eastAsia="Times New Roman"/>
          <w:sz w:val="30"/>
          <w:szCs w:val="30"/>
          <w:lang w:val="es-ES"/>
        </w:rPr>
        <w:t xml:space="preserve"> de proyectos inmobiliarios, ni de inmuebles, por cuanto para estos activos están reguladas las condiciones especiales inherentes a su titularización.</w:t>
      </w:r>
      <w:r>
        <w:rPr>
          <w:rFonts w:eastAsia="Times New Roman"/>
          <w:sz w:val="30"/>
          <w:szCs w:val="30"/>
          <w:lang w:val="es-ES"/>
        </w:rPr>
        <w:br/>
      </w:r>
      <w:r>
        <w:rPr>
          <w:rFonts w:eastAsia="Times New Roman"/>
          <w:sz w:val="30"/>
          <w:szCs w:val="30"/>
          <w:lang w:val="es-ES"/>
        </w:rPr>
        <w:br/>
        <w:t>5.- Titularización de derechos de cobro sobre ventas futuras esperadas.- Consiste en la emisión de valor</w:t>
      </w:r>
      <w:r>
        <w:rPr>
          <w:rFonts w:eastAsia="Times New Roman"/>
          <w:sz w:val="30"/>
          <w:szCs w:val="30"/>
          <w:lang w:val="es-ES"/>
        </w:rPr>
        <w:t>es con cargo a un patrimonio de propósito exclusivo constituido con la transferencia de derechos de cobro sobre ventas futuras esperadas de bienes que estén en el comercio y sobre servicios públicos. Para la titularización de derechos de cobre sobre ventas</w:t>
      </w:r>
      <w:r>
        <w:rPr>
          <w:rFonts w:eastAsia="Times New Roman"/>
          <w:sz w:val="30"/>
          <w:szCs w:val="30"/>
          <w:lang w:val="es-ES"/>
        </w:rPr>
        <w:t xml:space="preserve"> futuras esperadas de bienes se debe contar expresamente con la garantía solidaria del originador, así como con otro mecanismo de garantía específica que cubra el monto en circulación de la emisión.</w:t>
      </w:r>
    </w:p>
    <w:p w:rsidR="00000000" w:rsidRDefault="0018461E">
      <w:pPr>
        <w:jc w:val="center"/>
        <w:rPr>
          <w:rFonts w:eastAsia="Times New Roman"/>
          <w:sz w:val="36"/>
          <w:szCs w:val="36"/>
          <w:lang w:val="es-ES"/>
        </w:rPr>
      </w:pPr>
      <w:r>
        <w:rPr>
          <w:rFonts w:eastAsia="Times New Roman"/>
          <w:b/>
          <w:bCs/>
          <w:sz w:val="36"/>
          <w:szCs w:val="36"/>
          <w:lang w:val="es-ES"/>
        </w:rPr>
        <w:br/>
        <w:t>Título XVII</w:t>
      </w:r>
      <w:r>
        <w:rPr>
          <w:rFonts w:eastAsia="Times New Roman"/>
          <w:b/>
          <w:bCs/>
          <w:sz w:val="36"/>
          <w:szCs w:val="36"/>
          <w:lang w:val="es-ES"/>
        </w:rPr>
        <w:br/>
        <w:t>EMISIÓN DE OBLIGACIONES</w:t>
      </w:r>
    </w:p>
    <w:p w:rsidR="00000000" w:rsidRDefault="0018461E">
      <w:pPr>
        <w:divId w:val="1509061877"/>
        <w:rPr>
          <w:rFonts w:eastAsia="Times New Roman"/>
          <w:sz w:val="30"/>
          <w:szCs w:val="30"/>
          <w:lang w:val="es-ES"/>
        </w:rPr>
      </w:pPr>
      <w:r>
        <w:rPr>
          <w:rFonts w:eastAsia="Times New Roman"/>
          <w:b/>
          <w:bCs/>
          <w:sz w:val="30"/>
          <w:szCs w:val="30"/>
          <w:lang w:val="es-ES"/>
        </w:rPr>
        <w:t>Art. 160.- Definició</w:t>
      </w:r>
      <w:r>
        <w:rPr>
          <w:rFonts w:eastAsia="Times New Roman"/>
          <w:b/>
          <w:bCs/>
          <w:sz w:val="30"/>
          <w:szCs w:val="30"/>
          <w:lang w:val="es-ES"/>
        </w:rPr>
        <w:t xml:space="preserve">n.- </w:t>
      </w:r>
      <w:r>
        <w:rPr>
          <w:rFonts w:eastAsia="Times New Roman"/>
          <w:sz w:val="30"/>
          <w:szCs w:val="30"/>
          <w:lang w:val="es-ES"/>
        </w:rPr>
        <w:t>(Sustituido por el Art. 62 de la Ley s/n, R.O. 249-S, 20-V-2014; y, reformado por la Disposición Reformatoria Décima Séptima, num. 2 del Código Orgánico Monetario y Financiero; R.O. 332-2S, 12-IX-2014).- Obligaciones son valores de contenido crediticio</w:t>
      </w:r>
      <w:r>
        <w:rPr>
          <w:rFonts w:eastAsia="Times New Roman"/>
          <w:sz w:val="30"/>
          <w:szCs w:val="30"/>
          <w:lang w:val="es-ES"/>
        </w:rPr>
        <w:t xml:space="preserve"> representativos de deuda a cargo del emisor que podrán ser emitidos por personas jurídicas de derecho público o privado, sucursales de compañías extranjeras domiciliadas en el Ecuador, y por quienes establezca la Junta de Política y Regulación Monetaria y</w:t>
      </w:r>
      <w:r>
        <w:rPr>
          <w:rFonts w:eastAsia="Times New Roman"/>
          <w:sz w:val="30"/>
          <w:szCs w:val="30"/>
          <w:lang w:val="es-ES"/>
        </w:rPr>
        <w:t xml:space="preserve"> Financiera, con los requisitos que también sean establecidos por la misma en cada caso.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emisión de obligaciones se instrumentará a través de un contrato que deberá elevarse a escritura pública y ser otorgado por el emisor y el representante de los ten</w:t>
      </w:r>
      <w:r>
        <w:rPr>
          <w:rFonts w:eastAsia="Times New Roman"/>
          <w:sz w:val="30"/>
          <w:szCs w:val="30"/>
          <w:lang w:val="es-ES"/>
        </w:rPr>
        <w:t>edores de obligaciones, y deberá contener los requisitos esenciales determinados por la Junta de Regulación de Mercado mediante norma de carácter general.</w:t>
      </w:r>
      <w:r>
        <w:rPr>
          <w:rFonts w:eastAsia="Times New Roman"/>
          <w:sz w:val="30"/>
          <w:szCs w:val="30"/>
          <w:lang w:val="es-ES"/>
        </w:rPr>
        <w:br/>
      </w:r>
      <w:r>
        <w:rPr>
          <w:rFonts w:eastAsia="Times New Roman"/>
          <w:sz w:val="30"/>
          <w:szCs w:val="30"/>
          <w:lang w:val="es-ES"/>
        </w:rPr>
        <w:br/>
        <w:t xml:space="preserve">La emisión de valores consistentes en obligaciones podrá ser de largo o corto plazo. En este último </w:t>
      </w:r>
      <w:r>
        <w:rPr>
          <w:rFonts w:eastAsia="Times New Roman"/>
          <w:sz w:val="30"/>
          <w:szCs w:val="30"/>
          <w:lang w:val="es-ES"/>
        </w:rPr>
        <w:t>caso se tratará de papeles comerciales. Los bancos privados no podrán emitir obligaciones de corto plazo.</w:t>
      </w:r>
      <w:r>
        <w:rPr>
          <w:rFonts w:eastAsia="Times New Roman"/>
          <w:sz w:val="30"/>
          <w:szCs w:val="30"/>
          <w:lang w:val="es-ES"/>
        </w:rPr>
        <w:br/>
      </w:r>
      <w:r>
        <w:rPr>
          <w:rFonts w:eastAsia="Times New Roman"/>
          <w:sz w:val="30"/>
          <w:szCs w:val="30"/>
          <w:lang w:val="es-ES"/>
        </w:rPr>
        <w:br/>
        <w:t>Se entenderá que son obligaciones de largo plazo, cuando éste sea superior a trescientos sesenta días contados desde su emisión hasta su vencimiento.</w:t>
      </w:r>
      <w:r>
        <w:rPr>
          <w:rFonts w:eastAsia="Times New Roman"/>
          <w:sz w:val="30"/>
          <w:szCs w:val="30"/>
          <w:lang w:val="es-ES"/>
        </w:rPr>
        <w:br/>
      </w:r>
      <w:r>
        <w:rPr>
          <w:rFonts w:eastAsia="Times New Roman"/>
          <w:sz w:val="30"/>
          <w:szCs w:val="30"/>
          <w:lang w:val="es-ES"/>
        </w:rPr>
        <w:br/>
        <w:t>Podrán emitirse también obligaciones sindicadas efectuadas por más de un Emisor en un solo proceso de oferta pública, de conformidad con lo dispuesto en esta ley y las disposiciones de carácter general que dicte la Junta de Política y Regulación Monetari</w:t>
      </w:r>
      <w:r>
        <w:rPr>
          <w:rFonts w:eastAsia="Times New Roman"/>
          <w:sz w:val="30"/>
          <w:szCs w:val="30"/>
          <w:lang w:val="es-ES"/>
        </w:rPr>
        <w:t>a y Financiera para ese efecto.</w:t>
      </w:r>
    </w:p>
    <w:p w:rsidR="00000000" w:rsidRDefault="0018461E">
      <w:pPr>
        <w:divId w:val="181601455"/>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Requisito de calificación de riesgo.- </w:t>
      </w:r>
      <w:r>
        <w:rPr>
          <w:rFonts w:eastAsia="Times New Roman"/>
          <w:sz w:val="30"/>
          <w:szCs w:val="30"/>
          <w:lang w:val="es-ES"/>
        </w:rPr>
        <w:t>(Reformado por la Disposición Reformatoria Décima Séptima, num. 1 del Código Orgánico Monetario y Financiero; R.O. 332-2S, 12-IX-2014).- Toda emisión de obligaciones requerirá</w:t>
      </w:r>
      <w:r>
        <w:rPr>
          <w:rFonts w:eastAsia="Times New Roman"/>
          <w:sz w:val="30"/>
          <w:szCs w:val="30"/>
          <w:lang w:val="es-ES"/>
        </w:rPr>
        <w:t xml:space="preserve"> de calificación de riesgo, efectuada por compañías calificadoras de riesgo inscritas en el Catastro Público del Mercado de Valores. Durante el tiempo de vigencia de la emisión, el emisor deberá mantener la calificación actualizada de conformidad con las n</w:t>
      </w:r>
      <w:r>
        <w:rPr>
          <w:rFonts w:eastAsia="Times New Roman"/>
          <w:sz w:val="30"/>
          <w:szCs w:val="30"/>
          <w:lang w:val="es-ES"/>
        </w:rPr>
        <w:t>ormas que para el efecto expida el C.N.V.</w:t>
      </w:r>
    </w:p>
    <w:p w:rsidR="00000000" w:rsidRDefault="0018461E">
      <w:pPr>
        <w:divId w:val="1075317251"/>
        <w:rPr>
          <w:rFonts w:eastAsia="Times New Roman"/>
          <w:sz w:val="30"/>
          <w:szCs w:val="30"/>
          <w:lang w:val="es-ES"/>
        </w:rPr>
      </w:pPr>
      <w:r>
        <w:rPr>
          <w:rFonts w:eastAsia="Times New Roman"/>
          <w:b/>
          <w:bCs/>
          <w:sz w:val="30"/>
          <w:szCs w:val="30"/>
          <w:lang w:val="es-ES"/>
        </w:rPr>
        <w:t xml:space="preserve">Art. 162.- De la garantía.- </w:t>
      </w:r>
      <w:r>
        <w:rPr>
          <w:rFonts w:eastAsia="Times New Roman"/>
          <w:sz w:val="30"/>
          <w:szCs w:val="30"/>
          <w:lang w:val="es-ES"/>
        </w:rPr>
        <w:t>Toda emisión estará amparada por garantía general y además podrá contar con garantía específica. Las garantías específicas podrán asegurar el pago del capital, de los intereses parcial o</w:t>
      </w:r>
      <w:r>
        <w:rPr>
          <w:rFonts w:eastAsia="Times New Roman"/>
          <w:sz w:val="30"/>
          <w:szCs w:val="30"/>
          <w:lang w:val="es-ES"/>
        </w:rPr>
        <w:t xml:space="preserve"> totalmente, o de ambos.</w:t>
      </w:r>
      <w:r>
        <w:rPr>
          <w:rFonts w:eastAsia="Times New Roman"/>
          <w:sz w:val="30"/>
          <w:szCs w:val="30"/>
          <w:lang w:val="es-ES"/>
        </w:rPr>
        <w:br/>
      </w:r>
      <w:r>
        <w:rPr>
          <w:rFonts w:eastAsia="Times New Roman"/>
          <w:sz w:val="30"/>
          <w:szCs w:val="30"/>
          <w:lang w:val="es-ES"/>
        </w:rPr>
        <w:br/>
        <w:t>Por garantía general se entiende la totalidad de los activos no gravados del emisor que no estén afectados por una garantía específica de conformidad con las normas que para el efecto determine el C.N.V.</w:t>
      </w:r>
      <w:r>
        <w:rPr>
          <w:rFonts w:eastAsia="Times New Roman"/>
          <w:sz w:val="30"/>
          <w:szCs w:val="30"/>
          <w:lang w:val="es-ES"/>
        </w:rPr>
        <w:br/>
      </w:r>
      <w:r>
        <w:rPr>
          <w:rFonts w:eastAsia="Times New Roman"/>
          <w:sz w:val="30"/>
          <w:szCs w:val="30"/>
          <w:lang w:val="es-ES"/>
        </w:rPr>
        <w:br/>
        <w:t>Por garantía específica s</w:t>
      </w:r>
      <w:r>
        <w:rPr>
          <w:rFonts w:eastAsia="Times New Roman"/>
          <w:sz w:val="30"/>
          <w:szCs w:val="30"/>
          <w:lang w:val="es-ES"/>
        </w:rPr>
        <w:t>e entiende aquella de carácter real o personal, que garantiza obligaciones para asegurar el pago del capital, de los intereses o de ambos.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Admítese como garantía específica, la consistente en valores o en obligaciones ejecutivas de terceros distintos del </w:t>
      </w:r>
      <w:r>
        <w:rPr>
          <w:rFonts w:eastAsia="Times New Roman"/>
          <w:sz w:val="30"/>
          <w:szCs w:val="30"/>
          <w:lang w:val="es-ES"/>
        </w:rPr>
        <w:t>emisor o en flujo de fondos predeterminado o específico. En estos casos, los valores deberán depositarse en el depósito centralizado de compensación y liquidación; y, de consistir en flujos de fondos fideicomisar los mismos.</w:t>
      </w:r>
      <w:r>
        <w:rPr>
          <w:rFonts w:eastAsia="Times New Roman"/>
          <w:sz w:val="30"/>
          <w:szCs w:val="30"/>
          <w:lang w:val="es-ES"/>
        </w:rPr>
        <w:br/>
      </w:r>
      <w:r>
        <w:rPr>
          <w:rFonts w:eastAsia="Times New Roman"/>
          <w:sz w:val="30"/>
          <w:szCs w:val="30"/>
          <w:lang w:val="es-ES"/>
        </w:rPr>
        <w:br/>
        <w:t xml:space="preserve">Si la garantía consistiere en </w:t>
      </w:r>
      <w:r>
        <w:rPr>
          <w:rFonts w:eastAsia="Times New Roman"/>
          <w:sz w:val="30"/>
          <w:szCs w:val="30"/>
          <w:lang w:val="es-ES"/>
        </w:rPr>
        <w:t>prenda, hipoteca, la entrega de la cosa empeñada, en su caso, se hará a favor del representante de obligacionistas o de quien éstos designen. La constitución de la prenda se hará de acuerdo a las disposiciones del Código de Comercio.</w:t>
      </w:r>
      <w:r>
        <w:rPr>
          <w:rFonts w:eastAsia="Times New Roman"/>
          <w:sz w:val="30"/>
          <w:szCs w:val="30"/>
          <w:lang w:val="es-ES"/>
        </w:rPr>
        <w:br/>
      </w:r>
      <w:r>
        <w:rPr>
          <w:rFonts w:eastAsia="Times New Roman"/>
          <w:sz w:val="30"/>
          <w:szCs w:val="30"/>
          <w:lang w:val="es-ES"/>
        </w:rPr>
        <w:br/>
        <w:t>El C.N.V., regulará l</w:t>
      </w:r>
      <w:r>
        <w:rPr>
          <w:rFonts w:eastAsia="Times New Roman"/>
          <w:sz w:val="30"/>
          <w:szCs w:val="30"/>
          <w:lang w:val="es-ES"/>
        </w:rPr>
        <w:t>os montos máximos de emisión de obligaciones en relación con el tipo de garantías y determinará qué otro tipo de garantías pueden ser aceptadas.</w:t>
      </w:r>
    </w:p>
    <w:p w:rsidR="00000000" w:rsidRDefault="0018461E">
      <w:pPr>
        <w:divId w:val="685983990"/>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Garantía de las obligaciones sindicadas.-</w:t>
      </w:r>
      <w:r>
        <w:rPr>
          <w:rFonts w:eastAsia="Times New Roman"/>
          <w:sz w:val="30"/>
          <w:szCs w:val="30"/>
          <w:lang w:val="es-ES"/>
        </w:rPr>
        <w:t xml:space="preserve"> (Agregado por el Art. 63 de la Ley s/n, R.O. 249-S, 20-V-2014).-</w:t>
      </w:r>
      <w:r>
        <w:rPr>
          <w:rFonts w:eastAsia="Times New Roman"/>
          <w:sz w:val="30"/>
          <w:szCs w:val="30"/>
          <w:lang w:val="es-ES"/>
        </w:rPr>
        <w:t xml:space="preserve"> Para el caso de emisiones de obligaciones sindicadas, se requerirá de garantía general y específica que respalden la emisión. Las garantías específicas de todos los emisores que forman parte del proceso de sindicación, serán solidarias.</w:t>
      </w:r>
      <w:r>
        <w:rPr>
          <w:rFonts w:eastAsia="Times New Roman"/>
          <w:sz w:val="30"/>
          <w:szCs w:val="30"/>
          <w:lang w:val="es-ES"/>
        </w:rPr>
        <w:br/>
      </w:r>
      <w:r>
        <w:rPr>
          <w:rFonts w:eastAsia="Times New Roman"/>
          <w:sz w:val="30"/>
          <w:szCs w:val="30"/>
          <w:lang w:val="es-ES"/>
        </w:rPr>
        <w:br/>
        <w:t>La escritura públ</w:t>
      </w:r>
      <w:r>
        <w:rPr>
          <w:rFonts w:eastAsia="Times New Roman"/>
          <w:sz w:val="30"/>
          <w:szCs w:val="30"/>
          <w:lang w:val="es-ES"/>
        </w:rPr>
        <w:t>ica de la emisión contendrá el convenio de sindicación en el cual se determinará la responsabilidad solidaria de los partícipes de la emisión y todos los requisitos esenciales que para el efecto dicte la Junta de Regulación del Mercado.</w:t>
      </w:r>
      <w:r>
        <w:rPr>
          <w:rFonts w:eastAsia="Times New Roman"/>
          <w:sz w:val="30"/>
          <w:szCs w:val="30"/>
          <w:lang w:val="es-ES"/>
        </w:rPr>
        <w:br/>
      </w:r>
      <w:r>
        <w:rPr>
          <w:rFonts w:eastAsia="Times New Roman"/>
          <w:sz w:val="30"/>
          <w:szCs w:val="30"/>
          <w:lang w:val="es-ES"/>
        </w:rPr>
        <w:br/>
        <w:t xml:space="preserve">Quedan prohibidas </w:t>
      </w:r>
      <w:r>
        <w:rPr>
          <w:rFonts w:eastAsia="Times New Roman"/>
          <w:sz w:val="30"/>
          <w:szCs w:val="30"/>
          <w:lang w:val="es-ES"/>
        </w:rPr>
        <w:t>las emisiones de obligaciones sindicadas convertibles en acciones.</w:t>
      </w:r>
    </w:p>
    <w:p w:rsidR="00000000" w:rsidRDefault="0018461E">
      <w:pPr>
        <w:divId w:val="322781789"/>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De la disposición, sustitución o cancelación de garantías.- </w:t>
      </w:r>
      <w:r>
        <w:rPr>
          <w:rFonts w:eastAsia="Times New Roman"/>
          <w:sz w:val="30"/>
          <w:szCs w:val="30"/>
          <w:lang w:val="es-ES"/>
        </w:rPr>
        <w:t>(Reformado por la Disposición Reformatoria Décima Séptima, num. 1 del Código Orgánico Monetario y Financiero; R.O. 332</w:t>
      </w:r>
      <w:r>
        <w:rPr>
          <w:rFonts w:eastAsia="Times New Roman"/>
          <w:sz w:val="30"/>
          <w:szCs w:val="30"/>
          <w:lang w:val="es-ES"/>
        </w:rPr>
        <w:t>-2S, 12-IX-2014).- Sin perjuicio de lo que estipule respecto de la cancelación o sustitución de las garantías que se hayan establecido en la escritura pública de emisión, la emisora podrá previa autorización del representante de los obligacionistas, dispon</w:t>
      </w:r>
      <w:r>
        <w:rPr>
          <w:rFonts w:eastAsia="Times New Roman"/>
          <w:sz w:val="30"/>
          <w:szCs w:val="30"/>
          <w:lang w:val="es-ES"/>
        </w:rPr>
        <w:t>er de las garantías otorgadas, en proporción a la redención que fuere haciendo de las obligaciones emitidas, igualmente podrá sustituir o cambiar las garantías constituidas, las mismas que constarán en escritura pública, con la aceptación del representante</w:t>
      </w:r>
      <w:r>
        <w:rPr>
          <w:rFonts w:eastAsia="Times New Roman"/>
          <w:sz w:val="30"/>
          <w:szCs w:val="30"/>
          <w:lang w:val="es-ES"/>
        </w:rPr>
        <w:t xml:space="preserve"> de los obligacionistas y de la </w:t>
      </w:r>
      <w:r>
        <w:rPr>
          <w:rFonts w:eastAsia="Times New Roman"/>
          <w:sz w:val="30"/>
          <w:szCs w:val="30"/>
          <w:lang w:val="es-ES"/>
        </w:rPr>
        <w:lastRenderedPageBreak/>
        <w:t>Superintendencia de Compañías.</w:t>
      </w:r>
      <w:r>
        <w:rPr>
          <w:rFonts w:eastAsia="Times New Roman"/>
          <w:sz w:val="30"/>
          <w:szCs w:val="30"/>
          <w:lang w:val="es-ES"/>
        </w:rPr>
        <w:br/>
      </w:r>
      <w:r>
        <w:rPr>
          <w:rFonts w:eastAsia="Times New Roman"/>
          <w:sz w:val="30"/>
          <w:szCs w:val="30"/>
          <w:lang w:val="es-ES"/>
        </w:rPr>
        <w:br/>
        <w:t>La disposición parcial, la sustitución de garantías deberán inscribirse en el Catastro Público del Mercado de Valores y en los demás registros públicos.</w:t>
      </w:r>
      <w:r>
        <w:rPr>
          <w:rFonts w:eastAsia="Times New Roman"/>
          <w:sz w:val="30"/>
          <w:szCs w:val="30"/>
          <w:lang w:val="es-ES"/>
        </w:rPr>
        <w:br/>
      </w:r>
      <w:r>
        <w:rPr>
          <w:rFonts w:eastAsia="Times New Roman"/>
          <w:sz w:val="30"/>
          <w:szCs w:val="30"/>
          <w:lang w:val="es-ES"/>
        </w:rPr>
        <w:br/>
        <w:t>Demostrado ante la Superintendencia de</w:t>
      </w:r>
      <w:r>
        <w:rPr>
          <w:rFonts w:eastAsia="Times New Roman"/>
          <w:sz w:val="30"/>
          <w:szCs w:val="30"/>
          <w:lang w:val="es-ES"/>
        </w:rPr>
        <w:t xml:space="preserve"> Compañías el pago de la totalidad de obligaciones de una emisión, aquella autorizará el levantamiento de la garantía real que la respalde, si la hubiere.</w:t>
      </w:r>
      <w:r>
        <w:rPr>
          <w:rFonts w:eastAsia="Times New Roman"/>
          <w:sz w:val="30"/>
          <w:szCs w:val="30"/>
          <w:lang w:val="es-ES"/>
        </w:rPr>
        <w:br/>
      </w:r>
      <w:r>
        <w:rPr>
          <w:rFonts w:eastAsia="Times New Roman"/>
          <w:sz w:val="30"/>
          <w:szCs w:val="30"/>
          <w:lang w:val="es-ES"/>
        </w:rPr>
        <w:br/>
        <w:t>Las citaciones y modificaciones relacionadas a disposición, sustitución o cancelación de garantías q</w:t>
      </w:r>
      <w:r>
        <w:rPr>
          <w:rFonts w:eastAsia="Times New Roman"/>
          <w:sz w:val="30"/>
          <w:szCs w:val="30"/>
          <w:lang w:val="es-ES"/>
        </w:rPr>
        <w:t>ue deban practicarse respecto de los acreedores hipotecarios o prendarios, se entenderán cumplidas al ponerse en conocimiento del representante de los obligacionistas.</w:t>
      </w:r>
    </w:p>
    <w:p w:rsidR="00000000" w:rsidRDefault="0018461E">
      <w:pPr>
        <w:divId w:val="67925081"/>
        <w:rPr>
          <w:rFonts w:eastAsia="Times New Roman"/>
          <w:sz w:val="30"/>
          <w:szCs w:val="30"/>
          <w:lang w:val="es-ES"/>
        </w:rPr>
      </w:pPr>
      <w:r>
        <w:rPr>
          <w:rFonts w:eastAsia="Times New Roman"/>
          <w:b/>
          <w:bCs/>
          <w:sz w:val="30"/>
          <w:szCs w:val="30"/>
          <w:lang w:val="es-ES"/>
        </w:rPr>
        <w:t>Art. 164.- Del proceso de emisión.</w:t>
      </w:r>
      <w:r>
        <w:rPr>
          <w:rFonts w:eastAsia="Times New Roman"/>
          <w:sz w:val="30"/>
          <w:szCs w:val="30"/>
          <w:lang w:val="es-ES"/>
        </w:rPr>
        <w:t>- (Reformado por el Art. 64 de la Ley s/n, R.O. 249-S,</w:t>
      </w:r>
      <w:r>
        <w:rPr>
          <w:rFonts w:eastAsia="Times New Roman"/>
          <w:sz w:val="30"/>
          <w:szCs w:val="30"/>
          <w:lang w:val="es-ES"/>
        </w:rPr>
        <w:t xml:space="preserve"> 20-V-2014).- La junta general de accionistas o de socios, según el caso, resolverá sobre la emisión de obligaciones. Podrá delegar a un órgano de administración la determinación de aquellas condiciones de la emisión que no hayan sido establecidas por ella</w:t>
      </w:r>
      <w:r>
        <w:rPr>
          <w:rFonts w:eastAsia="Times New Roman"/>
          <w:sz w:val="30"/>
          <w:szCs w:val="30"/>
          <w:lang w:val="es-ES"/>
        </w:rPr>
        <w:t>, dentro del límite autorizado.</w:t>
      </w:r>
      <w:r>
        <w:rPr>
          <w:rFonts w:eastAsia="Times New Roman"/>
          <w:sz w:val="30"/>
          <w:szCs w:val="30"/>
          <w:lang w:val="es-ES"/>
        </w:rPr>
        <w:br/>
      </w:r>
      <w:r>
        <w:rPr>
          <w:rFonts w:eastAsia="Times New Roman"/>
          <w:sz w:val="30"/>
          <w:szCs w:val="30"/>
          <w:lang w:val="es-ES"/>
        </w:rPr>
        <w:br/>
        <w:t>La emisión de obligaciones deberá efectuarse mediante escritura pública. El contrato de emisión de obligaciones deberá contener tanto las características de la emisión como los derechos y obligaciones del emisor, de los obl</w:t>
      </w:r>
      <w:r>
        <w:rPr>
          <w:rFonts w:eastAsia="Times New Roman"/>
          <w:sz w:val="30"/>
          <w:szCs w:val="30"/>
          <w:lang w:val="es-ES"/>
        </w:rPr>
        <w:t>igacionistas y de la representante de estos últimos. Dicho contrato contendrá a lo menos las siguientes menciones:</w:t>
      </w:r>
      <w:r>
        <w:rPr>
          <w:rFonts w:eastAsia="Times New Roman"/>
          <w:sz w:val="30"/>
          <w:szCs w:val="30"/>
          <w:lang w:val="es-ES"/>
        </w:rPr>
        <w:br/>
      </w:r>
      <w:r>
        <w:rPr>
          <w:rFonts w:eastAsia="Times New Roman"/>
          <w:sz w:val="30"/>
          <w:szCs w:val="30"/>
          <w:lang w:val="es-ES"/>
        </w:rPr>
        <w:br/>
        <w:t>a) Nombre y domicilio del emisor, fecha de la escritura de constitución de la compañía emisora y fecha de inscripción en el Registro Mercant</w:t>
      </w:r>
      <w:r>
        <w:rPr>
          <w:rFonts w:eastAsia="Times New Roman"/>
          <w:sz w:val="30"/>
          <w:szCs w:val="30"/>
          <w:lang w:val="es-ES"/>
        </w:rPr>
        <w:t>il, donde se inscribió;</w:t>
      </w:r>
      <w:r>
        <w:rPr>
          <w:rFonts w:eastAsia="Times New Roman"/>
          <w:sz w:val="30"/>
          <w:szCs w:val="30"/>
          <w:lang w:val="es-ES"/>
        </w:rPr>
        <w:br/>
      </w:r>
      <w:r>
        <w:rPr>
          <w:rFonts w:eastAsia="Times New Roman"/>
          <w:sz w:val="30"/>
          <w:szCs w:val="30"/>
          <w:lang w:val="es-ES"/>
        </w:rPr>
        <w:br/>
        <w:t>b) Términos y condiciones de la emisión, monto, unidad monetaria en que ésta se exprese, rendimiento, plazo, garantías, sistemas de amortización, sistemas de sorteos y rescates, lugar y fecha de pago, series de los títulos, destino</w:t>
      </w:r>
      <w:r>
        <w:rPr>
          <w:rFonts w:eastAsia="Times New Roman"/>
          <w:sz w:val="30"/>
          <w:szCs w:val="30"/>
          <w:lang w:val="es-ES"/>
        </w:rPr>
        <w:t xml:space="preserve"> detallado y descriptivo de los fondos a captar; </w:t>
      </w:r>
      <w:r>
        <w:rPr>
          <w:rFonts w:eastAsia="Times New Roman"/>
          <w:sz w:val="30"/>
          <w:szCs w:val="30"/>
          <w:lang w:val="es-ES"/>
        </w:rPr>
        <w:br/>
      </w:r>
      <w:r>
        <w:rPr>
          <w:rFonts w:eastAsia="Times New Roman"/>
          <w:sz w:val="30"/>
          <w:szCs w:val="30"/>
          <w:lang w:val="es-ES"/>
        </w:rPr>
        <w:br/>
        <w:t xml:space="preserve">c) Indicación de la garantía específica de la obligación y su constitución, si la hubiere;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d) En caso de estar representada en títulos, la indicación de ser a la orden o al portador; </w:t>
      </w:r>
      <w:r>
        <w:rPr>
          <w:rFonts w:eastAsia="Times New Roman"/>
          <w:sz w:val="30"/>
          <w:szCs w:val="30"/>
          <w:lang w:val="es-ES"/>
        </w:rPr>
        <w:br/>
      </w:r>
      <w:r>
        <w:rPr>
          <w:rFonts w:eastAsia="Times New Roman"/>
          <w:sz w:val="30"/>
          <w:szCs w:val="30"/>
          <w:lang w:val="es-ES"/>
        </w:rPr>
        <w:br/>
        <w:t xml:space="preserve">e) Procedimientos </w:t>
      </w:r>
      <w:r>
        <w:rPr>
          <w:rFonts w:eastAsia="Times New Roman"/>
          <w:sz w:val="30"/>
          <w:szCs w:val="30"/>
          <w:lang w:val="es-ES"/>
        </w:rPr>
        <w:t xml:space="preserve">de rescates anticipados, los que sólo podrán efectuarse por sorteos u otros mecanismos que garanticen un tratamiento equitativo para todos los tenedores de obligaciones; </w:t>
      </w:r>
      <w:r>
        <w:rPr>
          <w:rFonts w:eastAsia="Times New Roman"/>
          <w:sz w:val="30"/>
          <w:szCs w:val="30"/>
          <w:lang w:val="es-ES"/>
        </w:rPr>
        <w:br/>
      </w:r>
      <w:r>
        <w:rPr>
          <w:rFonts w:eastAsia="Times New Roman"/>
          <w:sz w:val="30"/>
          <w:szCs w:val="30"/>
          <w:lang w:val="es-ES"/>
        </w:rPr>
        <w:br/>
        <w:t xml:space="preserve">f) Limitaciones del endeudamiento a que se sujetará la compañía emisora; </w:t>
      </w:r>
      <w:r>
        <w:rPr>
          <w:rFonts w:eastAsia="Times New Roman"/>
          <w:sz w:val="30"/>
          <w:szCs w:val="30"/>
          <w:lang w:val="es-ES"/>
        </w:rPr>
        <w:br/>
      </w:r>
      <w:r>
        <w:rPr>
          <w:rFonts w:eastAsia="Times New Roman"/>
          <w:sz w:val="30"/>
          <w:szCs w:val="30"/>
          <w:lang w:val="es-ES"/>
        </w:rPr>
        <w:br/>
        <w:t>g) Obliga</w:t>
      </w:r>
      <w:r>
        <w:rPr>
          <w:rFonts w:eastAsia="Times New Roman"/>
          <w:sz w:val="30"/>
          <w:szCs w:val="30"/>
          <w:lang w:val="es-ES"/>
        </w:rPr>
        <w:t>ciones adicionales, limitaciones y prohibiciones a que se sujetará el emisor mientras esté vigente la emisión, en defensa de los intereses de los tenedores de obligaciones, particularmente respecto a las informaciones que deben proporcionarles en este perí</w:t>
      </w:r>
      <w:r>
        <w:rPr>
          <w:rFonts w:eastAsia="Times New Roman"/>
          <w:sz w:val="30"/>
          <w:szCs w:val="30"/>
          <w:lang w:val="es-ES"/>
        </w:rPr>
        <w:t xml:space="preserve">odo; al establecimiento de otros resguardos en favor de los obligacionistas; al mantenimiento, sustitución o renovación de activos o garantías; facultades de fiscalización otorgadas a estos acreedores y a sus representantes; </w:t>
      </w:r>
      <w:r>
        <w:rPr>
          <w:rFonts w:eastAsia="Times New Roman"/>
          <w:sz w:val="30"/>
          <w:szCs w:val="30"/>
          <w:lang w:val="es-ES"/>
        </w:rPr>
        <w:br/>
      </w:r>
      <w:r>
        <w:rPr>
          <w:rFonts w:eastAsia="Times New Roman"/>
          <w:sz w:val="30"/>
          <w:szCs w:val="30"/>
          <w:lang w:val="es-ES"/>
        </w:rPr>
        <w:br/>
        <w:t>h) Objeto de la emisión de ob</w:t>
      </w:r>
      <w:r>
        <w:rPr>
          <w:rFonts w:eastAsia="Times New Roman"/>
          <w:sz w:val="30"/>
          <w:szCs w:val="30"/>
          <w:lang w:val="es-ES"/>
        </w:rPr>
        <w:t xml:space="preserve">ligaciones; </w:t>
      </w:r>
      <w:r>
        <w:rPr>
          <w:rFonts w:eastAsia="Times New Roman"/>
          <w:sz w:val="30"/>
          <w:szCs w:val="30"/>
          <w:lang w:val="es-ES"/>
        </w:rPr>
        <w:br/>
      </w:r>
      <w:r>
        <w:rPr>
          <w:rFonts w:eastAsia="Times New Roman"/>
          <w:sz w:val="30"/>
          <w:szCs w:val="30"/>
          <w:lang w:val="es-ES"/>
        </w:rPr>
        <w:br/>
        <w:t xml:space="preserve">i) Procedimiento de elección, reemplazo, remoción, derechos, deberes y, responsabilidades de los representantes de los tenedores de obligaciones y normas relativas al funcionamiento de las asambleas de los obligacionistas; </w:t>
      </w:r>
      <w:r>
        <w:rPr>
          <w:rFonts w:eastAsia="Times New Roman"/>
          <w:sz w:val="30"/>
          <w:szCs w:val="30"/>
          <w:lang w:val="es-ES"/>
        </w:rPr>
        <w:br/>
      </w:r>
      <w:r>
        <w:rPr>
          <w:rFonts w:eastAsia="Times New Roman"/>
          <w:sz w:val="30"/>
          <w:szCs w:val="30"/>
          <w:lang w:val="es-ES"/>
        </w:rPr>
        <w:br/>
        <w:t>j) Indicación del</w:t>
      </w:r>
      <w:r>
        <w:rPr>
          <w:rFonts w:eastAsia="Times New Roman"/>
          <w:sz w:val="30"/>
          <w:szCs w:val="30"/>
          <w:lang w:val="es-ES"/>
        </w:rPr>
        <w:t xml:space="preserve"> representante de obligacionistas y determinación de su remuneración; </w:t>
      </w:r>
      <w:r>
        <w:rPr>
          <w:rFonts w:eastAsia="Times New Roman"/>
          <w:sz w:val="30"/>
          <w:szCs w:val="30"/>
          <w:lang w:val="es-ES"/>
        </w:rPr>
        <w:br/>
      </w:r>
      <w:r>
        <w:rPr>
          <w:rFonts w:eastAsia="Times New Roman"/>
          <w:sz w:val="30"/>
          <w:szCs w:val="30"/>
          <w:lang w:val="es-ES"/>
        </w:rPr>
        <w:br/>
        <w:t xml:space="preserve">k) Indicación del agente pagador y del lugar de pago de la obligación y, determinación de su remuneración; </w:t>
      </w:r>
      <w:r>
        <w:rPr>
          <w:rFonts w:eastAsia="Times New Roman"/>
          <w:sz w:val="30"/>
          <w:szCs w:val="30"/>
          <w:lang w:val="es-ES"/>
        </w:rPr>
        <w:br/>
      </w:r>
      <w:r>
        <w:rPr>
          <w:rFonts w:eastAsia="Times New Roman"/>
          <w:sz w:val="30"/>
          <w:szCs w:val="30"/>
          <w:lang w:val="es-ES"/>
        </w:rPr>
        <w:br/>
        <w:t>l) El trámite de solución de controversias que, en caso de ser judicial, se</w:t>
      </w:r>
      <w:r>
        <w:rPr>
          <w:rFonts w:eastAsia="Times New Roman"/>
          <w:sz w:val="30"/>
          <w:szCs w:val="30"/>
          <w:lang w:val="es-ES"/>
        </w:rPr>
        <w:t xml:space="preserve">rá en la vía verbal sumaria. Si, por el contrario, se ha estipulado la solución arbitral, deberá constar la correspondiente cláusula compromisoria conforme a la Ley de Arbitraje y Mediación; y, </w:t>
      </w:r>
      <w:r>
        <w:rPr>
          <w:rFonts w:eastAsia="Times New Roman"/>
          <w:sz w:val="30"/>
          <w:szCs w:val="30"/>
          <w:lang w:val="es-ES"/>
        </w:rPr>
        <w:br/>
      </w:r>
      <w:r>
        <w:rPr>
          <w:rFonts w:eastAsia="Times New Roman"/>
          <w:sz w:val="30"/>
          <w:szCs w:val="30"/>
          <w:lang w:val="es-ES"/>
        </w:rPr>
        <w:br/>
        <w:t>m) Contrato de underwriting, si lo hubiere.</w:t>
      </w:r>
      <w:r>
        <w:rPr>
          <w:rFonts w:eastAsia="Times New Roman"/>
          <w:sz w:val="30"/>
          <w:szCs w:val="30"/>
          <w:lang w:val="es-ES"/>
        </w:rPr>
        <w:br/>
      </w:r>
      <w:r>
        <w:rPr>
          <w:rFonts w:eastAsia="Times New Roman"/>
          <w:sz w:val="30"/>
          <w:szCs w:val="30"/>
          <w:lang w:val="es-ES"/>
        </w:rPr>
        <w:br/>
        <w:t>Como documentos</w:t>
      </w:r>
      <w:r>
        <w:rPr>
          <w:rFonts w:eastAsia="Times New Roman"/>
          <w:sz w:val="30"/>
          <w:szCs w:val="30"/>
          <w:lang w:val="es-ES"/>
        </w:rPr>
        <w:t xml:space="preserve"> habilitantes de la escritura de emisión se incluirán </w:t>
      </w:r>
      <w:r>
        <w:rPr>
          <w:rFonts w:eastAsia="Times New Roman"/>
          <w:sz w:val="30"/>
          <w:szCs w:val="30"/>
          <w:lang w:val="es-ES"/>
        </w:rPr>
        <w:lastRenderedPageBreak/>
        <w:t>todos aquellos que determine el C.N.V..</w:t>
      </w:r>
      <w:r>
        <w:rPr>
          <w:rFonts w:eastAsia="Times New Roman"/>
          <w:sz w:val="30"/>
          <w:szCs w:val="30"/>
          <w:lang w:val="es-ES"/>
        </w:rPr>
        <w:br/>
      </w:r>
      <w:r>
        <w:rPr>
          <w:rFonts w:eastAsia="Times New Roman"/>
          <w:sz w:val="30"/>
          <w:szCs w:val="30"/>
          <w:lang w:val="es-ES"/>
        </w:rPr>
        <w:br/>
        <w:t>La Superintendencia de Compañías y la Superintendencia de Bancos y Seguros aprobarán la emisión de obligaciones de las entidades sujetas a su respectivo control.</w:t>
      </w:r>
      <w:r>
        <w:rPr>
          <w:rFonts w:eastAsia="Times New Roman"/>
          <w:sz w:val="30"/>
          <w:szCs w:val="30"/>
          <w:lang w:val="es-ES"/>
        </w:rPr>
        <w:t xml:space="preserve"> Será atribución exclusiva de la Superintendencia de Compañías la aprobación del contenido del prospecto de oferta pública de la emisión de obligaciones, incluso cuando dicha emisión hubiere sido aprobada por la Superintendencia de Bancos y Seguros.</w:t>
      </w:r>
      <w:r>
        <w:rPr>
          <w:rFonts w:eastAsia="Times New Roman"/>
          <w:sz w:val="30"/>
          <w:szCs w:val="30"/>
          <w:lang w:val="es-ES"/>
        </w:rPr>
        <w:br/>
      </w:r>
      <w:r>
        <w:rPr>
          <w:rFonts w:eastAsia="Times New Roman"/>
          <w:sz w:val="30"/>
          <w:szCs w:val="30"/>
          <w:lang w:val="es-ES"/>
        </w:rPr>
        <w:br/>
        <w:t>Las s</w:t>
      </w:r>
      <w:r>
        <w:rPr>
          <w:rFonts w:eastAsia="Times New Roman"/>
          <w:sz w:val="30"/>
          <w:szCs w:val="30"/>
          <w:lang w:val="es-ES"/>
        </w:rPr>
        <w:t xml:space="preserve">ucursales de compañías extranjeras domiciliadas en el país, incluyendo a las instituciones financieras podrán emitir obligaciones, bajo las siguientes condiciones: </w:t>
      </w:r>
      <w:r>
        <w:rPr>
          <w:rFonts w:eastAsia="Times New Roman"/>
          <w:sz w:val="30"/>
          <w:szCs w:val="30"/>
          <w:lang w:val="es-ES"/>
        </w:rPr>
        <w:br/>
      </w:r>
      <w:r>
        <w:rPr>
          <w:rFonts w:eastAsia="Times New Roman"/>
          <w:sz w:val="30"/>
          <w:szCs w:val="30"/>
          <w:lang w:val="es-ES"/>
        </w:rPr>
        <w:br/>
        <w:t>1. Estas emisiones de obligaciones podrán estar amparadas únicamente con garantía específi</w:t>
      </w:r>
      <w:r>
        <w:rPr>
          <w:rFonts w:eastAsia="Times New Roman"/>
          <w:sz w:val="30"/>
          <w:szCs w:val="30"/>
          <w:lang w:val="es-ES"/>
        </w:rPr>
        <w:t xml:space="preserve">ca para asegurar el pago del capital e intereses; </w:t>
      </w:r>
      <w:r>
        <w:rPr>
          <w:rFonts w:eastAsia="Times New Roman"/>
          <w:sz w:val="30"/>
          <w:szCs w:val="30"/>
          <w:lang w:val="es-ES"/>
        </w:rPr>
        <w:br/>
      </w:r>
      <w:r>
        <w:rPr>
          <w:rFonts w:eastAsia="Times New Roman"/>
          <w:sz w:val="30"/>
          <w:szCs w:val="30"/>
          <w:lang w:val="es-ES"/>
        </w:rPr>
        <w:br/>
        <w:t xml:space="preserve">2. El plazo de redención de la emisión no debe exceder al de domiciliación de la sucursal emisora; </w:t>
      </w:r>
      <w:r>
        <w:rPr>
          <w:rFonts w:eastAsia="Times New Roman"/>
          <w:sz w:val="30"/>
          <w:szCs w:val="30"/>
          <w:lang w:val="es-ES"/>
        </w:rPr>
        <w:br/>
      </w:r>
      <w:r>
        <w:rPr>
          <w:rFonts w:eastAsia="Times New Roman"/>
          <w:sz w:val="30"/>
          <w:szCs w:val="30"/>
          <w:lang w:val="es-ES"/>
        </w:rPr>
        <w:br/>
        <w:t>3. La información que debe difundirse en el prospecto para la oferta pública debe incluir además de aqu</w:t>
      </w:r>
      <w:r>
        <w:rPr>
          <w:rFonts w:eastAsia="Times New Roman"/>
          <w:sz w:val="30"/>
          <w:szCs w:val="30"/>
          <w:lang w:val="es-ES"/>
        </w:rPr>
        <w:t xml:space="preserve">ella solicitada a las compañías nacionales en lo que fuera aplicable, aquella que tenga relación con la casa matriz y su apoderado en el Ecuador; </w:t>
      </w:r>
      <w:r>
        <w:rPr>
          <w:rFonts w:eastAsia="Times New Roman"/>
          <w:sz w:val="30"/>
          <w:szCs w:val="30"/>
          <w:lang w:val="es-ES"/>
        </w:rPr>
        <w:br/>
      </w:r>
      <w:r>
        <w:rPr>
          <w:rFonts w:eastAsia="Times New Roman"/>
          <w:sz w:val="30"/>
          <w:szCs w:val="30"/>
          <w:lang w:val="es-ES"/>
        </w:rPr>
        <w:br/>
        <w:t>4. El apoderado de la sucursal deberá estar domiciliado en el Ecuador, con la finalidad de atender cualquier</w:t>
      </w:r>
      <w:r>
        <w:rPr>
          <w:rFonts w:eastAsia="Times New Roman"/>
          <w:sz w:val="30"/>
          <w:szCs w:val="30"/>
          <w:lang w:val="es-ES"/>
        </w:rPr>
        <w:t xml:space="preserve"> requerimiento o notificación que deba ser dirigido a la matriz; </w:t>
      </w:r>
      <w:r>
        <w:rPr>
          <w:rFonts w:eastAsia="Times New Roman"/>
          <w:sz w:val="30"/>
          <w:szCs w:val="30"/>
          <w:lang w:val="es-ES"/>
        </w:rPr>
        <w:br/>
      </w:r>
      <w:r>
        <w:rPr>
          <w:rFonts w:eastAsia="Times New Roman"/>
          <w:sz w:val="30"/>
          <w:szCs w:val="30"/>
          <w:lang w:val="es-ES"/>
        </w:rPr>
        <w:br/>
        <w:t xml:space="preserve">5. El apoderado debe responder solidariamente por el incumplimiento de lo dispuesto en las disposiciones de esta Ley y sus normas complementarias; y, </w:t>
      </w:r>
      <w:r>
        <w:rPr>
          <w:rFonts w:eastAsia="Times New Roman"/>
          <w:sz w:val="30"/>
          <w:szCs w:val="30"/>
          <w:lang w:val="es-ES"/>
        </w:rPr>
        <w:br/>
      </w:r>
      <w:r>
        <w:rPr>
          <w:rFonts w:eastAsia="Times New Roman"/>
          <w:sz w:val="30"/>
          <w:szCs w:val="30"/>
          <w:lang w:val="es-ES"/>
        </w:rPr>
        <w:br/>
        <w:t>6. Las demás condiciones que mediante</w:t>
      </w:r>
      <w:r>
        <w:rPr>
          <w:rFonts w:eastAsia="Times New Roman"/>
          <w:sz w:val="30"/>
          <w:szCs w:val="30"/>
          <w:lang w:val="es-ES"/>
        </w:rPr>
        <w:t xml:space="preserve"> norma de carácter general determine el C.N.V.</w:t>
      </w:r>
      <w:r>
        <w:rPr>
          <w:rFonts w:eastAsia="Times New Roman"/>
          <w:sz w:val="30"/>
          <w:szCs w:val="30"/>
          <w:lang w:val="es-ES"/>
        </w:rPr>
        <w:br/>
      </w:r>
      <w:r>
        <w:rPr>
          <w:rFonts w:eastAsia="Times New Roman"/>
          <w:sz w:val="30"/>
          <w:szCs w:val="30"/>
          <w:lang w:val="es-ES"/>
        </w:rPr>
        <w:br/>
        <w:t xml:space="preserve">La emisión de obligaciones podrá dividirse en varias partes denominadas "clase", de conformidad con las normas generales que </w:t>
      </w:r>
      <w:r>
        <w:rPr>
          <w:rFonts w:eastAsia="Times New Roman"/>
          <w:sz w:val="30"/>
          <w:szCs w:val="30"/>
          <w:lang w:val="es-ES"/>
        </w:rPr>
        <w:lastRenderedPageBreak/>
        <w:t>expida al respecto la Junta de Regulación. No podrán establecerse distintos derecho</w:t>
      </w:r>
      <w:r>
        <w:rPr>
          <w:rFonts w:eastAsia="Times New Roman"/>
          <w:sz w:val="30"/>
          <w:szCs w:val="30"/>
          <w:lang w:val="es-ES"/>
        </w:rPr>
        <w:t>s dentro de una misma clase.</w:t>
      </w:r>
    </w:p>
    <w:p w:rsidR="00000000" w:rsidRDefault="0018461E">
      <w:pPr>
        <w:divId w:val="369650631"/>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Del convenio de representación.</w:t>
      </w:r>
      <w:r>
        <w:rPr>
          <w:rFonts w:eastAsia="Times New Roman"/>
          <w:sz w:val="30"/>
          <w:szCs w:val="30"/>
          <w:lang w:val="es-ES"/>
        </w:rPr>
        <w:t>- La emisora, como parte de las características de la emisión, deberá celebrar con una persona jurídica, especializada en tal objeto, un convenio de representación a fin de que ésta tom</w:t>
      </w:r>
      <w:r>
        <w:rPr>
          <w:rFonts w:eastAsia="Times New Roman"/>
          <w:sz w:val="30"/>
          <w:szCs w:val="30"/>
          <w:lang w:val="es-ES"/>
        </w:rPr>
        <w:t>e a su cargo la defensa de los derechos e intereses que colectivamente corresponda a los obligacionistas durante la vigencia de la emisión y hasta su cancelación total, dicho representante quedará sujeto a la supervisión y control de la Superintendencia de</w:t>
      </w:r>
      <w:r>
        <w:rPr>
          <w:rFonts w:eastAsia="Times New Roman"/>
          <w:sz w:val="30"/>
          <w:szCs w:val="30"/>
          <w:lang w:val="es-ES"/>
        </w:rPr>
        <w:t xml:space="preserve"> Compañías, en cuanto a su calidad de representante.</w:t>
      </w:r>
      <w:r>
        <w:rPr>
          <w:rFonts w:eastAsia="Times New Roman"/>
          <w:sz w:val="30"/>
          <w:szCs w:val="30"/>
          <w:lang w:val="es-ES"/>
        </w:rPr>
        <w:br/>
      </w:r>
      <w:r>
        <w:rPr>
          <w:rFonts w:eastAsia="Times New Roman"/>
          <w:sz w:val="30"/>
          <w:szCs w:val="30"/>
          <w:lang w:val="es-ES"/>
        </w:rPr>
        <w:br/>
        <w:t>El representante legal de la persona jurídica que sea representante de los obligacionistas deberá asumir responsabilidad solidaria con ésta.</w:t>
      </w:r>
      <w:r>
        <w:rPr>
          <w:rFonts w:eastAsia="Times New Roman"/>
          <w:sz w:val="30"/>
          <w:szCs w:val="30"/>
          <w:lang w:val="es-ES"/>
        </w:rPr>
        <w:br/>
      </w:r>
      <w:r>
        <w:rPr>
          <w:rFonts w:eastAsia="Times New Roman"/>
          <w:sz w:val="30"/>
          <w:szCs w:val="30"/>
          <w:lang w:val="es-ES"/>
        </w:rPr>
        <w:br/>
        <w:t>El representante de obligacionistas no podrá mantener ningún</w:t>
      </w:r>
      <w:r>
        <w:rPr>
          <w:rFonts w:eastAsia="Times New Roman"/>
          <w:sz w:val="30"/>
          <w:szCs w:val="30"/>
          <w:lang w:val="es-ES"/>
        </w:rPr>
        <w:t xml:space="preserve"> tipo de vínculo con la emisora, el asesor, agente pagador, garante, ni compañías relacionadas por gestión, propiedad o administración del emisor. Actuará por el bien y defensa de los obligacionistas, respondiendo hasta por culpa leve, para lo cual podrá i</w:t>
      </w:r>
      <w:r>
        <w:rPr>
          <w:rFonts w:eastAsia="Times New Roman"/>
          <w:sz w:val="30"/>
          <w:szCs w:val="30"/>
          <w:lang w:val="es-ES"/>
        </w:rPr>
        <w:t>mponer condiciones al emisor, solicitar la conformación de un fondo de amortización, demandar a la emisora, solicitar a los jueces competentes la subasta de la propiedad prendada u otros actos contemplados en la ley.</w:t>
      </w:r>
      <w:r>
        <w:rPr>
          <w:rFonts w:eastAsia="Times New Roman"/>
          <w:sz w:val="30"/>
          <w:szCs w:val="30"/>
          <w:lang w:val="es-ES"/>
        </w:rPr>
        <w:br/>
      </w:r>
      <w:r>
        <w:rPr>
          <w:rFonts w:eastAsia="Times New Roman"/>
          <w:sz w:val="30"/>
          <w:szCs w:val="30"/>
          <w:lang w:val="es-ES"/>
        </w:rPr>
        <w:br/>
        <w:t>Este representante contará con todas l</w:t>
      </w:r>
      <w:r>
        <w:rPr>
          <w:rFonts w:eastAsia="Times New Roman"/>
          <w:sz w:val="30"/>
          <w:szCs w:val="30"/>
          <w:lang w:val="es-ES"/>
        </w:rPr>
        <w:t>as facultades y deberes que le otorga esta Ley y sus normas, con las otorgadas e impuestas en el contrato de emisión o por la asamblea de obligacionistas.</w:t>
      </w:r>
      <w:r>
        <w:rPr>
          <w:rFonts w:eastAsia="Times New Roman"/>
          <w:sz w:val="30"/>
          <w:szCs w:val="30"/>
          <w:lang w:val="es-ES"/>
        </w:rPr>
        <w:br/>
      </w:r>
      <w:r>
        <w:rPr>
          <w:rFonts w:eastAsia="Times New Roman"/>
          <w:sz w:val="30"/>
          <w:szCs w:val="30"/>
          <w:lang w:val="es-ES"/>
        </w:rPr>
        <w:br/>
        <w:t xml:space="preserve">Las relaciones entre los obligacionistas y su representante se regirán por las normas de esta Ley y </w:t>
      </w:r>
      <w:r>
        <w:rPr>
          <w:rFonts w:eastAsia="Times New Roman"/>
          <w:sz w:val="30"/>
          <w:szCs w:val="30"/>
          <w:lang w:val="es-ES"/>
        </w:rPr>
        <w:t>por las que expida el C.N.V., procurando su especialización en la materia. Los honorarios de este representante correrán a cargo de la emisora.</w:t>
      </w:r>
    </w:p>
    <w:p w:rsidR="00000000" w:rsidRDefault="0018461E">
      <w:pPr>
        <w:divId w:val="1468402202"/>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De la información que debe requerir el representante de obligacionistas.</w:t>
      </w:r>
      <w:r>
        <w:rPr>
          <w:rFonts w:eastAsia="Times New Roman"/>
          <w:sz w:val="30"/>
          <w:szCs w:val="30"/>
          <w:lang w:val="es-ES"/>
        </w:rPr>
        <w:t>- El representante de los obl</w:t>
      </w:r>
      <w:r>
        <w:rPr>
          <w:rFonts w:eastAsia="Times New Roman"/>
          <w:sz w:val="30"/>
          <w:szCs w:val="30"/>
          <w:lang w:val="es-ES"/>
        </w:rPr>
        <w:t>igacionistas podrá solicitar del emisor los informes que sean necesarios para una adecuada protección de los intereses de sus representados.</w:t>
      </w:r>
      <w:r>
        <w:rPr>
          <w:rFonts w:eastAsia="Times New Roman"/>
          <w:sz w:val="30"/>
          <w:szCs w:val="30"/>
          <w:lang w:val="es-ES"/>
        </w:rPr>
        <w:br/>
      </w:r>
      <w:r>
        <w:rPr>
          <w:rFonts w:eastAsia="Times New Roman"/>
          <w:sz w:val="30"/>
          <w:szCs w:val="30"/>
          <w:lang w:val="es-ES"/>
        </w:rPr>
        <w:br/>
        <w:t xml:space="preserve">Por otra parte, el emisor estará obligado a entregar a dicha representante la información pública que proporciona </w:t>
      </w:r>
      <w:r>
        <w:rPr>
          <w:rFonts w:eastAsia="Times New Roman"/>
          <w:sz w:val="30"/>
          <w:szCs w:val="30"/>
          <w:lang w:val="es-ES"/>
        </w:rPr>
        <w:t xml:space="preserve">a la </w:t>
      </w:r>
      <w:r>
        <w:rPr>
          <w:rFonts w:eastAsia="Times New Roman"/>
          <w:sz w:val="30"/>
          <w:szCs w:val="30"/>
          <w:lang w:val="es-ES"/>
        </w:rPr>
        <w:lastRenderedPageBreak/>
        <w:t>Superintendencia de Compañías, en la misma forma y periodicidad. También la compañía emisora deberá informarle de toda situación que implique el incumplimiento de las condiciones del contrato de emisión, tan pronto como ello ocurra.</w:t>
      </w:r>
    </w:p>
    <w:p w:rsidR="00000000" w:rsidRDefault="0018461E">
      <w:pPr>
        <w:divId w:val="2139758717"/>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De las </w:t>
      </w:r>
      <w:r>
        <w:rPr>
          <w:rFonts w:eastAsia="Times New Roman"/>
          <w:b/>
          <w:bCs/>
          <w:sz w:val="30"/>
          <w:szCs w:val="30"/>
          <w:lang w:val="es-ES"/>
        </w:rPr>
        <w:t xml:space="preserve">obligaciones del representante de obligacionistas.- </w:t>
      </w:r>
      <w:r>
        <w:rPr>
          <w:rFonts w:eastAsia="Times New Roman"/>
          <w:sz w:val="30"/>
          <w:szCs w:val="30"/>
          <w:lang w:val="es-ES"/>
        </w:rPr>
        <w:t>Serán obligaciones especiales de los representantes de los obligacionistas las siguientes:</w:t>
      </w:r>
      <w:r>
        <w:rPr>
          <w:rFonts w:eastAsia="Times New Roman"/>
          <w:sz w:val="30"/>
          <w:szCs w:val="30"/>
          <w:lang w:val="es-ES"/>
        </w:rPr>
        <w:br/>
      </w:r>
      <w:r>
        <w:rPr>
          <w:rFonts w:eastAsia="Times New Roman"/>
          <w:sz w:val="30"/>
          <w:szCs w:val="30"/>
          <w:lang w:val="es-ES"/>
        </w:rPr>
        <w:br/>
        <w:t>a) Verificar el cumplimiento por parte del emisor, de las cláusulas, términos y demás obligaciones contraídas en</w:t>
      </w:r>
      <w:r>
        <w:rPr>
          <w:rFonts w:eastAsia="Times New Roman"/>
          <w:sz w:val="30"/>
          <w:szCs w:val="30"/>
          <w:lang w:val="es-ES"/>
        </w:rPr>
        <w:t xml:space="preserve"> el contrato de emisión; </w:t>
      </w:r>
      <w:r>
        <w:rPr>
          <w:rFonts w:eastAsia="Times New Roman"/>
          <w:sz w:val="30"/>
          <w:szCs w:val="30"/>
          <w:lang w:val="es-ES"/>
        </w:rPr>
        <w:br/>
      </w:r>
      <w:r>
        <w:rPr>
          <w:rFonts w:eastAsia="Times New Roman"/>
          <w:sz w:val="30"/>
          <w:szCs w:val="30"/>
          <w:lang w:val="es-ES"/>
        </w:rPr>
        <w:br/>
        <w:t xml:space="preserve">b) Informar respecto del cumplimiento de cláusulas y obligaciones por parte del emisor a los obligacionistas y a la Superintendencia de Compañías, con la periodicidad que ésta señale; </w:t>
      </w:r>
      <w:r>
        <w:rPr>
          <w:rFonts w:eastAsia="Times New Roman"/>
          <w:sz w:val="30"/>
          <w:szCs w:val="30"/>
          <w:lang w:val="es-ES"/>
        </w:rPr>
        <w:br/>
      </w:r>
      <w:r>
        <w:rPr>
          <w:rFonts w:eastAsia="Times New Roman"/>
          <w:sz w:val="30"/>
          <w:szCs w:val="30"/>
          <w:lang w:val="es-ES"/>
        </w:rPr>
        <w:br/>
        <w:t>c) Verificar periódicamente el uso de los f</w:t>
      </w:r>
      <w:r>
        <w:rPr>
          <w:rFonts w:eastAsia="Times New Roman"/>
          <w:sz w:val="30"/>
          <w:szCs w:val="30"/>
          <w:lang w:val="es-ES"/>
        </w:rPr>
        <w:t xml:space="preserve">ondos declarados por el emisor, en la forma y conforme a lo establecido en el contrato de emisión; </w:t>
      </w:r>
      <w:r>
        <w:rPr>
          <w:rFonts w:eastAsia="Times New Roman"/>
          <w:sz w:val="30"/>
          <w:szCs w:val="30"/>
          <w:lang w:val="es-ES"/>
        </w:rPr>
        <w:br/>
      </w:r>
      <w:r>
        <w:rPr>
          <w:rFonts w:eastAsia="Times New Roman"/>
          <w:sz w:val="30"/>
          <w:szCs w:val="30"/>
          <w:lang w:val="es-ES"/>
        </w:rPr>
        <w:br/>
        <w:t>d) Velar por el pago equitativo y oportuno a todos los obligacionistas, de los correspondientes intereses, amortizaciones y reajustes de las obligaciones s</w:t>
      </w:r>
      <w:r>
        <w:rPr>
          <w:rFonts w:eastAsia="Times New Roman"/>
          <w:sz w:val="30"/>
          <w:szCs w:val="30"/>
          <w:lang w:val="es-ES"/>
        </w:rPr>
        <w:t xml:space="preserve">orteadas o vencidas, pudiendo actuar como agente pagador en caso de haberlo convenido con la compañía emisora; </w:t>
      </w:r>
      <w:r>
        <w:rPr>
          <w:rFonts w:eastAsia="Times New Roman"/>
          <w:sz w:val="30"/>
          <w:szCs w:val="30"/>
          <w:lang w:val="es-ES"/>
        </w:rPr>
        <w:br/>
      </w:r>
      <w:r>
        <w:rPr>
          <w:rFonts w:eastAsia="Times New Roman"/>
          <w:sz w:val="30"/>
          <w:szCs w:val="30"/>
          <w:lang w:val="es-ES"/>
        </w:rPr>
        <w:br/>
        <w:t xml:space="preserve">e) Acordar con el emisor las reformas específicas al contrato de emisión que hubiera autorizado la junta de obligacionistas; </w:t>
      </w:r>
      <w:r>
        <w:rPr>
          <w:rFonts w:eastAsia="Times New Roman"/>
          <w:sz w:val="30"/>
          <w:szCs w:val="30"/>
          <w:lang w:val="es-ES"/>
        </w:rPr>
        <w:br/>
      </w:r>
      <w:r>
        <w:rPr>
          <w:rFonts w:eastAsia="Times New Roman"/>
          <w:sz w:val="30"/>
          <w:szCs w:val="30"/>
          <w:lang w:val="es-ES"/>
        </w:rPr>
        <w:br/>
        <w:t>f) Elaborar el i</w:t>
      </w:r>
      <w:r>
        <w:rPr>
          <w:rFonts w:eastAsia="Times New Roman"/>
          <w:sz w:val="30"/>
          <w:szCs w:val="30"/>
          <w:lang w:val="es-ES"/>
        </w:rPr>
        <w:t xml:space="preserve">nforme de gestión para ponerlo a consideración de la asamblea de obligacionistas; y, </w:t>
      </w:r>
      <w:r>
        <w:rPr>
          <w:rFonts w:eastAsia="Times New Roman"/>
          <w:sz w:val="30"/>
          <w:szCs w:val="30"/>
          <w:lang w:val="es-ES"/>
        </w:rPr>
        <w:br/>
      </w:r>
      <w:r>
        <w:rPr>
          <w:rFonts w:eastAsia="Times New Roman"/>
          <w:sz w:val="30"/>
          <w:szCs w:val="30"/>
          <w:lang w:val="es-ES"/>
        </w:rPr>
        <w:br/>
        <w:t>g) Ejercer las demás funciones y atribuciones que establezca el contrato de emisión.</w:t>
      </w:r>
    </w:p>
    <w:p w:rsidR="00000000" w:rsidRDefault="0018461E">
      <w:pPr>
        <w:divId w:val="1869414685"/>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De las asambleas de obligacionistas y su constitución.- </w:t>
      </w:r>
      <w:r>
        <w:rPr>
          <w:rFonts w:eastAsia="Times New Roman"/>
          <w:sz w:val="30"/>
          <w:szCs w:val="30"/>
          <w:lang w:val="es-ES"/>
        </w:rPr>
        <w:t>La asamblea de ob</w:t>
      </w:r>
      <w:r>
        <w:rPr>
          <w:rFonts w:eastAsia="Times New Roman"/>
          <w:sz w:val="30"/>
          <w:szCs w:val="30"/>
          <w:lang w:val="es-ES"/>
        </w:rPr>
        <w:t>ligacionistas está constituida por los tenedores de cada emisión de obligaciones.</w:t>
      </w:r>
      <w:r>
        <w:rPr>
          <w:rFonts w:eastAsia="Times New Roman"/>
          <w:sz w:val="30"/>
          <w:szCs w:val="30"/>
          <w:lang w:val="es-ES"/>
        </w:rPr>
        <w:br/>
      </w:r>
      <w:r>
        <w:rPr>
          <w:rFonts w:eastAsia="Times New Roman"/>
          <w:sz w:val="30"/>
          <w:szCs w:val="30"/>
          <w:lang w:val="es-ES"/>
        </w:rPr>
        <w:br/>
        <w:t xml:space="preserve">Corresponde a la asamblea de obligacionistas: </w:t>
      </w:r>
      <w:r>
        <w:rPr>
          <w:rFonts w:eastAsia="Times New Roman"/>
          <w:sz w:val="30"/>
          <w:szCs w:val="30"/>
          <w:lang w:val="es-ES"/>
        </w:rPr>
        <w:br/>
      </w:r>
      <w:r>
        <w:rPr>
          <w:rFonts w:eastAsia="Times New Roman"/>
          <w:sz w:val="30"/>
          <w:szCs w:val="30"/>
          <w:lang w:val="es-ES"/>
        </w:rPr>
        <w:br/>
        <w:t xml:space="preserve">a) Aprobar el informe de gestión del representante de los obligacionistas, sobre el cumplimiento de sus obligaciones; </w:t>
      </w:r>
      <w:r>
        <w:rPr>
          <w:rFonts w:eastAsia="Times New Roman"/>
          <w:sz w:val="30"/>
          <w:szCs w:val="30"/>
          <w:lang w:val="es-ES"/>
        </w:rPr>
        <w:br/>
      </w:r>
      <w:r>
        <w:rPr>
          <w:rFonts w:eastAsia="Times New Roman"/>
          <w:sz w:val="30"/>
          <w:szCs w:val="30"/>
          <w:lang w:val="es-ES"/>
        </w:rPr>
        <w:lastRenderedPageBreak/>
        <w:br/>
        <w:t>b) De</w:t>
      </w:r>
      <w:r>
        <w:rPr>
          <w:rFonts w:eastAsia="Times New Roman"/>
          <w:sz w:val="30"/>
          <w:szCs w:val="30"/>
          <w:lang w:val="es-ES"/>
        </w:rPr>
        <w:t xml:space="preserve">signar nuevo representante de los obligacionistas, si lo estimare conveniente; </w:t>
      </w:r>
      <w:r>
        <w:rPr>
          <w:rFonts w:eastAsia="Times New Roman"/>
          <w:sz w:val="30"/>
          <w:szCs w:val="30"/>
          <w:lang w:val="es-ES"/>
        </w:rPr>
        <w:br/>
      </w:r>
      <w:r>
        <w:rPr>
          <w:rFonts w:eastAsia="Times New Roman"/>
          <w:sz w:val="30"/>
          <w:szCs w:val="30"/>
          <w:lang w:val="es-ES"/>
        </w:rPr>
        <w:br/>
        <w:t xml:space="preserve">c) Confirmar al representante de los obligacionistas designado por el emisor en la escritura del contrato de emisión, si lo estimare conveniente; y, </w:t>
      </w:r>
      <w:r>
        <w:rPr>
          <w:rFonts w:eastAsia="Times New Roman"/>
          <w:sz w:val="30"/>
          <w:szCs w:val="30"/>
          <w:lang w:val="es-ES"/>
        </w:rPr>
        <w:br/>
      </w:r>
      <w:r>
        <w:rPr>
          <w:rFonts w:eastAsia="Times New Roman"/>
          <w:sz w:val="30"/>
          <w:szCs w:val="30"/>
          <w:lang w:val="es-ES"/>
        </w:rPr>
        <w:br/>
        <w:t>d) Autorizar modificacio</w:t>
      </w:r>
      <w:r>
        <w:rPr>
          <w:rFonts w:eastAsia="Times New Roman"/>
          <w:sz w:val="30"/>
          <w:szCs w:val="30"/>
          <w:lang w:val="es-ES"/>
        </w:rPr>
        <w:t>nes al contrato de emisión propuestas por el emisor, con los dos tercios de los votos pertenecientes a los instrumentos de la emisión correspondiente y, que no fueran de aquellas en que el representante de obligacionistas tiene facultades propias.</w:t>
      </w:r>
      <w:r>
        <w:rPr>
          <w:rFonts w:eastAsia="Times New Roman"/>
          <w:sz w:val="30"/>
          <w:szCs w:val="30"/>
          <w:lang w:val="es-ES"/>
        </w:rPr>
        <w:br/>
      </w:r>
      <w:r>
        <w:rPr>
          <w:rFonts w:eastAsia="Times New Roman"/>
          <w:sz w:val="30"/>
          <w:szCs w:val="30"/>
          <w:lang w:val="es-ES"/>
        </w:rPr>
        <w:br/>
        <w:t>Se requ</w:t>
      </w:r>
      <w:r>
        <w:rPr>
          <w:rFonts w:eastAsia="Times New Roman"/>
          <w:sz w:val="30"/>
          <w:szCs w:val="30"/>
          <w:lang w:val="es-ES"/>
        </w:rPr>
        <w:t>erirá de la resolución unánime de los obligacionistas de la clase y emisión correspondiente, para efectuar modificaciones que afecten las tasas de interés o su forma de reajuste, el plazo y forma de amortización de capital, el plazo y forma de pago de inte</w:t>
      </w:r>
      <w:r>
        <w:rPr>
          <w:rFonts w:eastAsia="Times New Roman"/>
          <w:sz w:val="30"/>
          <w:szCs w:val="30"/>
          <w:lang w:val="es-ES"/>
        </w:rPr>
        <w:t>reses, modificación de garantías o modalidad de pago, contempladas en el contrato original.</w:t>
      </w:r>
      <w:r>
        <w:rPr>
          <w:rFonts w:eastAsia="Times New Roman"/>
          <w:sz w:val="30"/>
          <w:szCs w:val="30"/>
          <w:lang w:val="es-ES"/>
        </w:rPr>
        <w:br/>
      </w:r>
      <w:r>
        <w:rPr>
          <w:rFonts w:eastAsia="Times New Roman"/>
          <w:sz w:val="30"/>
          <w:szCs w:val="30"/>
          <w:lang w:val="es-ES"/>
        </w:rPr>
        <w:br/>
        <w:t>Los acuerdos legalmente adoptados serán de aceptación obligatoria para todos los obligacionistas de esa emisión o clase.</w:t>
      </w:r>
    </w:p>
    <w:p w:rsidR="00000000" w:rsidRDefault="0018461E">
      <w:pPr>
        <w:divId w:val="1104300023"/>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De las convocatorias a asamblea</w:t>
      </w:r>
      <w:r>
        <w:rPr>
          <w:rFonts w:eastAsia="Times New Roman"/>
          <w:b/>
          <w:bCs/>
          <w:sz w:val="30"/>
          <w:szCs w:val="30"/>
          <w:lang w:val="es-ES"/>
        </w:rPr>
        <w:t xml:space="preserve"> de obligacionistas</w:t>
      </w:r>
      <w:r>
        <w:rPr>
          <w:rFonts w:eastAsia="Times New Roman"/>
          <w:sz w:val="30"/>
          <w:szCs w:val="30"/>
          <w:lang w:val="es-ES"/>
        </w:rPr>
        <w:t>.- Se podrá convocar a las asambleas de los obligacionistas, en los siguientes casos:</w:t>
      </w:r>
      <w:r>
        <w:rPr>
          <w:rFonts w:eastAsia="Times New Roman"/>
          <w:sz w:val="30"/>
          <w:szCs w:val="30"/>
          <w:lang w:val="es-ES"/>
        </w:rPr>
        <w:br/>
      </w:r>
      <w:r>
        <w:rPr>
          <w:rFonts w:eastAsia="Times New Roman"/>
          <w:sz w:val="30"/>
          <w:szCs w:val="30"/>
          <w:lang w:val="es-ES"/>
        </w:rPr>
        <w:br/>
        <w:t xml:space="preserve">a) Cuando así lo justifique el interés de los tenedores a juicio del representante; </w:t>
      </w:r>
      <w:r>
        <w:rPr>
          <w:rFonts w:eastAsia="Times New Roman"/>
          <w:sz w:val="30"/>
          <w:szCs w:val="30"/>
          <w:lang w:val="es-ES"/>
        </w:rPr>
        <w:br/>
      </w:r>
      <w:r>
        <w:rPr>
          <w:rFonts w:eastAsia="Times New Roman"/>
          <w:sz w:val="30"/>
          <w:szCs w:val="30"/>
          <w:lang w:val="es-ES"/>
        </w:rPr>
        <w:br/>
        <w:t xml:space="preserve">b) Cuando así lo solicite el emisor; </w:t>
      </w:r>
      <w:r>
        <w:rPr>
          <w:rFonts w:eastAsia="Times New Roman"/>
          <w:sz w:val="30"/>
          <w:szCs w:val="30"/>
          <w:lang w:val="es-ES"/>
        </w:rPr>
        <w:br/>
      </w:r>
      <w:r>
        <w:rPr>
          <w:rFonts w:eastAsia="Times New Roman"/>
          <w:sz w:val="30"/>
          <w:szCs w:val="30"/>
          <w:lang w:val="es-ES"/>
        </w:rPr>
        <w:br/>
        <w:t>c) Cuando lo soliciten ob</w:t>
      </w:r>
      <w:r>
        <w:rPr>
          <w:rFonts w:eastAsia="Times New Roman"/>
          <w:sz w:val="30"/>
          <w:szCs w:val="30"/>
          <w:lang w:val="es-ES"/>
        </w:rPr>
        <w:t xml:space="preserve">ligacionistas que reúnan, a lo menos, el veinte por ciento del valor nominal de las obligaciones en circulación de la respectiva clase o emisión; y, </w:t>
      </w:r>
      <w:r>
        <w:rPr>
          <w:rFonts w:eastAsia="Times New Roman"/>
          <w:sz w:val="30"/>
          <w:szCs w:val="30"/>
          <w:lang w:val="es-ES"/>
        </w:rPr>
        <w:br/>
      </w:r>
      <w:r>
        <w:rPr>
          <w:rFonts w:eastAsia="Times New Roman"/>
          <w:sz w:val="30"/>
          <w:szCs w:val="30"/>
          <w:lang w:val="es-ES"/>
        </w:rPr>
        <w:br/>
        <w:t>d) Cuando lo requiera la Superintendencia de Compañías, con respecto a los emisores sometidos a su contro</w:t>
      </w:r>
      <w:r>
        <w:rPr>
          <w:rFonts w:eastAsia="Times New Roman"/>
          <w:sz w:val="30"/>
          <w:szCs w:val="30"/>
          <w:lang w:val="es-ES"/>
        </w:rPr>
        <w:t>l, sin perjuicio de convocarla directamente en cualquier tiempo.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En cualquiera de los casos indicados en el inciso anterior, si el representante no hubiere efectuado la convocatoria, el Superintendente de Compañías citará a la asamblea a petición escrita </w:t>
      </w:r>
      <w:r>
        <w:rPr>
          <w:rFonts w:eastAsia="Times New Roman"/>
          <w:sz w:val="30"/>
          <w:szCs w:val="30"/>
          <w:lang w:val="es-ES"/>
        </w:rPr>
        <w:t>del emisor o de los obligacionistas.</w:t>
      </w:r>
    </w:p>
    <w:p w:rsidR="00000000" w:rsidRDefault="0018461E">
      <w:pPr>
        <w:divId w:val="1653866754"/>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De la constitución de las asambleas de obligacionistas.- </w:t>
      </w:r>
      <w:r>
        <w:rPr>
          <w:rFonts w:eastAsia="Times New Roman"/>
          <w:sz w:val="30"/>
          <w:szCs w:val="30"/>
          <w:lang w:val="es-ES"/>
        </w:rPr>
        <w:t>(Reformado por el Art. 65 de la Ley s/n, R.O. 249-S, 20-V-2014; y, reformado por la Disposición Reformatoria Décima Séptima, num. 3 del Código Orgánico</w:t>
      </w:r>
      <w:r>
        <w:rPr>
          <w:rFonts w:eastAsia="Times New Roman"/>
          <w:sz w:val="30"/>
          <w:szCs w:val="30"/>
          <w:lang w:val="es-ES"/>
        </w:rPr>
        <w:t xml:space="preserve"> Monetario y Financiero; R.O. 332-2S, 12-IX-2014) La convocatoria a asamblea de obligacionistas se hará mediante un aviso publicado con ocho días de anticipación en la página web de la Superintendencia de Compañías, Valores y Seguros, informando a los obli</w:t>
      </w:r>
      <w:r>
        <w:rPr>
          <w:rFonts w:eastAsia="Times New Roman"/>
          <w:sz w:val="30"/>
          <w:szCs w:val="30"/>
          <w:lang w:val="es-ES"/>
        </w:rPr>
        <w:t>gacionistas el lugar, fecha, hora y orden del día de la Asamblea. Para el cómputo de este plazo no se contará el día de la publicación ni el de la celebración de la Asamblea.</w:t>
      </w:r>
      <w:r>
        <w:rPr>
          <w:rFonts w:eastAsia="Times New Roman"/>
          <w:sz w:val="30"/>
          <w:szCs w:val="30"/>
          <w:lang w:val="es-ES"/>
        </w:rPr>
        <w:br/>
      </w:r>
      <w:r>
        <w:rPr>
          <w:rFonts w:eastAsia="Times New Roman"/>
          <w:sz w:val="30"/>
          <w:szCs w:val="30"/>
          <w:lang w:val="es-ES"/>
        </w:rPr>
        <w:br/>
        <w:t>La asamblea podrá deliberar válidamente, en primera convocatoria, con la presenc</w:t>
      </w:r>
      <w:r>
        <w:rPr>
          <w:rFonts w:eastAsia="Times New Roman"/>
          <w:sz w:val="30"/>
          <w:szCs w:val="30"/>
          <w:lang w:val="es-ES"/>
        </w:rPr>
        <w:t>ia de obligacionistas que representen al menos el cincuenta por ciento de las obligaciones en circulación y en este caso sus decisiones se tomarán por mayoría simple, calculada en base a las obligaciones en circulación, constitutivas del quórum.</w:t>
      </w:r>
      <w:r>
        <w:rPr>
          <w:rFonts w:eastAsia="Times New Roman"/>
          <w:sz w:val="30"/>
          <w:szCs w:val="30"/>
          <w:lang w:val="es-ES"/>
        </w:rPr>
        <w:br/>
      </w:r>
      <w:r>
        <w:rPr>
          <w:rFonts w:eastAsia="Times New Roman"/>
          <w:sz w:val="30"/>
          <w:szCs w:val="30"/>
          <w:lang w:val="es-ES"/>
        </w:rPr>
        <w:br/>
        <w:t>Si no hub</w:t>
      </w:r>
      <w:r>
        <w:rPr>
          <w:rFonts w:eastAsia="Times New Roman"/>
          <w:sz w:val="30"/>
          <w:szCs w:val="30"/>
          <w:lang w:val="es-ES"/>
        </w:rPr>
        <w:t xml:space="preserve">iere quórum en la primera convocatoria, se deberá realizar una nueva convocatoria, siguiendo las mismas formalidades de la primera. En segunda convocatoria, la asamblea se instalará con los obligacionistas presentes y las decisiones se tomarán con el voto </w:t>
      </w:r>
      <w:r>
        <w:rPr>
          <w:rFonts w:eastAsia="Times New Roman"/>
          <w:sz w:val="30"/>
          <w:szCs w:val="30"/>
          <w:lang w:val="es-ES"/>
        </w:rPr>
        <w:t>favorable de las dos terceras partes de las obligaciones en circulación constitutivas del quórum.</w:t>
      </w:r>
      <w:r>
        <w:rPr>
          <w:rFonts w:eastAsia="Times New Roman"/>
          <w:sz w:val="30"/>
          <w:szCs w:val="30"/>
          <w:lang w:val="es-ES"/>
        </w:rPr>
        <w:br/>
      </w:r>
      <w:r>
        <w:rPr>
          <w:rFonts w:eastAsia="Times New Roman"/>
          <w:sz w:val="30"/>
          <w:szCs w:val="30"/>
          <w:lang w:val="es-ES"/>
        </w:rPr>
        <w:br/>
        <w:t>En todo caso, para que la comunidad de obligacionistas pueda, en primera como en segunda convocatoria, resolver la sustitución de su representante, requerirá</w:t>
      </w:r>
      <w:r>
        <w:rPr>
          <w:rFonts w:eastAsia="Times New Roman"/>
          <w:sz w:val="30"/>
          <w:szCs w:val="30"/>
          <w:lang w:val="es-ES"/>
        </w:rPr>
        <w:t xml:space="preserve"> del voto favorable de los titulares de más del cincuenta por ciento de las obligaciones en circulación.</w:t>
      </w:r>
      <w:r>
        <w:rPr>
          <w:rFonts w:eastAsia="Times New Roman"/>
          <w:sz w:val="30"/>
          <w:szCs w:val="30"/>
          <w:lang w:val="es-ES"/>
        </w:rPr>
        <w:br/>
      </w:r>
      <w:r>
        <w:rPr>
          <w:rFonts w:eastAsia="Times New Roman"/>
          <w:sz w:val="30"/>
          <w:szCs w:val="30"/>
          <w:lang w:val="es-ES"/>
        </w:rPr>
        <w:br/>
        <w:t>Podrán participar en las asambleas quienes acrediten su calidad de obligacionistas, pudiendo concurrir personalmente o mediante mandatario debidamente</w:t>
      </w:r>
      <w:r>
        <w:rPr>
          <w:rFonts w:eastAsia="Times New Roman"/>
          <w:sz w:val="30"/>
          <w:szCs w:val="30"/>
          <w:lang w:val="es-ES"/>
        </w:rPr>
        <w:t xml:space="preserve"> facultado mediante carta poder o poder otorgado ante notario.</w:t>
      </w:r>
      <w:r>
        <w:rPr>
          <w:rFonts w:eastAsia="Times New Roman"/>
          <w:sz w:val="30"/>
          <w:szCs w:val="30"/>
          <w:lang w:val="es-ES"/>
        </w:rPr>
        <w:br/>
      </w:r>
      <w:r>
        <w:rPr>
          <w:rFonts w:eastAsia="Times New Roman"/>
          <w:sz w:val="30"/>
          <w:szCs w:val="30"/>
          <w:lang w:val="es-ES"/>
        </w:rPr>
        <w:br/>
        <w:t xml:space="preserve">Los acuerdos y deliberaciones de la asamblea deberán constar en un </w:t>
      </w:r>
      <w:r>
        <w:rPr>
          <w:rFonts w:eastAsia="Times New Roman"/>
          <w:sz w:val="30"/>
          <w:szCs w:val="30"/>
          <w:lang w:val="es-ES"/>
        </w:rPr>
        <w:lastRenderedPageBreak/>
        <w:t>libro de actas especial que llevará el representante de los obligacionistas.</w:t>
      </w:r>
    </w:p>
    <w:p w:rsidR="00000000" w:rsidRDefault="0018461E">
      <w:pPr>
        <w:divId w:val="906067577"/>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w:t>
      </w:r>
      <w:r>
        <w:rPr>
          <w:rFonts w:eastAsia="Times New Roman"/>
          <w:b/>
          <w:bCs/>
          <w:sz w:val="30"/>
          <w:szCs w:val="30"/>
          <w:lang w:val="es-ES"/>
        </w:rPr>
        <w:t xml:space="preserve">De las obligaciones convertibles.- </w:t>
      </w:r>
      <w:r>
        <w:rPr>
          <w:rFonts w:eastAsia="Times New Roman"/>
          <w:sz w:val="30"/>
          <w:szCs w:val="30"/>
          <w:lang w:val="es-ES"/>
        </w:rPr>
        <w:t>La</w:t>
      </w:r>
      <w:r>
        <w:rPr>
          <w:rFonts w:eastAsia="Times New Roman"/>
          <w:sz w:val="30"/>
          <w:szCs w:val="30"/>
          <w:lang w:val="es-ES"/>
        </w:rPr>
        <w:t>s compañías anónimas, podrán emitir obligaciones convertibles en acciones, que darán derecho a su titular o tenedor para exigir alternativamente o que el emisor le pague el valor de dichas obligaciones, conforme a las disposiciones generales, o las convier</w:t>
      </w:r>
      <w:r>
        <w:rPr>
          <w:rFonts w:eastAsia="Times New Roman"/>
          <w:sz w:val="30"/>
          <w:szCs w:val="30"/>
          <w:lang w:val="es-ES"/>
        </w:rPr>
        <w:t>ta en acciones de acuerdo a las condiciones estipuladas en la escritura pública de emisión. La conversión puede efectuarse en época o fechas determinadas o en cualquier tiempo a partir de la suscripción, o desde cierta fecha o plazo.</w:t>
      </w:r>
      <w:r>
        <w:rPr>
          <w:rFonts w:eastAsia="Times New Roman"/>
          <w:sz w:val="30"/>
          <w:szCs w:val="30"/>
          <w:lang w:val="es-ES"/>
        </w:rPr>
        <w:br/>
      </w:r>
      <w:r>
        <w:rPr>
          <w:rFonts w:eastAsia="Times New Roman"/>
          <w:sz w:val="30"/>
          <w:szCs w:val="30"/>
          <w:lang w:val="es-ES"/>
        </w:rPr>
        <w:br/>
        <w:t>La resolución sobre l</w:t>
      </w:r>
      <w:r>
        <w:rPr>
          <w:rFonts w:eastAsia="Times New Roman"/>
          <w:sz w:val="30"/>
          <w:szCs w:val="30"/>
          <w:lang w:val="es-ES"/>
        </w:rPr>
        <w:t>a emisión de obligaciones convertibles implica simultáneamente la resolución de aumentar el capital de la compañía emisora por lo menos hasta el monto necesario para atender las posibles conversiones. Los accionistas tendrán derecho de preferencia de confo</w:t>
      </w:r>
      <w:r>
        <w:rPr>
          <w:rFonts w:eastAsia="Times New Roman"/>
          <w:sz w:val="30"/>
          <w:szCs w:val="30"/>
          <w:lang w:val="es-ES"/>
        </w:rPr>
        <w:t>rmidad con la Ley de Compañías, para adquirir las obligaciones convertibles que se emitan. En caso de no ejercerlo, no se podrá reclamar derecho alguno sobre las acciones que se emitan para atender el derecho de conversión.</w:t>
      </w:r>
      <w:r>
        <w:rPr>
          <w:rFonts w:eastAsia="Times New Roman"/>
          <w:sz w:val="30"/>
          <w:szCs w:val="30"/>
          <w:lang w:val="es-ES"/>
        </w:rPr>
        <w:br/>
      </w:r>
      <w:r>
        <w:rPr>
          <w:rFonts w:eastAsia="Times New Roman"/>
          <w:sz w:val="30"/>
          <w:szCs w:val="30"/>
          <w:lang w:val="es-ES"/>
        </w:rPr>
        <w:br/>
        <w:t>Para segundas y ulteriores emis</w:t>
      </w:r>
      <w:r>
        <w:rPr>
          <w:rFonts w:eastAsia="Times New Roman"/>
          <w:sz w:val="30"/>
          <w:szCs w:val="30"/>
          <w:lang w:val="es-ES"/>
        </w:rPr>
        <w:t>iones de obligaciones convertibles en acciones se respetará el derecho de preferencia de los accionistas y el derecho de los tenedores de obligaciones convertibles pertenecientes a emisiones anteriores, en la proporción que les corresponda.</w:t>
      </w:r>
    </w:p>
    <w:p w:rsidR="00000000" w:rsidRDefault="0018461E">
      <w:pPr>
        <w:divId w:val="246615398"/>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De l</w:t>
      </w:r>
      <w:r>
        <w:rPr>
          <w:rFonts w:eastAsia="Times New Roman"/>
          <w:b/>
          <w:bCs/>
          <w:sz w:val="30"/>
          <w:szCs w:val="30"/>
          <w:lang w:val="es-ES"/>
        </w:rPr>
        <w:t>a conversión.</w:t>
      </w:r>
      <w:r>
        <w:rPr>
          <w:rFonts w:eastAsia="Times New Roman"/>
          <w:sz w:val="30"/>
          <w:szCs w:val="30"/>
          <w:lang w:val="es-ES"/>
        </w:rPr>
        <w:t>- El obligacionista que ejerza la opción de conversión será considerado accionista desde que comunique por escrito su decisión a la sociedad. La sociedad deberá, de inmediato, disminuir su respectivo pasivo y aumentar su capital suscrito y pag</w:t>
      </w:r>
      <w:r>
        <w:rPr>
          <w:rFonts w:eastAsia="Times New Roman"/>
          <w:sz w:val="30"/>
          <w:szCs w:val="30"/>
          <w:lang w:val="es-ES"/>
        </w:rPr>
        <w:t>ado, asegurando el registro del obligacionista en el libro de acciones y accionistas, conforme a la Ley de Compañías.</w:t>
      </w:r>
      <w:r>
        <w:rPr>
          <w:rFonts w:eastAsia="Times New Roman"/>
          <w:sz w:val="30"/>
          <w:szCs w:val="30"/>
          <w:lang w:val="es-ES"/>
        </w:rPr>
        <w:br/>
      </w:r>
      <w:r>
        <w:rPr>
          <w:rFonts w:eastAsia="Times New Roman"/>
          <w:sz w:val="30"/>
          <w:szCs w:val="30"/>
          <w:lang w:val="es-ES"/>
        </w:rPr>
        <w:br/>
        <w:t xml:space="preserve">Periódicamente el representante legal de la emisora comunicará a la Superintendencia de Compañías los montos convertidos, de conformidad </w:t>
      </w:r>
      <w:r>
        <w:rPr>
          <w:rFonts w:eastAsia="Times New Roman"/>
          <w:sz w:val="30"/>
          <w:szCs w:val="30"/>
          <w:lang w:val="es-ES"/>
        </w:rPr>
        <w:t>a las normas que expida el C.N.V.</w:t>
      </w:r>
    </w:p>
    <w:p w:rsidR="00000000" w:rsidRDefault="0018461E">
      <w:pPr>
        <w:divId w:val="31342862"/>
        <w:rPr>
          <w:rFonts w:eastAsia="Times New Roman"/>
          <w:sz w:val="30"/>
          <w:szCs w:val="30"/>
          <w:lang w:val="es-ES"/>
        </w:rPr>
      </w:pPr>
      <w:r>
        <w:rPr>
          <w:rFonts w:eastAsia="Times New Roman"/>
          <w:sz w:val="30"/>
          <w:szCs w:val="30"/>
          <w:lang w:val="es-ES"/>
        </w:rPr>
        <w:t xml:space="preserve">Art. 173.- </w:t>
      </w:r>
      <w:r>
        <w:rPr>
          <w:rFonts w:eastAsia="Times New Roman"/>
          <w:b/>
          <w:bCs/>
          <w:sz w:val="30"/>
          <w:szCs w:val="30"/>
          <w:lang w:val="es-ES"/>
        </w:rPr>
        <w:t>Del factor de conversión.</w:t>
      </w:r>
      <w:r>
        <w:rPr>
          <w:rFonts w:eastAsia="Times New Roman"/>
          <w:sz w:val="30"/>
          <w:szCs w:val="30"/>
          <w:lang w:val="es-ES"/>
        </w:rPr>
        <w:t>- El número de acciones que se otorgue por cada obligación de una misma clase, denominado factor de conversión, deberá constar en la escritura de la emisión y, únicamente podrá ser modif</w:t>
      </w:r>
      <w:r>
        <w:rPr>
          <w:rFonts w:eastAsia="Times New Roman"/>
          <w:sz w:val="30"/>
          <w:szCs w:val="30"/>
          <w:lang w:val="es-ES"/>
        </w:rPr>
        <w:t>icado por aceptación unánime de los obligacionistas de la clase afectada y del emisor.</w:t>
      </w:r>
    </w:p>
    <w:p w:rsidR="00000000" w:rsidRDefault="0018461E">
      <w:pPr>
        <w:divId w:val="1301501558"/>
        <w:rPr>
          <w:rFonts w:eastAsia="Times New Roman"/>
          <w:sz w:val="30"/>
          <w:szCs w:val="30"/>
          <w:lang w:val="es-ES"/>
        </w:rPr>
      </w:pPr>
      <w:r>
        <w:rPr>
          <w:rFonts w:eastAsia="Times New Roman"/>
          <w:sz w:val="30"/>
          <w:szCs w:val="30"/>
          <w:lang w:val="es-ES"/>
        </w:rPr>
        <w:lastRenderedPageBreak/>
        <w:t>Art. 174.-</w:t>
      </w:r>
      <w:r>
        <w:rPr>
          <w:rFonts w:eastAsia="Times New Roman"/>
          <w:b/>
          <w:bCs/>
          <w:sz w:val="30"/>
          <w:szCs w:val="30"/>
          <w:lang w:val="es-ES"/>
        </w:rPr>
        <w:t xml:space="preserve"> De las obligaciones de corto plazo o papel comercial.</w:t>
      </w:r>
      <w:r>
        <w:rPr>
          <w:rFonts w:eastAsia="Times New Roman"/>
          <w:sz w:val="30"/>
          <w:szCs w:val="30"/>
          <w:lang w:val="es-ES"/>
        </w:rPr>
        <w:t>- (Reformado por la Disposición Reformatoria Décima Séptima, num. 1 del Código Orgánico Monetario y Finan</w:t>
      </w:r>
      <w:r>
        <w:rPr>
          <w:rFonts w:eastAsia="Times New Roman"/>
          <w:sz w:val="30"/>
          <w:szCs w:val="30"/>
          <w:lang w:val="es-ES"/>
        </w:rPr>
        <w:t>ciero; R.O. 332-2S, 12-IX-2014).- Las compañías emisoras inscritas en el Catastro Público del Mercado de Valores podrán emitir obligaciones de corto plazo con garantía general, también denominado papel comercial con plazo inferior a trescientos sesenta día</w:t>
      </w:r>
      <w:r>
        <w:rPr>
          <w:rFonts w:eastAsia="Times New Roman"/>
          <w:sz w:val="30"/>
          <w:szCs w:val="30"/>
          <w:lang w:val="es-ES"/>
        </w:rPr>
        <w:t>s. La inscripción deberá efectuarse con sujeción a las disposiciones de esta Ley y a las que establezca el C.N.V., mediante normas de aplicación general.</w:t>
      </w:r>
      <w:r>
        <w:rPr>
          <w:rFonts w:eastAsia="Times New Roman"/>
          <w:sz w:val="30"/>
          <w:szCs w:val="30"/>
          <w:lang w:val="es-ES"/>
        </w:rPr>
        <w:br/>
      </w:r>
      <w:r>
        <w:rPr>
          <w:rFonts w:eastAsia="Times New Roman"/>
          <w:sz w:val="30"/>
          <w:szCs w:val="30"/>
          <w:lang w:val="es-ES"/>
        </w:rPr>
        <w:br/>
        <w:t>Para efectuar esta oferta pública se requerirá solamente de una circular de oferta pública que conten</w:t>
      </w:r>
      <w:r>
        <w:rPr>
          <w:rFonts w:eastAsia="Times New Roman"/>
          <w:sz w:val="30"/>
          <w:szCs w:val="30"/>
          <w:lang w:val="es-ES"/>
        </w:rPr>
        <w:t>drá información legal, económica y financiera actualizada del emisor; monto de la emisión, modalidades y características de la misma; lugar y fecha de pago del capital y sus intereses; menciones que deberán tener los títulos a emitir; obligaciones adiciona</w:t>
      </w:r>
      <w:r>
        <w:rPr>
          <w:rFonts w:eastAsia="Times New Roman"/>
          <w:sz w:val="30"/>
          <w:szCs w:val="30"/>
          <w:lang w:val="es-ES"/>
        </w:rPr>
        <w:t>les de información y restricciones a las que se someterá el emisor, establecidas en el contrato de emisión; y, derechos, deberes y responsabilidades de los tenedores de papel comercial. El C.N.V., mediante norma de carácter general determinará las relacion</w:t>
      </w:r>
      <w:r>
        <w:rPr>
          <w:rFonts w:eastAsia="Times New Roman"/>
          <w:sz w:val="30"/>
          <w:szCs w:val="30"/>
          <w:lang w:val="es-ES"/>
        </w:rPr>
        <w:t>es entre el monto de emisión y la garantía.</w:t>
      </w:r>
      <w:r>
        <w:rPr>
          <w:rFonts w:eastAsia="Times New Roman"/>
          <w:sz w:val="30"/>
          <w:szCs w:val="30"/>
          <w:lang w:val="es-ES"/>
        </w:rPr>
        <w:br/>
      </w:r>
      <w:r>
        <w:rPr>
          <w:rFonts w:eastAsia="Times New Roman"/>
          <w:sz w:val="30"/>
          <w:szCs w:val="30"/>
          <w:lang w:val="es-ES"/>
        </w:rPr>
        <w:br/>
        <w:t>La oferta pública de este tipo de obligaciones no requerirá de escritura pública. El representante legal de la empresa emisora deberá incluir en la circular una certificación juramentada de la veracidad de la in</w:t>
      </w:r>
      <w:r>
        <w:rPr>
          <w:rFonts w:eastAsia="Times New Roman"/>
          <w:sz w:val="30"/>
          <w:szCs w:val="30"/>
          <w:lang w:val="es-ES"/>
        </w:rPr>
        <w:t>formación divulgada en la circular.</w:t>
      </w:r>
      <w:r>
        <w:rPr>
          <w:rFonts w:eastAsia="Times New Roman"/>
          <w:sz w:val="30"/>
          <w:szCs w:val="30"/>
          <w:lang w:val="es-ES"/>
        </w:rPr>
        <w:br/>
      </w:r>
      <w:r>
        <w:rPr>
          <w:rFonts w:eastAsia="Times New Roman"/>
          <w:sz w:val="30"/>
          <w:szCs w:val="30"/>
          <w:lang w:val="es-ES"/>
        </w:rPr>
        <w:br/>
        <w:t>Para la colocación de estos valores se deberá contar con una calificación de riesgo, realizada por compañías calificadoras de riesgo inscritas en el Catastro Público del Mercado de Valores.</w:t>
      </w:r>
    </w:p>
    <w:p w:rsidR="00000000" w:rsidRDefault="0018461E">
      <w:pPr>
        <w:divId w:val="152568901"/>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Del reembolso.</w:t>
      </w:r>
      <w:r>
        <w:rPr>
          <w:rFonts w:eastAsia="Times New Roman"/>
          <w:sz w:val="30"/>
          <w:szCs w:val="30"/>
          <w:lang w:val="es-ES"/>
        </w:rPr>
        <w:t>- La</w:t>
      </w:r>
      <w:r>
        <w:rPr>
          <w:rFonts w:eastAsia="Times New Roman"/>
          <w:sz w:val="30"/>
          <w:szCs w:val="30"/>
          <w:lang w:val="es-ES"/>
        </w:rPr>
        <w:t xml:space="preserve"> emisora deberá cubrir el importe de las obligaciones en el plazo, lugar y condiciones que consten en la escritura de emisión.</w:t>
      </w:r>
      <w:r>
        <w:rPr>
          <w:rFonts w:eastAsia="Times New Roman"/>
          <w:sz w:val="30"/>
          <w:szCs w:val="30"/>
          <w:lang w:val="es-ES"/>
        </w:rPr>
        <w:br/>
      </w:r>
      <w:r>
        <w:rPr>
          <w:rFonts w:eastAsia="Times New Roman"/>
          <w:sz w:val="30"/>
          <w:szCs w:val="30"/>
          <w:lang w:val="es-ES"/>
        </w:rPr>
        <w:br/>
        <w:t>Demostrado ante la Superintendencia de Compañías el pago de la totalidad de obligaciones de una emisión, aquella autorizará el l</w:t>
      </w:r>
      <w:r>
        <w:rPr>
          <w:rFonts w:eastAsia="Times New Roman"/>
          <w:sz w:val="30"/>
          <w:szCs w:val="30"/>
          <w:lang w:val="es-ES"/>
        </w:rPr>
        <w:t>evantamiento de la garantía real que las respalde, si la hubiere.</w:t>
      </w:r>
    </w:p>
    <w:p w:rsidR="00000000" w:rsidRDefault="0018461E">
      <w:pPr>
        <w:jc w:val="center"/>
        <w:rPr>
          <w:rFonts w:eastAsia="Times New Roman"/>
          <w:sz w:val="36"/>
          <w:szCs w:val="36"/>
          <w:lang w:val="es-ES"/>
        </w:rPr>
      </w:pPr>
      <w:r>
        <w:rPr>
          <w:rFonts w:eastAsia="Times New Roman"/>
          <w:b/>
          <w:bCs/>
          <w:sz w:val="36"/>
          <w:szCs w:val="36"/>
          <w:lang w:val="es-ES"/>
        </w:rPr>
        <w:br/>
        <w:t>Título XVIII</w:t>
      </w:r>
      <w:r>
        <w:rPr>
          <w:rFonts w:eastAsia="Times New Roman"/>
          <w:b/>
          <w:bCs/>
          <w:sz w:val="36"/>
          <w:szCs w:val="36"/>
          <w:lang w:val="es-ES"/>
        </w:rPr>
        <w:br/>
        <w:t>DE LAS CALIFICADORAS DE RIESGO</w:t>
      </w:r>
    </w:p>
    <w:p w:rsidR="00000000" w:rsidRDefault="0018461E">
      <w:pPr>
        <w:divId w:val="1276207885"/>
        <w:rPr>
          <w:rFonts w:eastAsia="Times New Roman"/>
          <w:sz w:val="30"/>
          <w:szCs w:val="30"/>
          <w:lang w:val="es-ES"/>
        </w:rPr>
      </w:pPr>
      <w:r>
        <w:rPr>
          <w:rFonts w:eastAsia="Times New Roman"/>
          <w:b/>
          <w:bCs/>
          <w:sz w:val="30"/>
          <w:szCs w:val="30"/>
          <w:lang w:val="es-ES"/>
        </w:rPr>
        <w:lastRenderedPageBreak/>
        <w:t xml:space="preserve">Art. 176.- Del objeto y constitución.- </w:t>
      </w:r>
      <w:r>
        <w:rPr>
          <w:rFonts w:eastAsia="Times New Roman"/>
          <w:sz w:val="30"/>
          <w:szCs w:val="30"/>
          <w:lang w:val="es-ES"/>
        </w:rPr>
        <w:t xml:space="preserve">(Reformado por el Art. 66 de la Ley s/n, R.O. 249-S, 20-V-2014; y, por la Disposición Reformatoria Décima </w:t>
      </w:r>
      <w:r>
        <w:rPr>
          <w:rFonts w:eastAsia="Times New Roman"/>
          <w:sz w:val="30"/>
          <w:szCs w:val="30"/>
          <w:lang w:val="es-ES"/>
        </w:rPr>
        <w:t>Séptima, nums. 2 y 3 del Código Orgánico Monetario y Financiero; R.O. 332-2S, 12-IX-2014).- Las calificadoras de riesgo son sociedades anónimas o de responsabilidad limitada autorizadas y controladas por la Superintendencia de Compañías, que tienen por obj</w:t>
      </w:r>
      <w:r>
        <w:rPr>
          <w:rFonts w:eastAsia="Times New Roman"/>
          <w:sz w:val="30"/>
          <w:szCs w:val="30"/>
          <w:lang w:val="es-ES"/>
        </w:rPr>
        <w:t>eto principal la calificación del riesgo de los valores y emisores. Estas sociedades podrán efectuar, además, las actividades complementarias con su objeto principal.</w:t>
      </w:r>
      <w:r>
        <w:rPr>
          <w:rFonts w:eastAsia="Times New Roman"/>
          <w:sz w:val="30"/>
          <w:szCs w:val="30"/>
          <w:lang w:val="es-ES"/>
        </w:rPr>
        <w:br/>
      </w:r>
      <w:r>
        <w:rPr>
          <w:rFonts w:eastAsia="Times New Roman"/>
          <w:sz w:val="30"/>
          <w:szCs w:val="30"/>
          <w:lang w:val="es-ES"/>
        </w:rPr>
        <w:br/>
        <w:t>Las calificadoras de riesgo se constituirán con un capital suscrito y pagado en su total</w:t>
      </w:r>
      <w:r>
        <w:rPr>
          <w:rFonts w:eastAsia="Times New Roman"/>
          <w:sz w:val="30"/>
          <w:szCs w:val="30"/>
          <w:lang w:val="es-ES"/>
        </w:rPr>
        <w:t>idad en numerario, cuyo monto será fijado por la Junta de Política y Regulación Monetaria y Financiera, la que además determinará las normas de solvencia, exigencia y controles que deberán observar estas sociedades. El incumplimiento de estas disposiciones</w:t>
      </w:r>
      <w:r>
        <w:rPr>
          <w:rFonts w:eastAsia="Times New Roman"/>
          <w:sz w:val="30"/>
          <w:szCs w:val="30"/>
          <w:lang w:val="es-ES"/>
        </w:rPr>
        <w:t xml:space="preserve"> reglamentarias será comunicado por las calificadoras de riesgo a la Superintendencia de Compañías,Valores y Seguros, dentro del término de cinco días de ocurrido el hecho y, deberá ser subsanado en el plazo y la forma que determine dicho organismo de cont</w:t>
      </w:r>
      <w:r>
        <w:rPr>
          <w:rFonts w:eastAsia="Times New Roman"/>
          <w:sz w:val="30"/>
          <w:szCs w:val="30"/>
          <w:lang w:val="es-ES"/>
        </w:rPr>
        <w:t>rol.</w:t>
      </w:r>
      <w:r>
        <w:rPr>
          <w:rFonts w:eastAsia="Times New Roman"/>
          <w:sz w:val="30"/>
          <w:szCs w:val="30"/>
          <w:lang w:val="es-ES"/>
        </w:rPr>
        <w:br/>
      </w:r>
      <w:r>
        <w:rPr>
          <w:rFonts w:eastAsia="Times New Roman"/>
          <w:sz w:val="30"/>
          <w:szCs w:val="30"/>
          <w:lang w:val="es-ES"/>
        </w:rPr>
        <w:br/>
        <w:t>Dichas sociedades deberán incluir en su nombre, la expresión "Calificadora de Riesgos", la que será de uso exclusivo para todas aquellas entidades que puedan desempeñarse como tales según lo establece esta Ley.</w:t>
      </w:r>
    </w:p>
    <w:p w:rsidR="00000000" w:rsidRDefault="0018461E">
      <w:pPr>
        <w:divId w:val="301348631"/>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De las facultades de las cal</w:t>
      </w:r>
      <w:r>
        <w:rPr>
          <w:rFonts w:eastAsia="Times New Roman"/>
          <w:b/>
          <w:bCs/>
          <w:sz w:val="30"/>
          <w:szCs w:val="30"/>
          <w:lang w:val="es-ES"/>
        </w:rPr>
        <w:t xml:space="preserve">ificadoras de riesgo.- </w:t>
      </w:r>
      <w:r>
        <w:rPr>
          <w:rFonts w:eastAsia="Times New Roman"/>
          <w:sz w:val="30"/>
          <w:szCs w:val="30"/>
          <w:lang w:val="es-ES"/>
        </w:rPr>
        <w:t xml:space="preserve">Las calificadoras de riesgo tendrán las siguientes facultades: </w:t>
      </w:r>
      <w:r>
        <w:rPr>
          <w:rFonts w:eastAsia="Times New Roman"/>
          <w:sz w:val="30"/>
          <w:szCs w:val="30"/>
          <w:lang w:val="es-ES"/>
        </w:rPr>
        <w:br/>
      </w:r>
      <w:r>
        <w:rPr>
          <w:rFonts w:eastAsia="Times New Roman"/>
          <w:sz w:val="30"/>
          <w:szCs w:val="30"/>
          <w:lang w:val="es-ES"/>
        </w:rPr>
        <w:br/>
        <w:t>1. Realizar la calificación de riesgo de los emisores y valores que estén autorizadas a efectuar de acuerdo a lo dispuesto en esta Ley y a las normas de carácter genera</w:t>
      </w:r>
      <w:r>
        <w:rPr>
          <w:rFonts w:eastAsia="Times New Roman"/>
          <w:sz w:val="30"/>
          <w:szCs w:val="30"/>
          <w:lang w:val="es-ES"/>
        </w:rPr>
        <w:t xml:space="preserve">l que para el efecto expida el C.N.V.; </w:t>
      </w:r>
      <w:r>
        <w:rPr>
          <w:rFonts w:eastAsia="Times New Roman"/>
          <w:sz w:val="30"/>
          <w:szCs w:val="30"/>
          <w:lang w:val="es-ES"/>
        </w:rPr>
        <w:br/>
      </w:r>
      <w:r>
        <w:rPr>
          <w:rFonts w:eastAsia="Times New Roman"/>
          <w:sz w:val="30"/>
          <w:szCs w:val="30"/>
          <w:lang w:val="es-ES"/>
        </w:rPr>
        <w:br/>
        <w:t xml:space="preserve">2. Explotar su tecnología; </w:t>
      </w:r>
      <w:r>
        <w:rPr>
          <w:rFonts w:eastAsia="Times New Roman"/>
          <w:sz w:val="30"/>
          <w:szCs w:val="30"/>
          <w:lang w:val="es-ES"/>
        </w:rPr>
        <w:br/>
      </w:r>
      <w:r>
        <w:rPr>
          <w:rFonts w:eastAsia="Times New Roman"/>
          <w:sz w:val="30"/>
          <w:szCs w:val="30"/>
          <w:lang w:val="es-ES"/>
        </w:rPr>
        <w:br/>
        <w:t>3. Las demás actividades que autorice el C.N.V., en consideración del desarrollo del mercado de valores; y,</w:t>
      </w:r>
      <w:r>
        <w:rPr>
          <w:rFonts w:eastAsia="Times New Roman"/>
          <w:sz w:val="30"/>
          <w:szCs w:val="30"/>
          <w:lang w:val="es-ES"/>
        </w:rPr>
        <w:br/>
      </w:r>
      <w:r>
        <w:rPr>
          <w:rFonts w:eastAsia="Times New Roman"/>
          <w:sz w:val="30"/>
          <w:szCs w:val="30"/>
          <w:lang w:val="es-ES"/>
        </w:rPr>
        <w:br/>
        <w:t>4. (Agregado por el Art. 67 de la Ley s/n, R.O. 249-S, 20-V-2014; y, reformad</w:t>
      </w:r>
      <w:r>
        <w:rPr>
          <w:rFonts w:eastAsia="Times New Roman"/>
          <w:sz w:val="30"/>
          <w:szCs w:val="30"/>
          <w:lang w:val="es-ES"/>
        </w:rPr>
        <w:t xml:space="preserve">o por la Disposición Reformatoria Décima Séptima, num. 2 del Código Orgánico Monetario y Financiero; R.O. 332-2S, 12-IX-2014).- Realizar la evaluación de riesgos específicos de </w:t>
      </w:r>
      <w:r>
        <w:rPr>
          <w:rFonts w:eastAsia="Times New Roman"/>
          <w:sz w:val="30"/>
          <w:szCs w:val="30"/>
          <w:lang w:val="es-ES"/>
        </w:rPr>
        <w:lastRenderedPageBreak/>
        <w:t>administradoras de fondos y fideicomisos, fiduciarios públicos, casas de valore</w:t>
      </w:r>
      <w:r>
        <w:rPr>
          <w:rFonts w:eastAsia="Times New Roman"/>
          <w:sz w:val="30"/>
          <w:szCs w:val="30"/>
          <w:lang w:val="es-ES"/>
        </w:rPr>
        <w:t>s, bolsas de valores, tales como riesgos operativos o tecnológicos, de gestión, estructura organizacional, gestión de riesgos en la administración, condición financiera y viabilidad del negocio, entre otros. Esta evaluación será obligatoria para la autoriz</w:t>
      </w:r>
      <w:r>
        <w:rPr>
          <w:rFonts w:eastAsia="Times New Roman"/>
          <w:sz w:val="30"/>
          <w:szCs w:val="30"/>
          <w:lang w:val="es-ES"/>
        </w:rPr>
        <w:t>ación de funcionamiento así como para la prestación de sus servicios de conformidad con las normas de carácter general que dicte la Junta de Política y Regulación Monetaria y Financiera.</w:t>
      </w:r>
    </w:p>
    <w:p w:rsidR="00000000" w:rsidRDefault="0018461E">
      <w:pPr>
        <w:divId w:val="210270965"/>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De las prohibiciones de las calificadoras de riesgo</w:t>
      </w:r>
      <w:r>
        <w:rPr>
          <w:rFonts w:eastAsia="Times New Roman"/>
          <w:sz w:val="30"/>
          <w:szCs w:val="30"/>
          <w:lang w:val="es-ES"/>
        </w:rPr>
        <w:t>.- (Ref</w:t>
      </w:r>
      <w:r>
        <w:rPr>
          <w:rFonts w:eastAsia="Times New Roman"/>
          <w:sz w:val="30"/>
          <w:szCs w:val="30"/>
          <w:lang w:val="es-ES"/>
        </w:rPr>
        <w:t xml:space="preserve">ormado por Art. 68 de la Ley s/n, R.O. 249-S, 20-V-2014).- Las calificadoras de riesgo tendrán las siguientes prohibiciones: </w:t>
      </w:r>
      <w:r>
        <w:rPr>
          <w:rFonts w:eastAsia="Times New Roman"/>
          <w:sz w:val="30"/>
          <w:szCs w:val="30"/>
          <w:lang w:val="es-ES"/>
        </w:rPr>
        <w:br/>
      </w:r>
      <w:r>
        <w:rPr>
          <w:rFonts w:eastAsia="Times New Roman"/>
          <w:sz w:val="30"/>
          <w:szCs w:val="30"/>
          <w:lang w:val="es-ES"/>
        </w:rPr>
        <w:br/>
        <w:t xml:space="preserve">1. Dar asesoría para realizar una determinada emisión de acciones o cualquier tipo de valor; </w:t>
      </w:r>
      <w:r>
        <w:rPr>
          <w:rFonts w:eastAsia="Times New Roman"/>
          <w:sz w:val="30"/>
          <w:szCs w:val="30"/>
          <w:lang w:val="es-ES"/>
        </w:rPr>
        <w:br/>
      </w:r>
      <w:r>
        <w:rPr>
          <w:rFonts w:eastAsia="Times New Roman"/>
          <w:sz w:val="30"/>
          <w:szCs w:val="30"/>
          <w:lang w:val="es-ES"/>
        </w:rPr>
        <w:br/>
        <w:t>2. Ser socio o accionista de las e</w:t>
      </w:r>
      <w:r>
        <w:rPr>
          <w:rFonts w:eastAsia="Times New Roman"/>
          <w:sz w:val="30"/>
          <w:szCs w:val="30"/>
          <w:lang w:val="es-ES"/>
        </w:rPr>
        <w:t xml:space="preserve">ntidades reguladas por esta Ley; </w:t>
      </w:r>
      <w:r>
        <w:rPr>
          <w:rFonts w:eastAsia="Times New Roman"/>
          <w:sz w:val="30"/>
          <w:szCs w:val="30"/>
          <w:lang w:val="es-ES"/>
        </w:rPr>
        <w:br/>
      </w:r>
      <w:r>
        <w:rPr>
          <w:rFonts w:eastAsia="Times New Roman"/>
          <w:sz w:val="30"/>
          <w:szCs w:val="30"/>
          <w:lang w:val="es-ES"/>
        </w:rPr>
        <w:br/>
        <w:t xml:space="preserve">3. Participar a cualquier título en la estructuración financiera, adquisición, fusiones y escisiones de compañías; y, </w:t>
      </w:r>
      <w:r>
        <w:rPr>
          <w:rFonts w:eastAsia="Times New Roman"/>
          <w:sz w:val="30"/>
          <w:szCs w:val="30"/>
          <w:lang w:val="es-ES"/>
        </w:rPr>
        <w:br/>
      </w:r>
      <w:r>
        <w:rPr>
          <w:rFonts w:eastAsia="Times New Roman"/>
          <w:sz w:val="30"/>
          <w:szCs w:val="30"/>
          <w:lang w:val="es-ES"/>
        </w:rPr>
        <w:br/>
        <w:t xml:space="preserve">4. Realizar las actividades expresamente asignadas a los otros entes que regula la presente Ley o la </w:t>
      </w:r>
      <w:r>
        <w:rPr>
          <w:rFonts w:eastAsia="Times New Roman"/>
          <w:sz w:val="30"/>
          <w:szCs w:val="30"/>
          <w:lang w:val="es-ES"/>
        </w:rPr>
        <w:t>Ley General de Instituciones del Sistema Financiero.</w:t>
      </w:r>
      <w:r>
        <w:rPr>
          <w:rFonts w:eastAsia="Times New Roman"/>
          <w:sz w:val="30"/>
          <w:szCs w:val="30"/>
          <w:lang w:val="es-ES"/>
        </w:rPr>
        <w:br/>
      </w:r>
      <w:r>
        <w:rPr>
          <w:rFonts w:eastAsia="Times New Roman"/>
          <w:sz w:val="30"/>
          <w:szCs w:val="30"/>
          <w:lang w:val="es-ES"/>
        </w:rPr>
        <w:br/>
        <w:t>Ninguna compañía calificadora de riesgos podrá efectuar calificaciones de riesgo por más de tres años consecutivos respecto de un mismo sujeto de calificación.</w:t>
      </w:r>
    </w:p>
    <w:p w:rsidR="00000000" w:rsidRDefault="0018461E">
      <w:pPr>
        <w:divId w:val="868488700"/>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De la independencia de otras en</w:t>
      </w:r>
      <w:r>
        <w:rPr>
          <w:rFonts w:eastAsia="Times New Roman"/>
          <w:b/>
          <w:bCs/>
          <w:sz w:val="30"/>
          <w:szCs w:val="30"/>
          <w:lang w:val="es-ES"/>
        </w:rPr>
        <w:t xml:space="preserve">tidades del mercado.- </w:t>
      </w:r>
      <w:r>
        <w:rPr>
          <w:rFonts w:eastAsia="Times New Roman"/>
          <w:sz w:val="30"/>
          <w:szCs w:val="30"/>
          <w:lang w:val="es-ES"/>
        </w:rPr>
        <w:t>Las instituciones del sistema financiero así como las reguladas por esta Ley o sus empresas vinculadas, no podrán tener directa ni indirectamente acciones ni participaciones sociales en el capital de estas sociedades.</w:t>
      </w:r>
    </w:p>
    <w:p w:rsidR="00000000" w:rsidRDefault="0018461E">
      <w:pPr>
        <w:divId w:val="1804343228"/>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Del c</w:t>
      </w:r>
      <w:r>
        <w:rPr>
          <w:rFonts w:eastAsia="Times New Roman"/>
          <w:b/>
          <w:bCs/>
          <w:sz w:val="30"/>
          <w:szCs w:val="30"/>
          <w:lang w:val="es-ES"/>
        </w:rPr>
        <w:t>omité de calificación.</w:t>
      </w:r>
      <w:r>
        <w:rPr>
          <w:rFonts w:eastAsia="Times New Roman"/>
          <w:sz w:val="30"/>
          <w:szCs w:val="30"/>
          <w:lang w:val="es-ES"/>
        </w:rPr>
        <w:t>- El C.N.V., dictará las normas de carácter general que establezcan la constitución y funcionamiento del comité de calificación de las entidades calificadoras y los requisitos de idoneidad y capacidad, obligaciones a que deberán sujet</w:t>
      </w:r>
      <w:r>
        <w:rPr>
          <w:rFonts w:eastAsia="Times New Roman"/>
          <w:sz w:val="30"/>
          <w:szCs w:val="30"/>
          <w:lang w:val="es-ES"/>
        </w:rPr>
        <w:t xml:space="preserve">arse los socios, administradores, miembros del comité de calificación y las demás personas a quienes se les encomiende la dirección de una calificación de riesgo, manteniendo en todo momento independencia frente a los sujetos de calificación. </w:t>
      </w:r>
      <w:r>
        <w:rPr>
          <w:rFonts w:eastAsia="Times New Roman"/>
          <w:sz w:val="30"/>
          <w:szCs w:val="30"/>
          <w:lang w:val="es-ES"/>
        </w:rPr>
        <w:br/>
      </w:r>
      <w:r>
        <w:rPr>
          <w:rFonts w:eastAsia="Times New Roman"/>
          <w:sz w:val="30"/>
          <w:szCs w:val="30"/>
          <w:lang w:val="es-ES"/>
        </w:rPr>
        <w:lastRenderedPageBreak/>
        <w:br/>
        <w:t>El comité d</w:t>
      </w:r>
      <w:r>
        <w:rPr>
          <w:rFonts w:eastAsia="Times New Roman"/>
          <w:sz w:val="30"/>
          <w:szCs w:val="30"/>
          <w:lang w:val="es-ES"/>
        </w:rPr>
        <w:t>e calificación estará constituido por al menos tres miembros titulares y tres suplentes; pero siempre deberá ser número impar.</w:t>
      </w:r>
      <w:r>
        <w:rPr>
          <w:rFonts w:eastAsia="Times New Roman"/>
          <w:sz w:val="30"/>
          <w:szCs w:val="30"/>
          <w:lang w:val="es-ES"/>
        </w:rPr>
        <w:br/>
      </w:r>
      <w:r>
        <w:rPr>
          <w:rFonts w:eastAsia="Times New Roman"/>
          <w:sz w:val="30"/>
          <w:szCs w:val="30"/>
          <w:lang w:val="es-ES"/>
        </w:rPr>
        <w:br/>
        <w:t>La sociedad calificadora deberá comunicar a la Superintendencia de Compañías con la anticipación de dos días hábiles, a la fecha</w:t>
      </w:r>
      <w:r>
        <w:rPr>
          <w:rFonts w:eastAsia="Times New Roman"/>
          <w:sz w:val="30"/>
          <w:szCs w:val="30"/>
          <w:lang w:val="es-ES"/>
        </w:rPr>
        <w:t xml:space="preserve"> de realización de la sesión de calificación de un emisor o de un valor, a fin de que se designe un delegado para que asista a la misma, sin que su presencia implique que la Superintendencia de Compañías tenga corresponsabilidad en esta calificación.</w:t>
      </w:r>
    </w:p>
    <w:p w:rsidR="00000000" w:rsidRDefault="0018461E">
      <w:pPr>
        <w:divId w:val="225604909"/>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181.- Del mantenimiento de la calificación y de la información.- </w:t>
      </w:r>
      <w:r>
        <w:rPr>
          <w:rFonts w:eastAsia="Times New Roman"/>
          <w:sz w:val="30"/>
          <w:szCs w:val="30"/>
          <w:lang w:val="es-ES"/>
        </w:rPr>
        <w:t>Las calificadoras deberán revisar, con la periodicidad que determine C.N.V., las calificaciones que efectúen, de acuerdo con la información que les proporcionen el emisor, las instituciones r</w:t>
      </w:r>
      <w:r>
        <w:rPr>
          <w:rFonts w:eastAsia="Times New Roman"/>
          <w:sz w:val="30"/>
          <w:szCs w:val="30"/>
          <w:lang w:val="es-ES"/>
        </w:rPr>
        <w:t>eguladas por esta Ley o las instituciones financieras, en forma voluntaria o que se encuentre a disposición del público.</w:t>
      </w:r>
      <w:r>
        <w:rPr>
          <w:rFonts w:eastAsia="Times New Roman"/>
          <w:sz w:val="30"/>
          <w:szCs w:val="30"/>
          <w:lang w:val="es-ES"/>
        </w:rPr>
        <w:br/>
      </w:r>
      <w:r>
        <w:rPr>
          <w:rFonts w:eastAsia="Times New Roman"/>
          <w:sz w:val="30"/>
          <w:szCs w:val="30"/>
          <w:lang w:val="es-ES"/>
        </w:rPr>
        <w:br/>
        <w:t>Sin embargo, cuando las circunstancias lo ameriten, podrán realizar calificación en cualquier momento.</w:t>
      </w:r>
      <w:r>
        <w:rPr>
          <w:rFonts w:eastAsia="Times New Roman"/>
          <w:sz w:val="30"/>
          <w:szCs w:val="30"/>
          <w:lang w:val="es-ES"/>
        </w:rPr>
        <w:br/>
      </w:r>
      <w:r>
        <w:rPr>
          <w:rFonts w:eastAsia="Times New Roman"/>
          <w:sz w:val="30"/>
          <w:szCs w:val="30"/>
          <w:lang w:val="es-ES"/>
        </w:rPr>
        <w:br/>
        <w:t>No obstante lo anterior, la ca</w:t>
      </w:r>
      <w:r>
        <w:rPr>
          <w:rFonts w:eastAsia="Times New Roman"/>
          <w:sz w:val="30"/>
          <w:szCs w:val="30"/>
          <w:lang w:val="es-ES"/>
        </w:rPr>
        <w:t>lificadora que hubiere sido contratada por el emisor o designada por la Superintendencia de Compañías podrá requerir del emisor la información que, no estando a disposición del público, sea indispensable para realizar el análisis. Los requerimientos de inf</w:t>
      </w:r>
      <w:r>
        <w:rPr>
          <w:rFonts w:eastAsia="Times New Roman"/>
          <w:sz w:val="30"/>
          <w:szCs w:val="30"/>
          <w:lang w:val="es-ES"/>
        </w:rPr>
        <w:t>ormación a los organismos de control, se lo hará siguiendo las disposiciones legales pertinentes.</w:t>
      </w:r>
      <w:r>
        <w:rPr>
          <w:rFonts w:eastAsia="Times New Roman"/>
          <w:sz w:val="30"/>
          <w:szCs w:val="30"/>
          <w:lang w:val="es-ES"/>
        </w:rPr>
        <w:br/>
      </w:r>
      <w:r>
        <w:rPr>
          <w:rFonts w:eastAsia="Times New Roman"/>
          <w:sz w:val="30"/>
          <w:szCs w:val="30"/>
          <w:lang w:val="es-ES"/>
        </w:rPr>
        <w:br/>
        <w:t>El emisor que estimare excesiva la solicitud de mayor información o la calificadora que no hubiere recibido la información solicitada, podrá recurrir a la Su</w:t>
      </w:r>
      <w:r>
        <w:rPr>
          <w:rFonts w:eastAsia="Times New Roman"/>
          <w:sz w:val="30"/>
          <w:szCs w:val="30"/>
          <w:lang w:val="es-ES"/>
        </w:rPr>
        <w:t>perintendencia de Compañías quien resolverá el caso previa audiencia con la entidad calificadora y el emisor de valores.</w:t>
      </w:r>
      <w:r>
        <w:rPr>
          <w:rFonts w:eastAsia="Times New Roman"/>
          <w:sz w:val="30"/>
          <w:szCs w:val="30"/>
          <w:lang w:val="es-ES"/>
        </w:rPr>
        <w:br/>
      </w:r>
      <w:r>
        <w:rPr>
          <w:rFonts w:eastAsia="Times New Roman"/>
          <w:sz w:val="30"/>
          <w:szCs w:val="30"/>
          <w:lang w:val="es-ES"/>
        </w:rPr>
        <w:br/>
        <w:t>Toda información que reciban las calificadoras, excepto aquella que se considere como información pública, deberá mantenerse como rese</w:t>
      </w:r>
      <w:r>
        <w:rPr>
          <w:rFonts w:eastAsia="Times New Roman"/>
          <w:sz w:val="30"/>
          <w:szCs w:val="30"/>
          <w:lang w:val="es-ES"/>
        </w:rPr>
        <w:t>rvada y confidencial. La obtención de la información por parte de las calificadoras o su entrega a éstas no se considerará falta al sigilo bancario o bursátil.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calificación deberá mantenerse periódicamente actualizada hasta la redención del título o mi</w:t>
      </w:r>
      <w:r>
        <w:rPr>
          <w:rFonts w:eastAsia="Times New Roman"/>
          <w:sz w:val="30"/>
          <w:szCs w:val="30"/>
          <w:lang w:val="es-ES"/>
        </w:rPr>
        <w:t>entras éstos puedan ser objeto de oferta pública.</w:t>
      </w:r>
      <w:r>
        <w:rPr>
          <w:rFonts w:eastAsia="Times New Roman"/>
          <w:sz w:val="30"/>
          <w:szCs w:val="30"/>
          <w:lang w:val="es-ES"/>
        </w:rPr>
        <w:br/>
      </w:r>
      <w:r>
        <w:rPr>
          <w:rFonts w:eastAsia="Times New Roman"/>
          <w:sz w:val="30"/>
          <w:szCs w:val="30"/>
          <w:lang w:val="es-ES"/>
        </w:rPr>
        <w:br/>
        <w:t>En caso de que la Superintendencia de Compañías dudare de la veracidad o calidad de una calificación podrá designar un calificador de riesgo distinto, a fin de que efectúe la calificación de los valores en</w:t>
      </w:r>
      <w:r>
        <w:rPr>
          <w:rFonts w:eastAsia="Times New Roman"/>
          <w:sz w:val="30"/>
          <w:szCs w:val="30"/>
          <w:lang w:val="es-ES"/>
        </w:rPr>
        <w:t xml:space="preserve"> forma adicional. El costo de dicha calificación estará a cargo del emisor.</w:t>
      </w:r>
    </w:p>
    <w:p w:rsidR="00000000" w:rsidRDefault="0018461E">
      <w:pPr>
        <w:divId w:val="1765570759"/>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De la difusión de las calificaciones.- </w:t>
      </w:r>
      <w:r>
        <w:rPr>
          <w:rFonts w:eastAsia="Times New Roman"/>
          <w:sz w:val="30"/>
          <w:szCs w:val="30"/>
          <w:lang w:val="es-ES"/>
        </w:rPr>
        <w:t>Las entidades calificadoras deberán hacer públicas sus calificaciones en la forma y periodicidad que determine el C.N.V.</w:t>
      </w:r>
    </w:p>
    <w:p w:rsidR="00000000" w:rsidRDefault="0018461E">
      <w:pPr>
        <w:divId w:val="657030453"/>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De la inscripción, suspensión y cancelación del Registro.</w:t>
      </w:r>
      <w:r>
        <w:rPr>
          <w:rFonts w:eastAsia="Times New Roman"/>
          <w:sz w:val="30"/>
          <w:szCs w:val="30"/>
          <w:lang w:val="es-ES"/>
        </w:rPr>
        <w:t xml:space="preserve">- (Reformado por la Disposición Reformatoria Décima Séptima, num. 1 del Código Orgánico Monetario y Financiero; R.O. 332-2S, 12-IX-2014).- Las sociedades calificadoras deberán inscribirse </w:t>
      </w:r>
      <w:r>
        <w:rPr>
          <w:rFonts w:eastAsia="Times New Roman"/>
          <w:sz w:val="30"/>
          <w:szCs w:val="30"/>
          <w:lang w:val="es-ES"/>
        </w:rPr>
        <w:t>en el Catastro Público del Mercado de Valores, para lo cual deberán cumplir los requisitos señalados en esta Ley y en las normas de aplicación general que establezca el C.N.V.</w:t>
      </w:r>
      <w:r>
        <w:rPr>
          <w:rFonts w:eastAsia="Times New Roman"/>
          <w:sz w:val="30"/>
          <w:szCs w:val="30"/>
          <w:lang w:val="es-ES"/>
        </w:rPr>
        <w:br/>
      </w:r>
      <w:r>
        <w:rPr>
          <w:rFonts w:eastAsia="Times New Roman"/>
          <w:sz w:val="30"/>
          <w:szCs w:val="30"/>
          <w:lang w:val="es-ES"/>
        </w:rPr>
        <w:br/>
        <w:t>Las sociedades calificadoras y sus comités de calificación quedarán sometidos a</w:t>
      </w:r>
      <w:r>
        <w:rPr>
          <w:rFonts w:eastAsia="Times New Roman"/>
          <w:sz w:val="30"/>
          <w:szCs w:val="30"/>
          <w:lang w:val="es-ES"/>
        </w:rPr>
        <w:t xml:space="preserve"> la supervisión y control de la Superintendencia de Compañías, pudiendo en cualquier momento requerirles información o antecedentes relacionados con la actividad que desarrollan y los métodos utilizados para la calificación.</w:t>
      </w:r>
      <w:r>
        <w:rPr>
          <w:rFonts w:eastAsia="Times New Roman"/>
          <w:sz w:val="30"/>
          <w:szCs w:val="30"/>
          <w:lang w:val="es-ES"/>
        </w:rPr>
        <w:br/>
      </w:r>
      <w:r>
        <w:rPr>
          <w:rFonts w:eastAsia="Times New Roman"/>
          <w:sz w:val="30"/>
          <w:szCs w:val="30"/>
          <w:lang w:val="es-ES"/>
        </w:rPr>
        <w:br/>
        <w:t>La Superintendencia podrá acep</w:t>
      </w:r>
      <w:r>
        <w:rPr>
          <w:rFonts w:eastAsia="Times New Roman"/>
          <w:sz w:val="30"/>
          <w:szCs w:val="30"/>
          <w:lang w:val="es-ES"/>
        </w:rPr>
        <w:t>tar, suspender o cancelar la inscripción de las compañías calificadoras de riesgo en razón de la idoneidad y cumplimiento de sus funciones. En casos de suspensión o cancelación de la inscripción en el Registro, la Superintendencia dictará una resolución fu</w:t>
      </w:r>
      <w:r>
        <w:rPr>
          <w:rFonts w:eastAsia="Times New Roman"/>
          <w:sz w:val="30"/>
          <w:szCs w:val="30"/>
          <w:lang w:val="es-ES"/>
        </w:rPr>
        <w:t>ndamentada.</w:t>
      </w:r>
    </w:p>
    <w:p w:rsidR="00000000" w:rsidRDefault="0018461E">
      <w:pPr>
        <w:divId w:val="2112627425"/>
        <w:rPr>
          <w:rFonts w:eastAsia="Times New Roman"/>
          <w:sz w:val="30"/>
          <w:szCs w:val="30"/>
          <w:lang w:val="es-ES"/>
        </w:rPr>
      </w:pPr>
      <w:r>
        <w:rPr>
          <w:rFonts w:eastAsia="Times New Roman"/>
          <w:b/>
          <w:bCs/>
          <w:sz w:val="30"/>
          <w:szCs w:val="30"/>
          <w:lang w:val="es-ES"/>
        </w:rPr>
        <w:t>Art. 184.- De la disolución y liquidación.</w:t>
      </w:r>
      <w:r>
        <w:rPr>
          <w:rFonts w:eastAsia="Times New Roman"/>
          <w:sz w:val="30"/>
          <w:szCs w:val="30"/>
          <w:lang w:val="es-ES"/>
        </w:rPr>
        <w:t>- En el proceso de disolución y liquidación de la calificadora de riesgo se aplicarán las disposiciones de la Ley de Compañías.</w:t>
      </w:r>
    </w:p>
    <w:p w:rsidR="00000000" w:rsidRDefault="0018461E">
      <w:pPr>
        <w:jc w:val="center"/>
        <w:rPr>
          <w:rFonts w:eastAsia="Times New Roman"/>
          <w:sz w:val="36"/>
          <w:szCs w:val="36"/>
          <w:lang w:val="es-ES"/>
        </w:rPr>
      </w:pPr>
      <w:r>
        <w:rPr>
          <w:rFonts w:eastAsia="Times New Roman"/>
          <w:b/>
          <w:bCs/>
          <w:sz w:val="36"/>
          <w:szCs w:val="36"/>
          <w:lang w:val="es-ES"/>
        </w:rPr>
        <w:br/>
        <w:t>Título XIX</w:t>
      </w:r>
      <w:r>
        <w:rPr>
          <w:rFonts w:eastAsia="Times New Roman"/>
          <w:b/>
          <w:bCs/>
          <w:sz w:val="36"/>
          <w:szCs w:val="36"/>
          <w:lang w:val="es-ES"/>
        </w:rPr>
        <w:br/>
        <w:t>DE LA CALIFICACIÓN DE RIESGO</w:t>
      </w:r>
    </w:p>
    <w:p w:rsidR="00000000" w:rsidRDefault="0018461E">
      <w:pPr>
        <w:divId w:val="921378140"/>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Del concepto.</w:t>
      </w:r>
      <w:r>
        <w:rPr>
          <w:rFonts w:eastAsia="Times New Roman"/>
          <w:sz w:val="30"/>
          <w:szCs w:val="30"/>
          <w:lang w:val="es-ES"/>
        </w:rPr>
        <w:t xml:space="preserve">- Se entenderá por calificación de riesgo, la actividad que realicen entidades especializadas, denominadas </w:t>
      </w:r>
      <w:r>
        <w:rPr>
          <w:rFonts w:eastAsia="Times New Roman"/>
          <w:sz w:val="30"/>
          <w:szCs w:val="30"/>
          <w:lang w:val="es-ES"/>
        </w:rPr>
        <w:lastRenderedPageBreak/>
        <w:t>calificadoras de riesgo, mediante la cual den a conocer al mercado y público en general su opinión sobre la solvencia y probabilidad de pago que tien</w:t>
      </w:r>
      <w:r>
        <w:rPr>
          <w:rFonts w:eastAsia="Times New Roman"/>
          <w:sz w:val="30"/>
          <w:szCs w:val="30"/>
          <w:lang w:val="es-ES"/>
        </w:rPr>
        <w:t>e el emisor para cumplir con los compromisos provenientes de sus valores de oferta pública.</w:t>
      </w:r>
    </w:p>
    <w:p w:rsidR="00000000" w:rsidRDefault="0018461E">
      <w:pPr>
        <w:divId w:val="1569656708"/>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De los sujetos y valores objeto de la calificación.- </w:t>
      </w:r>
      <w:r>
        <w:rPr>
          <w:rFonts w:eastAsia="Times New Roman"/>
          <w:sz w:val="30"/>
          <w:szCs w:val="30"/>
          <w:lang w:val="es-ES"/>
        </w:rPr>
        <w:t xml:space="preserve">(Reformado por el Art. 16 de la Ley s/n, R.O. 498-3S, 31-XII-2008).- Son sujetos de calificación de </w:t>
      </w:r>
      <w:r>
        <w:rPr>
          <w:rFonts w:eastAsia="Times New Roman"/>
          <w:sz w:val="30"/>
          <w:szCs w:val="30"/>
          <w:lang w:val="es-ES"/>
        </w:rPr>
        <w:t>riesgo todos los valores materia de colocación o negociación en el mercado; excepto facturas comerciales negociables, aquellos emitidos, avalados, aceptados o garantizados por el Banco Central del Ecuador, el Ministerio de Economía y Finanzas, así como las</w:t>
      </w:r>
      <w:r>
        <w:rPr>
          <w:rFonts w:eastAsia="Times New Roman"/>
          <w:sz w:val="30"/>
          <w:szCs w:val="30"/>
          <w:lang w:val="es-ES"/>
        </w:rPr>
        <w:t xml:space="preserve"> acciones de sociedades anónimas y demás valores patrimoniales.</w:t>
      </w:r>
      <w:r>
        <w:rPr>
          <w:rFonts w:eastAsia="Times New Roman"/>
          <w:sz w:val="30"/>
          <w:szCs w:val="30"/>
          <w:lang w:val="es-ES"/>
        </w:rPr>
        <w:br/>
      </w:r>
      <w:r>
        <w:rPr>
          <w:rFonts w:eastAsia="Times New Roman"/>
          <w:sz w:val="30"/>
          <w:szCs w:val="30"/>
          <w:lang w:val="es-ES"/>
        </w:rPr>
        <w:br/>
        <w:t>La calificación de acciones u otros valores patrimoniales de un emisor, será voluntaria por lo que podrá efectuarse oferta pública sin contar con la respectiva calificación de riesgo. Sin emb</w:t>
      </w:r>
      <w:r>
        <w:rPr>
          <w:rFonts w:eastAsia="Times New Roman"/>
          <w:sz w:val="30"/>
          <w:szCs w:val="30"/>
          <w:lang w:val="es-ES"/>
        </w:rPr>
        <w:t>argo, el C.N.V., podrá ordenar la calificación de dichos valores, con causa fundamentada. En los casos de no efectuarse la calificación de riesgo, toda oferta, prospecto, publicidad y títulos deberán contener la expresa mención: "sin calificación de riesgo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Los fondos de inversión administrados no requieren calificación de riesgo, sin embargo, queda a potestad de las administradoras de fondos contratar la calificación de riesgo para los fondos que administre.</w:t>
      </w:r>
      <w:r>
        <w:rPr>
          <w:rFonts w:eastAsia="Times New Roman"/>
          <w:sz w:val="30"/>
          <w:szCs w:val="30"/>
          <w:lang w:val="es-ES"/>
        </w:rPr>
        <w:br/>
      </w:r>
      <w:r>
        <w:rPr>
          <w:rFonts w:eastAsia="Times New Roman"/>
          <w:sz w:val="30"/>
          <w:szCs w:val="30"/>
          <w:lang w:val="es-ES"/>
        </w:rPr>
        <w:br/>
        <w:t>Para el caso de valores de giro ordinario del</w:t>
      </w:r>
      <w:r>
        <w:rPr>
          <w:rFonts w:eastAsia="Times New Roman"/>
          <w:sz w:val="30"/>
          <w:szCs w:val="30"/>
          <w:lang w:val="es-ES"/>
        </w:rPr>
        <w:t xml:space="preserve"> negocio, emitidos, avalados, aceptados o garantizados por instituciones del sistema financiero y de papel comercial, deberá calificarse al emisor en base a su posicionamiento de corto y largo plazo, sin perjuicio de los requisitos adicionales que determin</w:t>
      </w:r>
      <w:r>
        <w:rPr>
          <w:rFonts w:eastAsia="Times New Roman"/>
          <w:sz w:val="30"/>
          <w:szCs w:val="30"/>
          <w:lang w:val="es-ES"/>
        </w:rPr>
        <w:t>e el C.N.V.</w:t>
      </w:r>
      <w:r>
        <w:rPr>
          <w:rFonts w:eastAsia="Times New Roman"/>
          <w:sz w:val="30"/>
          <w:szCs w:val="30"/>
          <w:lang w:val="es-ES"/>
        </w:rPr>
        <w:br/>
      </w:r>
      <w:r>
        <w:rPr>
          <w:rFonts w:eastAsia="Times New Roman"/>
          <w:sz w:val="30"/>
          <w:szCs w:val="30"/>
          <w:lang w:val="es-ES"/>
        </w:rPr>
        <w:br/>
        <w:t>Los valores derivados de una titularización deberán contar con calificación de riesgo, tomando en cuenta las normas establecidas en esta Ley y las normas de carácter general que determine el C.N.V.</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Debido a la reforma establecida por el</w:t>
      </w:r>
      <w:r>
        <w:rPr>
          <w:rFonts w:eastAsia="Times New Roman"/>
          <w:i/>
          <w:iCs/>
          <w:sz w:val="30"/>
          <w:szCs w:val="30"/>
          <w:lang w:val="es-ES"/>
        </w:rPr>
        <w:t xml:space="preserve"> D.E. 854 (R.O. 253, 16-I-2008) al Art. 16 del Estatuto del Régimen Jurídico Administrativo de </w:t>
      </w:r>
      <w:r>
        <w:rPr>
          <w:rFonts w:eastAsia="Times New Roman"/>
          <w:i/>
          <w:iCs/>
          <w:sz w:val="30"/>
          <w:szCs w:val="30"/>
          <w:lang w:val="es-ES"/>
        </w:rPr>
        <w:lastRenderedPageBreak/>
        <w:t>la Función Ejecutiva, la denominación del Ministerio de Economía y Finanzas fue sustituida por la de Ministerio de Finanzas.</w:t>
      </w:r>
    </w:p>
    <w:p w:rsidR="00000000" w:rsidRDefault="0018461E">
      <w:pPr>
        <w:divId w:val="1314288954"/>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De la calificación de rie</w:t>
      </w:r>
      <w:r>
        <w:rPr>
          <w:rFonts w:eastAsia="Times New Roman"/>
          <w:b/>
          <w:bCs/>
          <w:sz w:val="30"/>
          <w:szCs w:val="30"/>
          <w:lang w:val="es-ES"/>
        </w:rPr>
        <w:t xml:space="preserve">sgo.- </w:t>
      </w:r>
      <w:r>
        <w:rPr>
          <w:rFonts w:eastAsia="Times New Roman"/>
          <w:sz w:val="30"/>
          <w:szCs w:val="30"/>
          <w:lang w:val="es-ES"/>
        </w:rPr>
        <w:t xml:space="preserve">(Reformado por el Art. 69 de la Ley s/n, R.O. 249-S, 20-V-2014; y, reformado por la Disposición Reformatoria Décima Séptima, nums. 1, 2 y 3 del Código Orgánico Monetario y Financiero; R.O. 332-2S, 12-IX-2014).- La Superintendencia de Compañías podrá </w:t>
      </w:r>
      <w:r>
        <w:rPr>
          <w:rFonts w:eastAsia="Times New Roman"/>
          <w:sz w:val="30"/>
          <w:szCs w:val="30"/>
          <w:lang w:val="es-ES"/>
        </w:rPr>
        <w:t>designar un calificador de riesgo distinto a fin de que efectúe la calificación de los valores en forma adicional. El costo de dicha calificación estará a cargo del emisor.</w:t>
      </w:r>
      <w:r>
        <w:rPr>
          <w:rFonts w:eastAsia="Times New Roman"/>
          <w:sz w:val="30"/>
          <w:szCs w:val="30"/>
          <w:lang w:val="es-ES"/>
        </w:rPr>
        <w:br/>
      </w:r>
      <w:r>
        <w:rPr>
          <w:rFonts w:eastAsia="Times New Roman"/>
          <w:sz w:val="30"/>
          <w:szCs w:val="30"/>
          <w:lang w:val="es-ES"/>
        </w:rPr>
        <w:br/>
        <w:t>Los ingresos obtenidos por calificación de riesgo que provengan de un mismo client</w:t>
      </w:r>
      <w:r>
        <w:rPr>
          <w:rFonts w:eastAsia="Times New Roman"/>
          <w:sz w:val="30"/>
          <w:szCs w:val="30"/>
          <w:lang w:val="es-ES"/>
        </w:rPr>
        <w:t>e o sus empresas vinculadas no podrán exceder al veinticinco por ciento de los ingresos anuales de la sociedad calificadora.</w:t>
      </w:r>
      <w:r>
        <w:rPr>
          <w:rFonts w:eastAsia="Times New Roman"/>
          <w:sz w:val="30"/>
          <w:szCs w:val="30"/>
          <w:lang w:val="es-ES"/>
        </w:rPr>
        <w:br/>
      </w:r>
      <w:r>
        <w:rPr>
          <w:rFonts w:eastAsia="Times New Roman"/>
          <w:sz w:val="30"/>
          <w:szCs w:val="30"/>
          <w:lang w:val="es-ES"/>
        </w:rPr>
        <w:br/>
        <w:t>Los emisores de valores sujetos a calificación de riesgo, así como aquellos que por decisión voluntaria sean objeto de calificació</w:t>
      </w:r>
      <w:r>
        <w:rPr>
          <w:rFonts w:eastAsia="Times New Roman"/>
          <w:sz w:val="30"/>
          <w:szCs w:val="30"/>
          <w:lang w:val="es-ES"/>
        </w:rPr>
        <w:t>n, deberán previamente a su negociación, publicar dicha calificación en la página web de la Superintendencia de Compañías Valores y Seguros, de acuerdo a la norma general expedida por la Junta de Política y Regulación Monetaria y Financiera.</w:t>
      </w:r>
      <w:r>
        <w:rPr>
          <w:rFonts w:eastAsia="Times New Roman"/>
          <w:sz w:val="30"/>
          <w:szCs w:val="30"/>
          <w:lang w:val="es-ES"/>
        </w:rPr>
        <w:br/>
      </w:r>
      <w:r>
        <w:rPr>
          <w:rFonts w:eastAsia="Times New Roman"/>
          <w:sz w:val="30"/>
          <w:szCs w:val="30"/>
          <w:lang w:val="es-ES"/>
        </w:rPr>
        <w:br/>
        <w:t>La Superinten</w:t>
      </w:r>
      <w:r>
        <w:rPr>
          <w:rFonts w:eastAsia="Times New Roman"/>
          <w:sz w:val="30"/>
          <w:szCs w:val="30"/>
          <w:lang w:val="es-ES"/>
        </w:rPr>
        <w:t>dencia de Compañías podrá cancelar la inscripción de la compañía calificadora de riesgo del Catastro Público del Mercado de Valores si llegare a la conclusión, previa inspección, de que dicha sociedad no ha efectuado la calificación conforme a las disposic</w:t>
      </w:r>
      <w:r>
        <w:rPr>
          <w:rFonts w:eastAsia="Times New Roman"/>
          <w:sz w:val="30"/>
          <w:szCs w:val="30"/>
          <w:lang w:val="es-ES"/>
        </w:rPr>
        <w:t>iones de esta Ley, sus normas complementarias y el procedimiento de calificación autorizado, sin perjuicio de que terceros sigan las acciones judiciales a que hubiere lugar.</w:t>
      </w:r>
    </w:p>
    <w:p w:rsidR="00000000" w:rsidRDefault="0018461E">
      <w:pPr>
        <w:divId w:val="1461144526"/>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De los criterios de calificación.- </w:t>
      </w:r>
      <w:r>
        <w:rPr>
          <w:rFonts w:eastAsia="Times New Roman"/>
          <w:sz w:val="30"/>
          <w:szCs w:val="30"/>
          <w:lang w:val="es-ES"/>
        </w:rPr>
        <w:t xml:space="preserve">(Reformado por el Art. 70 de la Ley </w:t>
      </w:r>
      <w:r>
        <w:rPr>
          <w:rFonts w:eastAsia="Times New Roman"/>
          <w:sz w:val="30"/>
          <w:szCs w:val="30"/>
          <w:lang w:val="es-ES"/>
        </w:rPr>
        <w:t>s/n, R.O. 249-S, 20-V-2014; y, reformado por la Disposición Reformatoria Décima Séptima, nums. 1 y 2 del Código Orgánico Monetario y Financiero; R.O. 332-2S, 12-IX-2014).- El C.N.V., mediante resolución general, determinará los sistemas, procedimientos, ca</w:t>
      </w:r>
      <w:r>
        <w:rPr>
          <w:rFonts w:eastAsia="Times New Roman"/>
          <w:sz w:val="30"/>
          <w:szCs w:val="30"/>
          <w:lang w:val="es-ES"/>
        </w:rPr>
        <w:t>tegorías de calificación y periodicidad de la misma, considerada su naturaleza de valores de renta fija o variable y en atención a las siguientes normas generales:</w:t>
      </w:r>
      <w:r>
        <w:rPr>
          <w:rFonts w:eastAsia="Times New Roman"/>
          <w:sz w:val="30"/>
          <w:szCs w:val="30"/>
          <w:lang w:val="es-ES"/>
        </w:rPr>
        <w:br/>
      </w:r>
      <w:r>
        <w:rPr>
          <w:rFonts w:eastAsia="Times New Roman"/>
          <w:sz w:val="30"/>
          <w:szCs w:val="30"/>
          <w:lang w:val="es-ES"/>
        </w:rPr>
        <w:br/>
        <w:t xml:space="preserve">a) Los valores representativos de deuda se calificarán en </w:t>
      </w:r>
      <w:r>
        <w:rPr>
          <w:rFonts w:eastAsia="Times New Roman"/>
          <w:sz w:val="30"/>
          <w:szCs w:val="30"/>
          <w:lang w:val="es-ES"/>
        </w:rPr>
        <w:lastRenderedPageBreak/>
        <w:t>consideración a la solvencia y ca</w:t>
      </w:r>
      <w:r>
        <w:rPr>
          <w:rFonts w:eastAsia="Times New Roman"/>
          <w:sz w:val="30"/>
          <w:szCs w:val="30"/>
          <w:lang w:val="es-ES"/>
        </w:rPr>
        <w:t>pacidad de pago del emisor, a su posición de corto y largo plazo, a las garantías que presentare, a la probabilidad de no pago del capital e intereses, a las características del instrumento, a la información disponible para su calificación y, otros factore</w:t>
      </w:r>
      <w:r>
        <w:rPr>
          <w:rFonts w:eastAsia="Times New Roman"/>
          <w:sz w:val="30"/>
          <w:szCs w:val="30"/>
          <w:lang w:val="es-ES"/>
        </w:rPr>
        <w:t>s que pueda determinar el C.N.V.;</w:t>
      </w:r>
      <w:r>
        <w:rPr>
          <w:rFonts w:eastAsia="Times New Roman"/>
          <w:sz w:val="30"/>
          <w:szCs w:val="30"/>
          <w:lang w:val="es-ES"/>
        </w:rPr>
        <w:br/>
      </w:r>
      <w:r>
        <w:rPr>
          <w:rFonts w:eastAsia="Times New Roman"/>
          <w:sz w:val="30"/>
          <w:szCs w:val="30"/>
          <w:lang w:val="es-ES"/>
        </w:rPr>
        <w:br/>
        <w:t>b) Cuando se califiquen acciones de sociedades, se lo hará en atención a la solvencia del emisor, las características de las acciones, la información del emisor y sus valores y a otros factores que determine el C.N.V.;</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Las cuotas de los fondos de inversión colectivos se calificarán en base a la solvencia técnica de la sociedad administradora, la política de inversión del fondo, la calificación de riesgo de sus inversiones, la pérdida esperada por el no pago de créditos</w:t>
      </w:r>
      <w:r>
        <w:rPr>
          <w:rFonts w:eastAsia="Times New Roman"/>
          <w:sz w:val="30"/>
          <w:szCs w:val="30"/>
          <w:lang w:val="es-ES"/>
        </w:rPr>
        <w:t xml:space="preserve"> que mantenga el fondo y otros factores que determine el C.N.V.; y, </w:t>
      </w:r>
      <w:r>
        <w:rPr>
          <w:rFonts w:eastAsia="Times New Roman"/>
          <w:sz w:val="30"/>
          <w:szCs w:val="30"/>
          <w:lang w:val="es-ES"/>
        </w:rPr>
        <w:br/>
      </w:r>
      <w:r>
        <w:rPr>
          <w:rFonts w:eastAsia="Times New Roman"/>
          <w:sz w:val="30"/>
          <w:szCs w:val="30"/>
          <w:lang w:val="es-ES"/>
        </w:rPr>
        <w:br/>
        <w:t>d) La calificación de los valores producto de un proceso de titularización, deberá indicar los factores que se tuvieron en cuenta para otorgarla y adicionalmente deberá referirse a la le</w:t>
      </w:r>
      <w:r>
        <w:rPr>
          <w:rFonts w:eastAsia="Times New Roman"/>
          <w:sz w:val="30"/>
          <w:szCs w:val="30"/>
          <w:lang w:val="es-ES"/>
        </w:rPr>
        <w:t>galidad y forma de transferencia de los activos al patrimonio autónomo. En ningún caso la calificación de riesgo considerará la solvencia del originador o del agente de manejo o de cualquier tercero.</w:t>
      </w:r>
      <w:r>
        <w:rPr>
          <w:rFonts w:eastAsia="Times New Roman"/>
          <w:sz w:val="30"/>
          <w:szCs w:val="30"/>
          <w:lang w:val="es-ES"/>
        </w:rPr>
        <w:br/>
      </w:r>
      <w:r>
        <w:rPr>
          <w:rFonts w:eastAsia="Times New Roman"/>
          <w:sz w:val="30"/>
          <w:szCs w:val="30"/>
          <w:lang w:val="es-ES"/>
        </w:rPr>
        <w:br/>
        <w:t>Las calificadoras deberán inscribir en el Catastro Públ</w:t>
      </w:r>
      <w:r>
        <w:rPr>
          <w:rFonts w:eastAsia="Times New Roman"/>
          <w:sz w:val="30"/>
          <w:szCs w:val="30"/>
          <w:lang w:val="es-ES"/>
        </w:rPr>
        <w:t>ico del Mercado de Valores, sus sistemas, procedimientos y categorías de calificación en forma previa a su aplicación y conforme a los requisitos que establezca el C.N.V., mediante normas de carácter general.</w:t>
      </w:r>
      <w:r>
        <w:rPr>
          <w:rFonts w:eastAsia="Times New Roman"/>
          <w:sz w:val="30"/>
          <w:szCs w:val="30"/>
          <w:lang w:val="es-ES"/>
        </w:rPr>
        <w:br/>
      </w:r>
      <w:r>
        <w:rPr>
          <w:rFonts w:eastAsia="Times New Roman"/>
          <w:sz w:val="30"/>
          <w:szCs w:val="30"/>
          <w:lang w:val="es-ES"/>
        </w:rPr>
        <w:br/>
        <w:t xml:space="preserve">La Junta de Política y Regulación Monetaria y </w:t>
      </w:r>
      <w:r>
        <w:rPr>
          <w:rFonts w:eastAsia="Times New Roman"/>
          <w:sz w:val="30"/>
          <w:szCs w:val="30"/>
          <w:lang w:val="es-ES"/>
        </w:rPr>
        <w:t>Financiera establecerá mediante norma de carácter general, las condiciones en aplicación de las cuales será obligatorio contar con dos calificaciones de riesgo, de dos calificadoras de riesgo distintas.</w:t>
      </w:r>
    </w:p>
    <w:p w:rsidR="00000000" w:rsidRDefault="0018461E">
      <w:pPr>
        <w:divId w:val="97402224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Responsabilidad.- </w:t>
      </w:r>
      <w:r>
        <w:rPr>
          <w:rFonts w:eastAsia="Times New Roman"/>
          <w:sz w:val="30"/>
          <w:szCs w:val="30"/>
          <w:lang w:val="es-ES"/>
        </w:rPr>
        <w:t>(Agregado por el Art. 71 de</w:t>
      </w:r>
      <w:r>
        <w:rPr>
          <w:rFonts w:eastAsia="Times New Roman"/>
          <w:sz w:val="30"/>
          <w:szCs w:val="30"/>
          <w:lang w:val="es-ES"/>
        </w:rPr>
        <w:t xml:space="preserve"> la Ley s/n, R.O. 249-S, 20-V-2014).-Los miembros del comité de calificación de riesgo y el personal técnico que participa en los procesos de calificación, responderán solidariamente con la calificadora de riesgo por los daños que se deriven de su actuació</w:t>
      </w:r>
      <w:r>
        <w:rPr>
          <w:rFonts w:eastAsia="Times New Roman"/>
          <w:sz w:val="30"/>
          <w:szCs w:val="30"/>
          <w:lang w:val="es-ES"/>
        </w:rPr>
        <w:t>n, sin perjuicio de la responsabilidad penal a que hubiere lugar</w:t>
      </w:r>
    </w:p>
    <w:p w:rsidR="00000000" w:rsidRDefault="0018461E">
      <w:pPr>
        <w:divId w:val="2107924191"/>
        <w:rPr>
          <w:rFonts w:eastAsia="Times New Roman"/>
          <w:sz w:val="30"/>
          <w:szCs w:val="30"/>
          <w:lang w:val="es-ES"/>
        </w:rPr>
      </w:pPr>
      <w:r>
        <w:rPr>
          <w:rFonts w:eastAsia="Times New Roman"/>
          <w:sz w:val="30"/>
          <w:szCs w:val="30"/>
          <w:lang w:val="es-ES"/>
        </w:rPr>
        <w:lastRenderedPageBreak/>
        <w:t>Art. 189.-</w:t>
      </w:r>
      <w:r>
        <w:rPr>
          <w:rFonts w:eastAsia="Times New Roman"/>
          <w:b/>
          <w:bCs/>
          <w:sz w:val="30"/>
          <w:szCs w:val="30"/>
          <w:lang w:val="es-ES"/>
        </w:rPr>
        <w:t xml:space="preserve"> De la inscripción, suspensión y cancelación del registro.-</w:t>
      </w:r>
      <w:r>
        <w:rPr>
          <w:rFonts w:eastAsia="Times New Roman"/>
          <w:sz w:val="30"/>
          <w:szCs w:val="30"/>
          <w:lang w:val="es-ES"/>
        </w:rPr>
        <w:t xml:space="preserve"> (Reformado por la Disposición Reformatoria Décima Séptima, num. 1 del Código Orgánico Monetario y Financiero; R.O. 332-2S</w:t>
      </w:r>
      <w:r>
        <w:rPr>
          <w:rFonts w:eastAsia="Times New Roman"/>
          <w:sz w:val="30"/>
          <w:szCs w:val="30"/>
          <w:lang w:val="es-ES"/>
        </w:rPr>
        <w:t xml:space="preserve">, 12-IX-2014).- Cuando se trate de valores de oferta pública los emisores únicamente podrán suspender el proceso de revisión de la calificación, cuando retiren de circulación sus valores, o cuando la inscripción de éstos haya sido cancelada en el Catastro </w:t>
      </w:r>
      <w:r>
        <w:rPr>
          <w:rFonts w:eastAsia="Times New Roman"/>
          <w:sz w:val="30"/>
          <w:szCs w:val="30"/>
          <w:lang w:val="es-ES"/>
        </w:rPr>
        <w:t>Público del Mercado de Valores, previa notificación a la Superintendencia de Compañías, a las bolsas de valores y demás asociaciones de autorregulación.</w:t>
      </w:r>
      <w:r>
        <w:rPr>
          <w:rFonts w:eastAsia="Times New Roman"/>
          <w:sz w:val="30"/>
          <w:szCs w:val="30"/>
          <w:lang w:val="es-ES"/>
        </w:rPr>
        <w:br/>
      </w:r>
      <w:r>
        <w:rPr>
          <w:rFonts w:eastAsia="Times New Roman"/>
          <w:sz w:val="30"/>
          <w:szCs w:val="30"/>
          <w:lang w:val="es-ES"/>
        </w:rPr>
        <w:br/>
        <w:t>El C.N.V., establecerá, mediante normas de aplicación general, la forma y plazos para dicha suspensión</w:t>
      </w:r>
      <w:r>
        <w:rPr>
          <w:rFonts w:eastAsia="Times New Roman"/>
          <w:sz w:val="30"/>
          <w:szCs w:val="30"/>
          <w:lang w:val="es-ES"/>
        </w:rPr>
        <w:t>.</w:t>
      </w:r>
    </w:p>
    <w:p w:rsidR="00000000" w:rsidRDefault="0018461E">
      <w:pPr>
        <w:divId w:val="1114398053"/>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De las inhabilidades para la calificación.</w:t>
      </w:r>
      <w:r>
        <w:rPr>
          <w:rFonts w:eastAsia="Times New Roman"/>
          <w:sz w:val="30"/>
          <w:szCs w:val="30"/>
          <w:lang w:val="es-ES"/>
        </w:rPr>
        <w:t xml:space="preserve">- Los miembros del Comité de Calificación, administradores, gerentes y encargados de la calificación de riegos deberán estar libres de los impedimentos establecidos en el artículo 7 de esta Ley, en lo </w:t>
      </w:r>
      <w:r>
        <w:rPr>
          <w:rFonts w:eastAsia="Times New Roman"/>
          <w:sz w:val="30"/>
          <w:szCs w:val="30"/>
          <w:lang w:val="es-ES"/>
        </w:rPr>
        <w:t>que les fuere aplicable. No serán hábiles para efectuar una calificación de riesgo determinada:</w:t>
      </w:r>
      <w:r>
        <w:rPr>
          <w:rFonts w:eastAsia="Times New Roman"/>
          <w:sz w:val="30"/>
          <w:szCs w:val="30"/>
          <w:lang w:val="es-ES"/>
        </w:rPr>
        <w:br/>
      </w:r>
      <w:r>
        <w:rPr>
          <w:rFonts w:eastAsia="Times New Roman"/>
          <w:sz w:val="30"/>
          <w:szCs w:val="30"/>
          <w:lang w:val="es-ES"/>
        </w:rPr>
        <w:br/>
        <w:t>a) Los empleados y funcionarios del Banco Central del Ecuador, de las Superintendencias de Compañías y de Bancos y Seguros, miembros del Directorio del Banco C</w:t>
      </w:r>
      <w:r>
        <w:rPr>
          <w:rFonts w:eastAsia="Times New Roman"/>
          <w:sz w:val="30"/>
          <w:szCs w:val="30"/>
          <w:lang w:val="es-ES"/>
        </w:rPr>
        <w:t>entral del Ecuador, de la Junta Bancaria, C.N.V. y, de cualquier otra entidad de control. Tampoco podrán conformar el comité de calificación los directores y administradores de las bolsas de valores, los socios o administradores de otras calificadoras de r</w:t>
      </w:r>
      <w:r>
        <w:rPr>
          <w:rFonts w:eastAsia="Times New Roman"/>
          <w:sz w:val="30"/>
          <w:szCs w:val="30"/>
          <w:lang w:val="es-ES"/>
        </w:rPr>
        <w:t>iesgo así como los miembros de sus comités de calificación, los socios, administradores y operadores de las casas de valores, de las sociedades administradoras de fondos y fideicomisos, de instituciones del sistema financiero o de cualquier otra entidad qu</w:t>
      </w:r>
      <w:r>
        <w:rPr>
          <w:rFonts w:eastAsia="Times New Roman"/>
          <w:sz w:val="30"/>
          <w:szCs w:val="30"/>
          <w:lang w:val="es-ES"/>
        </w:rPr>
        <w:t>e por ley tenga objeto exclusivo;</w:t>
      </w:r>
      <w:r>
        <w:rPr>
          <w:rFonts w:eastAsia="Times New Roman"/>
          <w:sz w:val="30"/>
          <w:szCs w:val="30"/>
          <w:lang w:val="es-ES"/>
        </w:rPr>
        <w:br/>
      </w:r>
      <w:r>
        <w:rPr>
          <w:rFonts w:eastAsia="Times New Roman"/>
          <w:sz w:val="30"/>
          <w:szCs w:val="30"/>
          <w:lang w:val="es-ES"/>
        </w:rPr>
        <w:br/>
        <w:t>b) Las personas relacionadas al emisor conforme a lo establecido en el título relativo a empresas vinculadas y demás normas de carácter general que al respecto expida el C.N.V.;</w:t>
      </w:r>
      <w:r>
        <w:rPr>
          <w:rFonts w:eastAsia="Times New Roman"/>
          <w:sz w:val="30"/>
          <w:szCs w:val="30"/>
          <w:lang w:val="es-ES"/>
        </w:rPr>
        <w:br/>
      </w:r>
      <w:r>
        <w:rPr>
          <w:rFonts w:eastAsia="Times New Roman"/>
          <w:sz w:val="30"/>
          <w:szCs w:val="30"/>
          <w:lang w:val="es-ES"/>
        </w:rPr>
        <w:br/>
        <w:t>c) Quienes sean empleados, presten servici</w:t>
      </w:r>
      <w:r>
        <w:rPr>
          <w:rFonts w:eastAsia="Times New Roman"/>
          <w:sz w:val="30"/>
          <w:szCs w:val="30"/>
          <w:lang w:val="es-ES"/>
        </w:rPr>
        <w:t>os o tengan vínculos de subordinación o dependencia con el emisor, subsidiarias o sus empresas vinculadas;</w:t>
      </w:r>
      <w:r>
        <w:rPr>
          <w:rFonts w:eastAsia="Times New Roman"/>
          <w:sz w:val="30"/>
          <w:szCs w:val="30"/>
          <w:lang w:val="es-ES"/>
        </w:rPr>
        <w:br/>
      </w:r>
      <w:r>
        <w:rPr>
          <w:rFonts w:eastAsia="Times New Roman"/>
          <w:sz w:val="30"/>
          <w:szCs w:val="30"/>
          <w:lang w:val="es-ES"/>
        </w:rPr>
        <w:br/>
        <w:t xml:space="preserve">d) Las personas naturales que posean valores emitidos por el emisor, su matriz o subsidiaria en forma directa o en conjunto con otras </w:t>
      </w:r>
      <w:r>
        <w:rPr>
          <w:rFonts w:eastAsia="Times New Roman"/>
          <w:sz w:val="30"/>
          <w:szCs w:val="30"/>
          <w:lang w:val="es-ES"/>
        </w:rPr>
        <w:lastRenderedPageBreak/>
        <w:t>personas por m</w:t>
      </w:r>
      <w:r>
        <w:rPr>
          <w:rFonts w:eastAsia="Times New Roman"/>
          <w:sz w:val="30"/>
          <w:szCs w:val="30"/>
          <w:lang w:val="es-ES"/>
        </w:rPr>
        <w:t>ontos superiores a</w:t>
      </w:r>
      <w:r>
        <w:rPr>
          <w:rFonts w:eastAsia="Times New Roman"/>
          <w:b/>
          <w:bCs/>
          <w:sz w:val="30"/>
          <w:szCs w:val="30"/>
          <w:lang w:val="es-ES"/>
        </w:rPr>
        <w:t xml:space="preserve"> </w:t>
      </w:r>
      <w:r>
        <w:rPr>
          <w:rFonts w:eastAsia="Times New Roman"/>
          <w:sz w:val="30"/>
          <w:szCs w:val="30"/>
          <w:lang w:val="es-ES"/>
        </w:rPr>
        <w:t>trece mil ciento cuarenta y cuatro 50/100 (13.144,50) dólares de los Estados Unidos de América;</w:t>
      </w:r>
      <w:r>
        <w:rPr>
          <w:rFonts w:eastAsia="Times New Roman"/>
          <w:sz w:val="30"/>
          <w:szCs w:val="30"/>
          <w:lang w:val="es-ES"/>
        </w:rPr>
        <w:br/>
      </w:r>
      <w:r>
        <w:rPr>
          <w:rFonts w:eastAsia="Times New Roman"/>
          <w:sz w:val="30"/>
          <w:szCs w:val="30"/>
          <w:lang w:val="es-ES"/>
        </w:rPr>
        <w:br/>
        <w:t>e) Las personas jurídicas que por sí mismas o en conjunto con otras, posean valores emitidos por el emisor o sus empresas vinculadas más del</w:t>
      </w:r>
      <w:r>
        <w:rPr>
          <w:rFonts w:eastAsia="Times New Roman"/>
          <w:sz w:val="30"/>
          <w:szCs w:val="30"/>
          <w:lang w:val="es-ES"/>
        </w:rPr>
        <w:t xml:space="preserve"> cinco por ciento del activo circulante del emisor o más de ciento cinco mil ciento cincuenta y seis (105.156) dólares de los Estados Unidos de América. Esta inhabilidad se extenderá a aquellas personas que tengan compromisos u opciones de compra o venta s</w:t>
      </w:r>
      <w:r>
        <w:rPr>
          <w:rFonts w:eastAsia="Times New Roman"/>
          <w:sz w:val="30"/>
          <w:szCs w:val="30"/>
          <w:lang w:val="es-ES"/>
        </w:rPr>
        <w:t>obre dichos valores;</w:t>
      </w:r>
      <w:r>
        <w:rPr>
          <w:rFonts w:eastAsia="Times New Roman"/>
          <w:sz w:val="30"/>
          <w:szCs w:val="30"/>
          <w:lang w:val="es-ES"/>
        </w:rPr>
        <w:br/>
      </w:r>
      <w:r>
        <w:rPr>
          <w:rFonts w:eastAsia="Times New Roman"/>
          <w:sz w:val="30"/>
          <w:szCs w:val="30"/>
          <w:lang w:val="es-ES"/>
        </w:rPr>
        <w:br/>
        <w:t>f) Quienes tengan o hayan tenido durante los últimos seis meses una relación profesional o de negocios significativa con el emisor, sus subsidiarias o entidades de sus empresas vinculadas, dicha relación será calificada por el C.N.V.,</w:t>
      </w:r>
      <w:r>
        <w:rPr>
          <w:rFonts w:eastAsia="Times New Roman"/>
          <w:sz w:val="30"/>
          <w:szCs w:val="30"/>
          <w:lang w:val="es-ES"/>
        </w:rPr>
        <w:t xml:space="preserve"> mediante resolución de carácter general;</w:t>
      </w:r>
      <w:r>
        <w:rPr>
          <w:rFonts w:eastAsia="Times New Roman"/>
          <w:sz w:val="30"/>
          <w:szCs w:val="30"/>
          <w:lang w:val="es-ES"/>
        </w:rPr>
        <w:br/>
      </w:r>
      <w:r>
        <w:rPr>
          <w:rFonts w:eastAsia="Times New Roman"/>
          <w:sz w:val="30"/>
          <w:szCs w:val="30"/>
          <w:lang w:val="es-ES"/>
        </w:rPr>
        <w:br/>
        <w:t>g) (Reformado por la Disposición Reformatoria Décima Séptima, num. 1 del Código Orgánico Monetario y Financiero; R.O. 332-2S, 12-IX-2014).- Los cónyuges o convivientes en unión de hecho, de los administradores y c</w:t>
      </w:r>
      <w:r>
        <w:rPr>
          <w:rFonts w:eastAsia="Times New Roman"/>
          <w:sz w:val="30"/>
          <w:szCs w:val="30"/>
          <w:lang w:val="es-ES"/>
        </w:rPr>
        <w:t>omisarios de la entidad calificada y quienes estén con respecto a los administradores y directores de las instituciones reguladas por esta Ley, así como los emisores de valores inscritos en el Catastro Público del Mercado de Valores, dentro del cuarto grad</w:t>
      </w:r>
      <w:r>
        <w:rPr>
          <w:rFonts w:eastAsia="Times New Roman"/>
          <w:sz w:val="30"/>
          <w:szCs w:val="30"/>
          <w:lang w:val="es-ES"/>
        </w:rPr>
        <w:t>o de consanguinidad o segundo de afinidad; y,</w:t>
      </w:r>
      <w:r>
        <w:rPr>
          <w:rFonts w:eastAsia="Times New Roman"/>
          <w:sz w:val="30"/>
          <w:szCs w:val="30"/>
          <w:lang w:val="es-ES"/>
        </w:rPr>
        <w:br/>
      </w:r>
      <w:r>
        <w:rPr>
          <w:rFonts w:eastAsia="Times New Roman"/>
          <w:sz w:val="30"/>
          <w:szCs w:val="30"/>
          <w:lang w:val="es-ES"/>
        </w:rPr>
        <w:br/>
        <w:t xml:space="preserve">h) Aquellas personas que el C.N.V. determine por normas de carácter general en atención a los vínculos que tengan con el emisor que pudieran comprometer significativamente su capacidad para expresar opiniones </w:t>
      </w:r>
      <w:r>
        <w:rPr>
          <w:rFonts w:eastAsia="Times New Roman"/>
          <w:sz w:val="30"/>
          <w:szCs w:val="30"/>
          <w:lang w:val="es-ES"/>
        </w:rPr>
        <w:t>independientes sobre el riesgo de los valores o de la información de la emisora.</w:t>
      </w:r>
      <w:r>
        <w:rPr>
          <w:rFonts w:eastAsia="Times New Roman"/>
          <w:sz w:val="30"/>
          <w:szCs w:val="30"/>
          <w:lang w:val="es-ES"/>
        </w:rPr>
        <w:br/>
      </w:r>
      <w:r>
        <w:rPr>
          <w:rFonts w:eastAsia="Times New Roman"/>
          <w:sz w:val="30"/>
          <w:szCs w:val="30"/>
          <w:lang w:val="es-ES"/>
        </w:rPr>
        <w:br/>
        <w:t>Cuando un miembro del Comité de Calificación de Riesgo tuviera alguna de las inhabilidades establecidas en los literales anteriores, no podrá participar en dicho proceso de c</w:t>
      </w:r>
      <w:r>
        <w:rPr>
          <w:rFonts w:eastAsia="Times New Roman"/>
          <w:sz w:val="30"/>
          <w:szCs w:val="30"/>
          <w:lang w:val="es-ES"/>
        </w:rPr>
        <w:t>alificación.</w:t>
      </w:r>
    </w:p>
    <w:p w:rsidR="00000000" w:rsidRDefault="0018461E">
      <w:pPr>
        <w:jc w:val="center"/>
        <w:rPr>
          <w:rFonts w:eastAsia="Times New Roman"/>
          <w:sz w:val="36"/>
          <w:szCs w:val="36"/>
          <w:lang w:val="es-ES"/>
        </w:rPr>
      </w:pPr>
      <w:r>
        <w:rPr>
          <w:rFonts w:eastAsia="Times New Roman"/>
          <w:b/>
          <w:bCs/>
          <w:sz w:val="36"/>
          <w:szCs w:val="36"/>
          <w:lang w:val="es-ES"/>
        </w:rPr>
        <w:br/>
        <w:t>Título XX</w:t>
      </w:r>
      <w:r>
        <w:rPr>
          <w:rFonts w:eastAsia="Times New Roman"/>
          <w:b/>
          <w:bCs/>
          <w:sz w:val="36"/>
          <w:szCs w:val="36"/>
          <w:lang w:val="es-ES"/>
        </w:rPr>
        <w:br/>
        <w:t>DE LAS EMPRESAS VINCULADAS</w:t>
      </w:r>
    </w:p>
    <w:p w:rsidR="00000000" w:rsidRDefault="0018461E">
      <w:pPr>
        <w:divId w:val="200631899"/>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Concepto.- </w:t>
      </w:r>
      <w:r>
        <w:rPr>
          <w:rFonts w:eastAsia="Times New Roman"/>
          <w:sz w:val="30"/>
          <w:szCs w:val="30"/>
          <w:lang w:val="es-ES"/>
        </w:rPr>
        <w:t xml:space="preserve">Para efectos de esta Ley se considera empresas vinculadas al conjunto de entidades que, aunque jurídicamente </w:t>
      </w:r>
      <w:r>
        <w:rPr>
          <w:rFonts w:eastAsia="Times New Roman"/>
          <w:sz w:val="30"/>
          <w:szCs w:val="30"/>
          <w:lang w:val="es-ES"/>
        </w:rPr>
        <w:lastRenderedPageBreak/>
        <w:t>independientes, presentan vínculos de tal naturaleza en su propiedad, admi</w:t>
      </w:r>
      <w:r>
        <w:rPr>
          <w:rFonts w:eastAsia="Times New Roman"/>
          <w:sz w:val="30"/>
          <w:szCs w:val="30"/>
          <w:lang w:val="es-ES"/>
        </w:rPr>
        <w:t xml:space="preserve">nistración, responsabilidad crediticia o resultados que hacen presumir que la actuación económica y financiera de estas empresas está guiada por los intereses comunes, o que existen riesgos financieros comunes en los créditos que se les otorgan o respecto </w:t>
      </w:r>
      <w:r>
        <w:rPr>
          <w:rFonts w:eastAsia="Times New Roman"/>
          <w:sz w:val="30"/>
          <w:szCs w:val="30"/>
          <w:lang w:val="es-ES"/>
        </w:rPr>
        <w:t>de los valores que emitan.</w:t>
      </w:r>
      <w:r>
        <w:rPr>
          <w:rFonts w:eastAsia="Times New Roman"/>
          <w:sz w:val="30"/>
          <w:szCs w:val="30"/>
          <w:lang w:val="es-ES"/>
        </w:rPr>
        <w:br/>
      </w:r>
      <w:r>
        <w:rPr>
          <w:rFonts w:eastAsia="Times New Roman"/>
          <w:sz w:val="30"/>
          <w:szCs w:val="30"/>
          <w:lang w:val="es-ES"/>
        </w:rPr>
        <w:br/>
        <w:t>El C.N.V., mediante norma de carácter general determinará los criterios de vinculación por propiedad, gestión o presunción.</w:t>
      </w:r>
      <w:r>
        <w:rPr>
          <w:rFonts w:eastAsia="Times New Roman"/>
          <w:sz w:val="30"/>
          <w:szCs w:val="30"/>
          <w:lang w:val="es-ES"/>
        </w:rPr>
        <w:br/>
      </w:r>
      <w:r>
        <w:rPr>
          <w:rFonts w:eastAsia="Times New Roman"/>
          <w:sz w:val="30"/>
          <w:szCs w:val="30"/>
          <w:lang w:val="es-ES"/>
        </w:rPr>
        <w:br/>
        <w:t>El C.N.V., fijará la forma, contenido y periodicidad de la información que deberán remitir las empresas</w:t>
      </w:r>
      <w:r>
        <w:rPr>
          <w:rFonts w:eastAsia="Times New Roman"/>
          <w:sz w:val="30"/>
          <w:szCs w:val="30"/>
          <w:lang w:val="es-ES"/>
        </w:rPr>
        <w:t xml:space="preserve"> vinculadas a fin de difundirla al mercado.</w:t>
      </w:r>
    </w:p>
    <w:p w:rsidR="00000000" w:rsidRDefault="0018461E">
      <w:pPr>
        <w:divId w:val="1566917737"/>
        <w:rPr>
          <w:rFonts w:eastAsia="Times New Roman"/>
          <w:sz w:val="30"/>
          <w:szCs w:val="30"/>
          <w:lang w:val="es-ES"/>
        </w:rPr>
      </w:pPr>
      <w:r>
        <w:rPr>
          <w:rFonts w:eastAsia="Times New Roman"/>
          <w:sz w:val="30"/>
          <w:szCs w:val="30"/>
          <w:lang w:val="es-ES"/>
        </w:rPr>
        <w:t xml:space="preserve">Art. 192.- </w:t>
      </w:r>
      <w:r>
        <w:rPr>
          <w:rFonts w:eastAsia="Times New Roman"/>
          <w:b/>
          <w:bCs/>
          <w:sz w:val="30"/>
          <w:szCs w:val="30"/>
          <w:lang w:val="es-ES"/>
        </w:rPr>
        <w:t>Del control y acuerdo de actuación conjunta.</w:t>
      </w:r>
      <w:r>
        <w:rPr>
          <w:rFonts w:eastAsia="Times New Roman"/>
          <w:sz w:val="30"/>
          <w:szCs w:val="30"/>
          <w:lang w:val="es-ES"/>
        </w:rPr>
        <w:t>- Se entiende que tienen el control de una sociedad, las personas que por sí o en unión con otras, con las que existe acuerdo de actuación conjunta, tienen e</w:t>
      </w:r>
      <w:r>
        <w:rPr>
          <w:rFonts w:eastAsia="Times New Roman"/>
          <w:sz w:val="30"/>
          <w:szCs w:val="30"/>
          <w:lang w:val="es-ES"/>
        </w:rPr>
        <w:t>l poder de influir en forma determinante en las decisiones de ella; o que son capaces de asegurar la mayoría de votos en las juntas de accionistas y pueden elegir a la mayoría de los directores o administradores.</w:t>
      </w:r>
      <w:r>
        <w:rPr>
          <w:rFonts w:eastAsia="Times New Roman"/>
          <w:sz w:val="30"/>
          <w:szCs w:val="30"/>
          <w:lang w:val="es-ES"/>
        </w:rPr>
        <w:br/>
      </w:r>
      <w:r>
        <w:rPr>
          <w:rFonts w:eastAsia="Times New Roman"/>
          <w:sz w:val="30"/>
          <w:szCs w:val="30"/>
          <w:lang w:val="es-ES"/>
        </w:rPr>
        <w:br/>
        <w:t xml:space="preserve">Se considera que hay acuerdo de actuación </w:t>
      </w:r>
      <w:r>
        <w:rPr>
          <w:rFonts w:eastAsia="Times New Roman"/>
          <w:sz w:val="30"/>
          <w:szCs w:val="30"/>
          <w:lang w:val="es-ES"/>
        </w:rPr>
        <w:t>conjunta, cuando entre dos o más personas existe una convención, expresa o tácita, para participar con similar interés en la gestión de la sociedad o para controlarla.</w:t>
      </w:r>
      <w:r>
        <w:rPr>
          <w:rFonts w:eastAsia="Times New Roman"/>
          <w:sz w:val="30"/>
          <w:szCs w:val="30"/>
          <w:lang w:val="es-ES"/>
        </w:rPr>
        <w:br/>
      </w:r>
      <w:r>
        <w:rPr>
          <w:rFonts w:eastAsia="Times New Roman"/>
          <w:sz w:val="30"/>
          <w:szCs w:val="30"/>
          <w:lang w:val="es-ES"/>
        </w:rPr>
        <w:br/>
        <w:t>La Superintendencia de Compañías determinará si entre dos o más personas existe acuerdo</w:t>
      </w:r>
      <w:r>
        <w:rPr>
          <w:rFonts w:eastAsia="Times New Roman"/>
          <w:sz w:val="30"/>
          <w:szCs w:val="30"/>
          <w:lang w:val="es-ES"/>
        </w:rPr>
        <w:t xml:space="preserve"> en actuación conjunta en consideración a las relaciones de representación, de parentesco, de participación simultánea en otras sociedades y la frecuencia de su votación coincidente en la elección de directores o designación de administradores y en los acu</w:t>
      </w:r>
      <w:r>
        <w:rPr>
          <w:rFonts w:eastAsia="Times New Roman"/>
          <w:sz w:val="30"/>
          <w:szCs w:val="30"/>
          <w:lang w:val="es-ES"/>
        </w:rPr>
        <w:t>erdos de juntas de accionistas.</w:t>
      </w:r>
    </w:p>
    <w:p w:rsidR="00000000" w:rsidRDefault="0018461E">
      <w:pPr>
        <w:divId w:val="225843674"/>
        <w:rPr>
          <w:rFonts w:eastAsia="Times New Roman"/>
          <w:sz w:val="30"/>
          <w:szCs w:val="30"/>
          <w:lang w:val="es-ES"/>
        </w:rPr>
      </w:pPr>
      <w:r>
        <w:rPr>
          <w:rFonts w:eastAsia="Times New Roman"/>
          <w:b/>
          <w:bCs/>
          <w:sz w:val="30"/>
          <w:szCs w:val="30"/>
          <w:lang w:val="es-ES"/>
        </w:rPr>
        <w:t xml:space="preserve">Art. 193.- De las sociedades matriz, afiliada y subsidiaria.- </w:t>
      </w:r>
      <w:r>
        <w:rPr>
          <w:rFonts w:eastAsia="Times New Roman"/>
          <w:sz w:val="30"/>
          <w:szCs w:val="30"/>
          <w:lang w:val="es-ES"/>
        </w:rPr>
        <w:t>Sin perjuicio de las normas que sobre esta materia dicte el C.N.V., se entenderá por:</w:t>
      </w:r>
      <w:r>
        <w:rPr>
          <w:rFonts w:eastAsia="Times New Roman"/>
          <w:sz w:val="30"/>
          <w:szCs w:val="30"/>
          <w:lang w:val="es-ES"/>
        </w:rPr>
        <w:br/>
      </w:r>
      <w:r>
        <w:rPr>
          <w:rFonts w:eastAsia="Times New Roman"/>
          <w:sz w:val="30"/>
          <w:szCs w:val="30"/>
          <w:lang w:val="es-ES"/>
        </w:rPr>
        <w:br/>
        <w:t xml:space="preserve">Sociedad matriz como aquella persona jurídica que hace las veces de cabeza </w:t>
      </w:r>
      <w:r>
        <w:rPr>
          <w:rFonts w:eastAsia="Times New Roman"/>
          <w:sz w:val="30"/>
          <w:szCs w:val="30"/>
          <w:lang w:val="es-ES"/>
        </w:rPr>
        <w:t>de grupo de sus empresas.</w:t>
      </w:r>
      <w:r>
        <w:rPr>
          <w:rFonts w:eastAsia="Times New Roman"/>
          <w:sz w:val="30"/>
          <w:szCs w:val="30"/>
          <w:lang w:val="es-ES"/>
        </w:rPr>
        <w:br/>
      </w:r>
      <w:r>
        <w:rPr>
          <w:rFonts w:eastAsia="Times New Roman"/>
          <w:sz w:val="30"/>
          <w:szCs w:val="30"/>
          <w:lang w:val="es-ES"/>
        </w:rPr>
        <w:br/>
        <w:t xml:space="preserve">Sociedad subsidiaria como aquella que posee personería jurídica propia y en la cual otra sociedad, que será su matriz, tenga una </w:t>
      </w:r>
      <w:r>
        <w:rPr>
          <w:rFonts w:eastAsia="Times New Roman"/>
          <w:sz w:val="30"/>
          <w:szCs w:val="30"/>
          <w:lang w:val="es-ES"/>
        </w:rPr>
        <w:lastRenderedPageBreak/>
        <w:t>participación directa o indirecta, superior al cincuenta por ciento del capital de la compañía recep</w:t>
      </w:r>
      <w:r>
        <w:rPr>
          <w:rFonts w:eastAsia="Times New Roman"/>
          <w:sz w:val="30"/>
          <w:szCs w:val="30"/>
          <w:lang w:val="es-ES"/>
        </w:rPr>
        <w:t>tora de la inversión.</w:t>
      </w:r>
      <w:r>
        <w:rPr>
          <w:rFonts w:eastAsia="Times New Roman"/>
          <w:sz w:val="30"/>
          <w:szCs w:val="30"/>
          <w:lang w:val="es-ES"/>
        </w:rPr>
        <w:br/>
      </w:r>
      <w:r>
        <w:rPr>
          <w:rFonts w:eastAsia="Times New Roman"/>
          <w:sz w:val="30"/>
          <w:szCs w:val="30"/>
          <w:lang w:val="es-ES"/>
        </w:rPr>
        <w:br/>
        <w:t>Sociedad afiliada como aquella persona jurídica que posee en otra, denominada subsidiaria, directa o indirectamente entre el veinte y el cincuenta por ciento del capital de aquella, sin controlarla. También se denomina sociedad afili</w:t>
      </w:r>
      <w:r>
        <w:rPr>
          <w:rFonts w:eastAsia="Times New Roman"/>
          <w:sz w:val="30"/>
          <w:szCs w:val="30"/>
          <w:lang w:val="es-ES"/>
        </w:rPr>
        <w:t>ada aquella que ejerce en la subsidiaria una influencia en su gestión, por la presencia de accionistas, directores, administradores, funcionarios o empleados comunes.</w:t>
      </w:r>
    </w:p>
    <w:p w:rsidR="00000000" w:rsidRDefault="0018461E">
      <w:pPr>
        <w:jc w:val="center"/>
        <w:rPr>
          <w:rFonts w:eastAsia="Times New Roman"/>
          <w:sz w:val="36"/>
          <w:szCs w:val="36"/>
          <w:lang w:val="es-ES"/>
        </w:rPr>
      </w:pPr>
      <w:r>
        <w:rPr>
          <w:rFonts w:eastAsia="Times New Roman"/>
          <w:b/>
          <w:bCs/>
          <w:sz w:val="36"/>
          <w:szCs w:val="36"/>
          <w:lang w:val="es-ES"/>
        </w:rPr>
        <w:br/>
        <w:t>Título XXI</w:t>
      </w:r>
      <w:r>
        <w:rPr>
          <w:rFonts w:eastAsia="Times New Roman"/>
          <w:b/>
          <w:bCs/>
          <w:sz w:val="36"/>
          <w:szCs w:val="36"/>
          <w:lang w:val="es-ES"/>
        </w:rPr>
        <w:br/>
        <w:t>DE LA AUDITORÍA EXTERNA</w:t>
      </w:r>
    </w:p>
    <w:p w:rsidR="00000000" w:rsidRDefault="0018461E">
      <w:pPr>
        <w:divId w:val="1533228599"/>
        <w:rPr>
          <w:rFonts w:eastAsia="Times New Roman"/>
          <w:sz w:val="30"/>
          <w:szCs w:val="30"/>
          <w:lang w:val="es-ES"/>
        </w:rPr>
      </w:pPr>
      <w:r>
        <w:rPr>
          <w:rFonts w:eastAsia="Times New Roman"/>
          <w:b/>
          <w:bCs/>
          <w:sz w:val="30"/>
          <w:szCs w:val="30"/>
          <w:lang w:val="es-ES"/>
        </w:rPr>
        <w:t xml:space="preserve">Art. 194.- Del concepto.- </w:t>
      </w:r>
      <w:r>
        <w:rPr>
          <w:rFonts w:eastAsia="Times New Roman"/>
          <w:sz w:val="30"/>
          <w:szCs w:val="30"/>
          <w:lang w:val="es-ES"/>
        </w:rPr>
        <w:t>(Reformado por el Art. 72 d</w:t>
      </w:r>
      <w:r>
        <w:rPr>
          <w:rFonts w:eastAsia="Times New Roman"/>
          <w:sz w:val="30"/>
          <w:szCs w:val="30"/>
          <w:lang w:val="es-ES"/>
        </w:rPr>
        <w:t>e la Ley s/n, R.O. 249-S, 20-V-2014; y, reformado por la Disposición Reformatoria Décima Séptima, nums. 1 y 2 del Código Orgánico Monetario y Financiero; R.O. 332-2S, 12-IX-2014).- Se entenderá por auditoría externa la actividad que realicen personas juríd</w:t>
      </w:r>
      <w:r>
        <w:rPr>
          <w:rFonts w:eastAsia="Times New Roman"/>
          <w:sz w:val="30"/>
          <w:szCs w:val="30"/>
          <w:lang w:val="es-ES"/>
        </w:rPr>
        <w:t xml:space="preserve">icas, que, especializadas en esta área, den a conocer su opinión sobre la razonabilidad de los estados financieros para representar la situación financiera y los resultados de las operaciones de la entidad auditada. También estas entidades podrán expresar </w:t>
      </w:r>
      <w:r>
        <w:rPr>
          <w:rFonts w:eastAsia="Times New Roman"/>
          <w:sz w:val="30"/>
          <w:szCs w:val="30"/>
          <w:lang w:val="es-ES"/>
        </w:rPr>
        <w:t>sus recomendaciones respecto de los procedimientos contables y del sistema de control interno que mantiene el sujeto auditado.</w:t>
      </w:r>
      <w:r>
        <w:rPr>
          <w:rFonts w:eastAsia="Times New Roman"/>
          <w:sz w:val="30"/>
          <w:szCs w:val="30"/>
          <w:lang w:val="es-ES"/>
        </w:rPr>
        <w:br/>
      </w:r>
      <w:r>
        <w:rPr>
          <w:rFonts w:eastAsia="Times New Roman"/>
          <w:sz w:val="30"/>
          <w:szCs w:val="30"/>
          <w:lang w:val="es-ES"/>
        </w:rPr>
        <w:br/>
        <w:t>Las instituciones reguladas por esta Ley, así como los emisores de valores inscritos en el Catastro Público del Mercado de Valor</w:t>
      </w:r>
      <w:r>
        <w:rPr>
          <w:rFonts w:eastAsia="Times New Roman"/>
          <w:sz w:val="30"/>
          <w:szCs w:val="30"/>
          <w:lang w:val="es-ES"/>
        </w:rPr>
        <w:t>es estarán obligados a llevar auditoría externa.</w:t>
      </w:r>
      <w:r>
        <w:rPr>
          <w:rFonts w:eastAsia="Times New Roman"/>
          <w:sz w:val="30"/>
          <w:szCs w:val="30"/>
          <w:lang w:val="es-ES"/>
        </w:rPr>
        <w:br/>
      </w:r>
      <w:r>
        <w:rPr>
          <w:rFonts w:eastAsia="Times New Roman"/>
          <w:sz w:val="30"/>
          <w:szCs w:val="30"/>
          <w:lang w:val="es-ES"/>
        </w:rPr>
        <w:br/>
        <w:t>Dicha auditoría deberá efectuarse por lo menos anualmente de acuerdo con las normas que para el efecto dicte el C.N.V.</w:t>
      </w:r>
      <w:r>
        <w:rPr>
          <w:rFonts w:eastAsia="Times New Roman"/>
          <w:sz w:val="30"/>
          <w:szCs w:val="30"/>
          <w:lang w:val="es-ES"/>
        </w:rPr>
        <w:br/>
      </w:r>
      <w:r>
        <w:rPr>
          <w:rFonts w:eastAsia="Times New Roman"/>
          <w:sz w:val="30"/>
          <w:szCs w:val="30"/>
          <w:lang w:val="es-ES"/>
        </w:rPr>
        <w:br/>
        <w:t>Para el control de las operaciones, que realicen las entidades públicas, en aplicación</w:t>
      </w:r>
      <w:r>
        <w:rPr>
          <w:rFonts w:eastAsia="Times New Roman"/>
          <w:sz w:val="30"/>
          <w:szCs w:val="30"/>
          <w:lang w:val="es-ES"/>
        </w:rPr>
        <w:t xml:space="preserve"> de esta Ley, podrán contratarse firmas auditoras externas, previa autorización de la Contraloría General del Estado, cuando las entidades estén sometidas a su control. Para tal efecto se aplicarán las disposiciones previstas en esta Ley, en lo que no se o</w:t>
      </w:r>
      <w:r>
        <w:rPr>
          <w:rFonts w:eastAsia="Times New Roman"/>
          <w:sz w:val="30"/>
          <w:szCs w:val="30"/>
          <w:lang w:val="es-ES"/>
        </w:rPr>
        <w:t>pongan a las leyes de control pertinentes.</w:t>
      </w:r>
      <w:r>
        <w:rPr>
          <w:rFonts w:eastAsia="Times New Roman"/>
          <w:sz w:val="30"/>
          <w:szCs w:val="30"/>
          <w:lang w:val="es-ES"/>
        </w:rPr>
        <w:br/>
      </w:r>
      <w:r>
        <w:rPr>
          <w:rFonts w:eastAsia="Times New Roman"/>
          <w:sz w:val="30"/>
          <w:szCs w:val="30"/>
          <w:lang w:val="es-ES"/>
        </w:rPr>
        <w:br/>
        <w:t xml:space="preserve">Se exceptúan del cumplimiento de esta obligación a los representantes </w:t>
      </w:r>
      <w:r>
        <w:rPr>
          <w:rFonts w:eastAsia="Times New Roman"/>
          <w:sz w:val="30"/>
          <w:szCs w:val="30"/>
          <w:lang w:val="es-ES"/>
        </w:rPr>
        <w:lastRenderedPageBreak/>
        <w:t>de los obligacionistas, emisores de facturas comerciales negociables, las asociaciones gremiales formadas por los entes creados al amparo de e</w:t>
      </w:r>
      <w:r>
        <w:rPr>
          <w:rFonts w:eastAsia="Times New Roman"/>
          <w:sz w:val="30"/>
          <w:szCs w:val="30"/>
          <w:lang w:val="es-ES"/>
        </w:rPr>
        <w:t>sta ley, y otros que determine la Junta de Política y Regulación Monetaria y Financiera, mediante disposición de carácter general, en función de las necesidades del mercado.</w:t>
      </w:r>
      <w:r>
        <w:rPr>
          <w:rFonts w:eastAsia="Times New Roman"/>
          <w:sz w:val="30"/>
          <w:szCs w:val="30"/>
          <w:lang w:val="es-ES"/>
        </w:rPr>
        <w:br/>
      </w:r>
      <w:r>
        <w:rPr>
          <w:rFonts w:eastAsia="Times New Roman"/>
          <w:sz w:val="30"/>
          <w:szCs w:val="30"/>
          <w:lang w:val="es-ES"/>
        </w:rPr>
        <w:br/>
        <w:t>Ninguna persona jurídica podrá efectuar auditoría externa por más de tres años co</w:t>
      </w:r>
      <w:r>
        <w:rPr>
          <w:rFonts w:eastAsia="Times New Roman"/>
          <w:sz w:val="30"/>
          <w:szCs w:val="30"/>
          <w:lang w:val="es-ES"/>
        </w:rPr>
        <w:t>nsecutivos respecto de un mismo sujeto de auditoría.</w:t>
      </w:r>
    </w:p>
    <w:p w:rsidR="00000000" w:rsidRDefault="0018461E">
      <w:pPr>
        <w:divId w:val="35205891"/>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De la inscripción, suspensión y cancelación del Registro.- </w:t>
      </w:r>
      <w:r>
        <w:rPr>
          <w:rFonts w:eastAsia="Times New Roman"/>
          <w:sz w:val="30"/>
          <w:szCs w:val="30"/>
          <w:lang w:val="es-ES"/>
        </w:rPr>
        <w:t>(Sustituido por el Art. 73 de la Ley s/n, R.O. 249-S, 20-V-2014; y, reformado por la Disposición Reformatoria Décima Séptima, nums. 1</w:t>
      </w:r>
      <w:r>
        <w:rPr>
          <w:rFonts w:eastAsia="Times New Roman"/>
          <w:sz w:val="30"/>
          <w:szCs w:val="30"/>
          <w:lang w:val="es-ES"/>
        </w:rPr>
        <w:t>, 2 y 3 del Código Orgánico Monetario y Financiero; R.O. 332-2S, 12-IX-2014).- Las personas jurídicas que realicen auditorías externas en entidades reguladas por esta Ley deberán estar inscritas en el Catastro Público del Mercado de Valores. La inscripción</w:t>
      </w:r>
      <w:r>
        <w:rPr>
          <w:rFonts w:eastAsia="Times New Roman"/>
          <w:sz w:val="30"/>
          <w:szCs w:val="30"/>
          <w:lang w:val="es-ES"/>
        </w:rPr>
        <w:t xml:space="preserve"> en el Registro requerirá el cumplimiento de los requisitos y obligaciones señalados en las normas de carácter general que establezca la Junta de Política y Regulación Monetaria y Financiera.</w:t>
      </w:r>
      <w:r>
        <w:rPr>
          <w:rFonts w:eastAsia="Times New Roman"/>
          <w:sz w:val="30"/>
          <w:szCs w:val="30"/>
          <w:lang w:val="es-ES"/>
        </w:rPr>
        <w:br/>
      </w:r>
      <w:r>
        <w:rPr>
          <w:rFonts w:eastAsia="Times New Roman"/>
          <w:sz w:val="30"/>
          <w:szCs w:val="30"/>
          <w:lang w:val="es-ES"/>
        </w:rPr>
        <w:br/>
        <w:t>La Superintendencia de Compañías Valores y Seguros podrá, a tra</w:t>
      </w:r>
      <w:r>
        <w:rPr>
          <w:rFonts w:eastAsia="Times New Roman"/>
          <w:sz w:val="30"/>
          <w:szCs w:val="30"/>
          <w:lang w:val="es-ES"/>
        </w:rPr>
        <w:t>vés de los funcionarios especializados en auditoría, revisar los papeles de trabajo y, recibir de parte de la auditoría externa la información y el sustento técnico de descargo de los asuntos que resultaren de la revisión.</w:t>
      </w:r>
    </w:p>
    <w:p w:rsidR="00000000" w:rsidRDefault="0018461E">
      <w:pPr>
        <w:divId w:val="19355072"/>
        <w:rPr>
          <w:rFonts w:eastAsia="Times New Roman"/>
          <w:sz w:val="30"/>
          <w:szCs w:val="30"/>
          <w:lang w:val="es-ES"/>
        </w:rPr>
      </w:pPr>
      <w:r>
        <w:rPr>
          <w:rFonts w:eastAsia="Times New Roman"/>
          <w:b/>
          <w:bCs/>
          <w:sz w:val="30"/>
          <w:szCs w:val="30"/>
          <w:lang w:val="es-ES"/>
        </w:rPr>
        <w:t>Art. 196.- Independencia y divers</w:t>
      </w:r>
      <w:r>
        <w:rPr>
          <w:rFonts w:eastAsia="Times New Roman"/>
          <w:b/>
          <w:bCs/>
          <w:sz w:val="30"/>
          <w:szCs w:val="30"/>
          <w:lang w:val="es-ES"/>
        </w:rPr>
        <w:t xml:space="preserve">ificación de ingresos.- </w:t>
      </w:r>
      <w:r>
        <w:rPr>
          <w:rFonts w:eastAsia="Times New Roman"/>
          <w:sz w:val="30"/>
          <w:szCs w:val="30"/>
          <w:lang w:val="es-ES"/>
        </w:rPr>
        <w:t>(Reformado por la Disposición Reformatoria Décima Séptima, num. 1 del Código Orgánico Monetario y Financiero; R.O. 332-2S, 12-IX-2014).- Las sociedades de auditoría externa deben ser independientes de las entidades auditadas, por lo</w:t>
      </w:r>
      <w:r>
        <w:rPr>
          <w:rFonts w:eastAsia="Times New Roman"/>
          <w:sz w:val="30"/>
          <w:szCs w:val="30"/>
          <w:lang w:val="es-ES"/>
        </w:rPr>
        <w:t xml:space="preserve"> que no podrán poseer, directa o indirectamente, más del cinco por ciento del capital suscrito de éstas. Los ingresos obtenidos por auditoría externa que provengan de un mismo cliente o empresas vinculadas al que pertenezca éste, no podrán exceder del vein</w:t>
      </w:r>
      <w:r>
        <w:rPr>
          <w:rFonts w:eastAsia="Times New Roman"/>
          <w:sz w:val="30"/>
          <w:szCs w:val="30"/>
          <w:lang w:val="es-ES"/>
        </w:rPr>
        <w:t>te por ciento de los ingresos anuales de la firma auditora, desde el segundo año de inscrita en el Catastro Público del Mercado de Valores.</w:t>
      </w:r>
    </w:p>
    <w:p w:rsidR="00000000" w:rsidRDefault="0018461E">
      <w:pPr>
        <w:divId w:val="1182359667"/>
        <w:rPr>
          <w:rFonts w:eastAsia="Times New Roman"/>
          <w:sz w:val="30"/>
          <w:szCs w:val="30"/>
          <w:lang w:val="es-ES"/>
        </w:rPr>
      </w:pPr>
      <w:r>
        <w:rPr>
          <w:rFonts w:eastAsia="Times New Roman"/>
          <w:b/>
          <w:bCs/>
          <w:sz w:val="30"/>
          <w:szCs w:val="30"/>
          <w:lang w:val="es-ES"/>
        </w:rPr>
        <w:t>Art. 197.- De las inhabilidades para la auditoría.</w:t>
      </w:r>
      <w:r>
        <w:rPr>
          <w:rFonts w:eastAsia="Times New Roman"/>
          <w:sz w:val="30"/>
          <w:szCs w:val="30"/>
          <w:lang w:val="es-ES"/>
        </w:rPr>
        <w:t xml:space="preserve">- (Reformado por la Disposición Reformatoria Décima Séptima, num. </w:t>
      </w:r>
      <w:r>
        <w:rPr>
          <w:rFonts w:eastAsia="Times New Roman"/>
          <w:sz w:val="30"/>
          <w:szCs w:val="30"/>
          <w:lang w:val="es-ES"/>
        </w:rPr>
        <w:t xml:space="preserve">18 del Código Orgánico Monetario y Financiero; R.O. 332-2S, 12-IX-2014).- Las sociedades de auditoría externa, sus administradores, socios o personas a quienes la sociedad encomiende la dirección de una </w:t>
      </w:r>
      <w:r>
        <w:rPr>
          <w:rFonts w:eastAsia="Times New Roman"/>
          <w:sz w:val="30"/>
          <w:szCs w:val="30"/>
          <w:lang w:val="es-ES"/>
        </w:rPr>
        <w:lastRenderedPageBreak/>
        <w:t>determinada auditoría y los que firmen los informes y</w:t>
      </w:r>
      <w:r>
        <w:rPr>
          <w:rFonts w:eastAsia="Times New Roman"/>
          <w:sz w:val="30"/>
          <w:szCs w:val="30"/>
          <w:lang w:val="es-ES"/>
        </w:rPr>
        <w:t xml:space="preserve"> dictámenes correspondientes, deberán estar libres de las inhabilidades establecidas en el artículo siete de esta Ley, en lo que les fuere aplicable.</w:t>
      </w:r>
      <w:r>
        <w:rPr>
          <w:rFonts w:eastAsia="Times New Roman"/>
          <w:sz w:val="30"/>
          <w:szCs w:val="30"/>
          <w:lang w:val="es-ES"/>
        </w:rPr>
        <w:br/>
      </w:r>
      <w:r>
        <w:rPr>
          <w:rFonts w:eastAsia="Times New Roman"/>
          <w:sz w:val="30"/>
          <w:szCs w:val="30"/>
          <w:lang w:val="es-ES"/>
        </w:rPr>
        <w:br/>
        <w:t>Sin perjuicio de lo anterior no serán hábiles para efectuar una auditoría externa determinada:</w:t>
      </w:r>
      <w:r>
        <w:rPr>
          <w:rFonts w:eastAsia="Times New Roman"/>
          <w:sz w:val="30"/>
          <w:szCs w:val="30"/>
          <w:lang w:val="es-ES"/>
        </w:rPr>
        <w:br/>
      </w:r>
      <w:r>
        <w:rPr>
          <w:rFonts w:eastAsia="Times New Roman"/>
          <w:sz w:val="30"/>
          <w:szCs w:val="30"/>
          <w:lang w:val="es-ES"/>
        </w:rPr>
        <w:br/>
        <w:t>a) Los mi</w:t>
      </w:r>
      <w:r>
        <w:rPr>
          <w:rFonts w:eastAsia="Times New Roman"/>
          <w:sz w:val="30"/>
          <w:szCs w:val="30"/>
          <w:lang w:val="es-ES"/>
        </w:rPr>
        <w:t>embros del Directorio del Banco Central del Ecuador, Junta Bancaria y C.N.V.; los empleados y funcionarios del Banco Central del Ecuador, de las Superintendencias de Compañías y de Bancos y Seguros y, de cualquier otra entidad supervisora del mercado de ca</w:t>
      </w:r>
      <w:r>
        <w:rPr>
          <w:rFonts w:eastAsia="Times New Roman"/>
          <w:sz w:val="30"/>
          <w:szCs w:val="30"/>
          <w:lang w:val="es-ES"/>
        </w:rPr>
        <w:t xml:space="preserve">pitales. Tampoco lo serán los miembros de las bolsas de valores y los socios, administradores u operadores de las casas de valores o de bancos o sociedades financieras o de cualquier otra entidad que por ley tenga objeto exclusivo; </w:t>
      </w:r>
      <w:r>
        <w:rPr>
          <w:rFonts w:eastAsia="Times New Roman"/>
          <w:sz w:val="30"/>
          <w:szCs w:val="30"/>
          <w:lang w:val="es-ES"/>
        </w:rPr>
        <w:br/>
      </w:r>
      <w:r>
        <w:rPr>
          <w:rFonts w:eastAsia="Times New Roman"/>
          <w:sz w:val="30"/>
          <w:szCs w:val="30"/>
          <w:lang w:val="es-ES"/>
        </w:rPr>
        <w:br/>
        <w:t>b) Las empresas vincul</w:t>
      </w:r>
      <w:r>
        <w:rPr>
          <w:rFonts w:eastAsia="Times New Roman"/>
          <w:sz w:val="30"/>
          <w:szCs w:val="30"/>
          <w:lang w:val="es-ES"/>
        </w:rPr>
        <w:t xml:space="preserve">adas al emisor conforme a lo establecido en esta Ley; </w:t>
      </w:r>
      <w:r>
        <w:rPr>
          <w:rFonts w:eastAsia="Times New Roman"/>
          <w:sz w:val="30"/>
          <w:szCs w:val="30"/>
          <w:lang w:val="es-ES"/>
        </w:rPr>
        <w:br/>
      </w:r>
      <w:r>
        <w:rPr>
          <w:rFonts w:eastAsia="Times New Roman"/>
          <w:sz w:val="30"/>
          <w:szCs w:val="30"/>
          <w:lang w:val="es-ES"/>
        </w:rPr>
        <w:br/>
        <w:t xml:space="preserve">c) Quienes presten servicios o tengan vínculos de subordinación o dependencia con la entidad auditada, sus subsidiarias o las entidades o empresas vinculadas; </w:t>
      </w:r>
      <w:r>
        <w:rPr>
          <w:rFonts w:eastAsia="Times New Roman"/>
          <w:sz w:val="30"/>
          <w:szCs w:val="30"/>
          <w:lang w:val="es-ES"/>
        </w:rPr>
        <w:br/>
      </w:r>
      <w:r>
        <w:rPr>
          <w:rFonts w:eastAsia="Times New Roman"/>
          <w:sz w:val="30"/>
          <w:szCs w:val="30"/>
          <w:lang w:val="es-ES"/>
        </w:rPr>
        <w:br/>
        <w:t>d) Las personas naturales que posean va</w:t>
      </w:r>
      <w:r>
        <w:rPr>
          <w:rFonts w:eastAsia="Times New Roman"/>
          <w:sz w:val="30"/>
          <w:szCs w:val="30"/>
          <w:lang w:val="es-ES"/>
        </w:rPr>
        <w:t>lores emitidos por la entidad auditada, el conjunto de sus empresas vinculadas, en forma directa o en el conjunto con otras, por montos superiores a diez mil quinientos quince 60/100 (10.515,60) dólares de los Estados Unidos de América. Esta inhabilidad se</w:t>
      </w:r>
      <w:r>
        <w:rPr>
          <w:rFonts w:eastAsia="Times New Roman"/>
          <w:sz w:val="30"/>
          <w:szCs w:val="30"/>
          <w:lang w:val="es-ES"/>
        </w:rPr>
        <w:t xml:space="preserve"> extenderá a aquellas personas que tengan compromisos u opciones de compra o venta sobre dichos valores; </w:t>
      </w:r>
      <w:r>
        <w:rPr>
          <w:rFonts w:eastAsia="Times New Roman"/>
          <w:sz w:val="30"/>
          <w:szCs w:val="30"/>
          <w:lang w:val="es-ES"/>
        </w:rPr>
        <w:br/>
      </w:r>
      <w:r>
        <w:rPr>
          <w:rFonts w:eastAsia="Times New Roman"/>
          <w:sz w:val="30"/>
          <w:szCs w:val="30"/>
          <w:lang w:val="es-ES"/>
        </w:rPr>
        <w:br/>
        <w:t>e) Las personas jurídicas que posean valores emitidos por la entidad auditada, el conjunto de sus empresas vinculadas, por sí mismas o en conjunto co</w:t>
      </w:r>
      <w:r>
        <w:rPr>
          <w:rFonts w:eastAsia="Times New Roman"/>
          <w:sz w:val="30"/>
          <w:szCs w:val="30"/>
          <w:lang w:val="es-ES"/>
        </w:rPr>
        <w:t>n otras, por más del cinco por ciento del activo corriente del emisor o más de treinta y nueve mil cuatrocientos treinta y tres 50/100 (39.433,50) dólares de los Estados Unidos de América, la que fuere mayor. Esta inhabilidad se extenderá a aquellas person</w:t>
      </w:r>
      <w:r>
        <w:rPr>
          <w:rFonts w:eastAsia="Times New Roman"/>
          <w:sz w:val="30"/>
          <w:szCs w:val="30"/>
          <w:lang w:val="es-ES"/>
        </w:rPr>
        <w:t xml:space="preserve">as que tengan compromisos u opciones de compra o venta sobre dichos valores; </w:t>
      </w:r>
      <w:r>
        <w:rPr>
          <w:rFonts w:eastAsia="Times New Roman"/>
          <w:sz w:val="30"/>
          <w:szCs w:val="30"/>
          <w:lang w:val="es-ES"/>
        </w:rPr>
        <w:br/>
      </w:r>
      <w:r>
        <w:rPr>
          <w:rFonts w:eastAsia="Times New Roman"/>
          <w:sz w:val="30"/>
          <w:szCs w:val="30"/>
          <w:lang w:val="es-ES"/>
        </w:rPr>
        <w:br/>
        <w:t xml:space="preserve">f) Quienes tengan o hayan tenido durante el último año, una </w:t>
      </w:r>
      <w:r>
        <w:rPr>
          <w:rFonts w:eastAsia="Times New Roman"/>
          <w:sz w:val="30"/>
          <w:szCs w:val="30"/>
          <w:lang w:val="es-ES"/>
        </w:rPr>
        <w:lastRenderedPageBreak/>
        <w:t xml:space="preserve">significativa relación de negocios con la entidad auditada, sus subsidiarias o entidades de sus empresas vinculadas, </w:t>
      </w:r>
      <w:r>
        <w:rPr>
          <w:rFonts w:eastAsia="Times New Roman"/>
          <w:sz w:val="30"/>
          <w:szCs w:val="30"/>
          <w:lang w:val="es-ES"/>
        </w:rPr>
        <w:t xml:space="preserve">excepto por las que hayan ejercido auditoría externa, servicios de consultoría y otros servicios profesionales; </w:t>
      </w:r>
      <w:r>
        <w:rPr>
          <w:rFonts w:eastAsia="Times New Roman"/>
          <w:sz w:val="30"/>
          <w:szCs w:val="30"/>
          <w:lang w:val="es-ES"/>
        </w:rPr>
        <w:br/>
      </w:r>
      <w:r>
        <w:rPr>
          <w:rFonts w:eastAsia="Times New Roman"/>
          <w:sz w:val="30"/>
          <w:szCs w:val="30"/>
          <w:lang w:val="es-ES"/>
        </w:rPr>
        <w:br/>
        <w:t>g) Los cónyuges o convivientes en unión de hecho, de los administradores y comisarios de la entidad auditada y quienes estén con respecto a lo</w:t>
      </w:r>
      <w:r>
        <w:rPr>
          <w:rFonts w:eastAsia="Times New Roman"/>
          <w:sz w:val="30"/>
          <w:szCs w:val="30"/>
          <w:lang w:val="es-ES"/>
        </w:rPr>
        <w:t>s administradores y directores de las instituciones reguladas por esta Ley, así como los emisores de valores inscritos en el Registro del Mercado de Valores, dentro del cuarto grado de consanguinidad o segundo de afinidad; y,</w:t>
      </w:r>
      <w:r>
        <w:rPr>
          <w:rFonts w:eastAsia="Times New Roman"/>
          <w:sz w:val="30"/>
          <w:szCs w:val="30"/>
          <w:lang w:val="es-ES"/>
        </w:rPr>
        <w:br/>
      </w:r>
      <w:r>
        <w:rPr>
          <w:rFonts w:eastAsia="Times New Roman"/>
          <w:sz w:val="30"/>
          <w:szCs w:val="30"/>
          <w:lang w:val="es-ES"/>
        </w:rPr>
        <w:br/>
        <w:t>h) Aquellas personas que el C</w:t>
      </w:r>
      <w:r>
        <w:rPr>
          <w:rFonts w:eastAsia="Times New Roman"/>
          <w:sz w:val="30"/>
          <w:szCs w:val="30"/>
          <w:lang w:val="es-ES"/>
        </w:rPr>
        <w:t>.N.V, determine por normas de carácter general, en atención a los vínculos que tengan con la entidad auditada y que pudieran comprometer su capacidad para expresar opiniones independientes sobre su trabajo de auditoría externa.</w:t>
      </w:r>
    </w:p>
    <w:p w:rsidR="00000000" w:rsidRDefault="0018461E">
      <w:pPr>
        <w:divId w:val="1298143422"/>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Responsabilidad d</w:t>
      </w:r>
      <w:r>
        <w:rPr>
          <w:rFonts w:eastAsia="Times New Roman"/>
          <w:b/>
          <w:bCs/>
          <w:sz w:val="30"/>
          <w:szCs w:val="30"/>
          <w:lang w:val="es-ES"/>
        </w:rPr>
        <w:t>e los auditores.</w:t>
      </w:r>
      <w:r>
        <w:rPr>
          <w:rFonts w:eastAsia="Times New Roman"/>
          <w:sz w:val="30"/>
          <w:szCs w:val="30"/>
          <w:lang w:val="es-ES"/>
        </w:rPr>
        <w:t>- Las sociedades auditoras externas y el personal a su cargo que efectúe trabajos de auditoría externa para entidades reguladas por esta Ley y que requieran de dicha auditoría, responderán hasta de la culpa leve por los perjuicios que causa</w:t>
      </w:r>
      <w:r>
        <w:rPr>
          <w:rFonts w:eastAsia="Times New Roman"/>
          <w:sz w:val="30"/>
          <w:szCs w:val="30"/>
          <w:lang w:val="es-ES"/>
        </w:rPr>
        <w:t>ren a los accionistas o socios de la entidad auditada y a terceros con ocasión de sus actuaciones, informes y dictámenes.</w:t>
      </w:r>
    </w:p>
    <w:p w:rsidR="00000000" w:rsidRDefault="0018461E">
      <w:pPr>
        <w:divId w:val="887883398"/>
        <w:rPr>
          <w:rFonts w:eastAsia="Times New Roman"/>
          <w:sz w:val="30"/>
          <w:szCs w:val="30"/>
          <w:lang w:val="es-ES"/>
        </w:rPr>
      </w:pPr>
      <w:r>
        <w:rPr>
          <w:rFonts w:eastAsia="Times New Roman"/>
          <w:sz w:val="30"/>
          <w:szCs w:val="30"/>
          <w:lang w:val="es-ES"/>
        </w:rPr>
        <w:t xml:space="preserve">Art. 199.- </w:t>
      </w:r>
      <w:r>
        <w:rPr>
          <w:rFonts w:eastAsia="Times New Roman"/>
          <w:b/>
          <w:bCs/>
          <w:sz w:val="30"/>
          <w:szCs w:val="30"/>
          <w:lang w:val="es-ES"/>
        </w:rPr>
        <w:t>De la información de las firmas auditoras.</w:t>
      </w:r>
      <w:r>
        <w:rPr>
          <w:rFonts w:eastAsia="Times New Roman"/>
          <w:sz w:val="30"/>
          <w:szCs w:val="30"/>
          <w:lang w:val="es-ES"/>
        </w:rPr>
        <w:t>- (Reformado por la Disposición Reformatoria Décima Séptima, num. 1 del Código Or</w:t>
      </w:r>
      <w:r>
        <w:rPr>
          <w:rFonts w:eastAsia="Times New Roman"/>
          <w:sz w:val="30"/>
          <w:szCs w:val="30"/>
          <w:lang w:val="es-ES"/>
        </w:rPr>
        <w:t>gánico Monetario y Financiero; R.O. 332-2S, 12-IX-2014).- Las sociedades de auditoría externa y el personal a su cargo que efectúe trabajos de auditoría externa estarán facultados para examinar todos los libros, registros, documentos y antecedentes de la e</w:t>
      </w:r>
      <w:r>
        <w:rPr>
          <w:rFonts w:eastAsia="Times New Roman"/>
          <w:sz w:val="30"/>
          <w:szCs w:val="30"/>
          <w:lang w:val="es-ES"/>
        </w:rPr>
        <w:t>ntidad auditada, incluso los de sus subsidiarias, debiendo éstas y aquéllas otorgarles todas las facilidades necesarias para el desempeño de su labor.</w:t>
      </w:r>
      <w:r>
        <w:rPr>
          <w:rFonts w:eastAsia="Times New Roman"/>
          <w:sz w:val="30"/>
          <w:szCs w:val="30"/>
          <w:lang w:val="es-ES"/>
        </w:rPr>
        <w:br/>
      </w:r>
      <w:r>
        <w:rPr>
          <w:rFonts w:eastAsia="Times New Roman"/>
          <w:sz w:val="30"/>
          <w:szCs w:val="30"/>
          <w:lang w:val="es-ES"/>
        </w:rPr>
        <w:br/>
        <w:t xml:space="preserve">Las sociedades auditoras quedan obligadas a enviar el informe completo de la auditoría realizada y, sus </w:t>
      </w:r>
      <w:r>
        <w:rPr>
          <w:rFonts w:eastAsia="Times New Roman"/>
          <w:sz w:val="30"/>
          <w:szCs w:val="30"/>
          <w:lang w:val="es-ES"/>
        </w:rPr>
        <w:t>dictámenes al Catastro Público del Mercado de Valores.</w:t>
      </w:r>
    </w:p>
    <w:p w:rsidR="00000000" w:rsidRDefault="0018461E">
      <w:pPr>
        <w:divId w:val="1063675756"/>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Reserva respecto a la información.- </w:t>
      </w:r>
      <w:r>
        <w:rPr>
          <w:rFonts w:eastAsia="Times New Roman"/>
          <w:sz w:val="30"/>
          <w:szCs w:val="30"/>
          <w:lang w:val="es-ES"/>
        </w:rPr>
        <w:t>Las sociedades auditoras externas y el personal a su cargo que efectúe trabajos de auditoría externa deberán guardar reserva respecto de la información de</w:t>
      </w:r>
      <w:r>
        <w:rPr>
          <w:rFonts w:eastAsia="Times New Roman"/>
          <w:sz w:val="30"/>
          <w:szCs w:val="30"/>
          <w:lang w:val="es-ES"/>
        </w:rPr>
        <w:t xml:space="preserve"> la sociedad, no difundiéndola a terceros antes de la entrega formal a la entidad auditada, debiendo además sujetarse a lo establecido en el </w:t>
      </w:r>
      <w:r>
        <w:rPr>
          <w:rFonts w:eastAsia="Times New Roman"/>
          <w:sz w:val="30"/>
          <w:szCs w:val="30"/>
          <w:lang w:val="es-ES"/>
        </w:rPr>
        <w:lastRenderedPageBreak/>
        <w:t>artículo 27 de esta Ley.</w:t>
      </w:r>
      <w:r>
        <w:rPr>
          <w:rFonts w:eastAsia="Times New Roman"/>
          <w:sz w:val="30"/>
          <w:szCs w:val="30"/>
          <w:lang w:val="es-ES"/>
        </w:rPr>
        <w:br/>
      </w:r>
      <w:r>
        <w:rPr>
          <w:rFonts w:eastAsia="Times New Roman"/>
          <w:sz w:val="30"/>
          <w:szCs w:val="30"/>
          <w:lang w:val="es-ES"/>
        </w:rPr>
        <w:br/>
        <w:t>La obtención de la información por parte de las sociedades de auditoría o su entrega a és</w:t>
      </w:r>
      <w:r>
        <w:rPr>
          <w:rFonts w:eastAsia="Times New Roman"/>
          <w:sz w:val="30"/>
          <w:szCs w:val="30"/>
          <w:lang w:val="es-ES"/>
        </w:rPr>
        <w:t>tas no se considerará falta al sigilo bancario o bursátil.</w:t>
      </w:r>
      <w:r>
        <w:rPr>
          <w:rFonts w:eastAsia="Times New Roman"/>
          <w:sz w:val="30"/>
          <w:szCs w:val="30"/>
          <w:lang w:val="es-ES"/>
        </w:rPr>
        <w:br/>
      </w:r>
      <w:r>
        <w:rPr>
          <w:rFonts w:eastAsia="Times New Roman"/>
          <w:sz w:val="30"/>
          <w:szCs w:val="30"/>
          <w:lang w:val="es-ES"/>
        </w:rPr>
        <w:br/>
        <w:t>La revisión de la documentación y antecedentes de la entidad auditada por parte de las sociedades de auditoría externa deberá ser realizada en las oficinas de la entidad sujeto de auditoría, en cu</w:t>
      </w:r>
      <w:r>
        <w:rPr>
          <w:rFonts w:eastAsia="Times New Roman"/>
          <w:sz w:val="30"/>
          <w:szCs w:val="30"/>
          <w:lang w:val="es-ES"/>
        </w:rPr>
        <w:t>alquier momento, tratando de no afectar su gestión social y, sin que se le pueda limitar o condicionar este derecho.</w:t>
      </w:r>
    </w:p>
    <w:p w:rsidR="00000000" w:rsidRDefault="0018461E">
      <w:pPr>
        <w:divId w:val="1384672590"/>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De las funciones de las auditoras.- </w:t>
      </w:r>
      <w:r>
        <w:rPr>
          <w:rFonts w:eastAsia="Times New Roman"/>
          <w:sz w:val="30"/>
          <w:szCs w:val="30"/>
          <w:lang w:val="es-ES"/>
        </w:rPr>
        <w:t>En el cumplimiento de sus funciones la auditora externa deberá emitir dictamen sobre los est</w:t>
      </w:r>
      <w:r>
        <w:rPr>
          <w:rFonts w:eastAsia="Times New Roman"/>
          <w:sz w:val="30"/>
          <w:szCs w:val="30"/>
          <w:lang w:val="es-ES"/>
        </w:rPr>
        <w:t>ados financieros de la entidad auditada y expresar su opinión profesional e independiente sobre dichos documentos. Esta función, implica, entre otras:</w:t>
      </w:r>
      <w:r>
        <w:rPr>
          <w:rFonts w:eastAsia="Times New Roman"/>
          <w:sz w:val="30"/>
          <w:szCs w:val="30"/>
          <w:lang w:val="es-ES"/>
        </w:rPr>
        <w:br/>
      </w:r>
      <w:r>
        <w:rPr>
          <w:rFonts w:eastAsia="Times New Roman"/>
          <w:sz w:val="30"/>
          <w:szCs w:val="30"/>
          <w:lang w:val="es-ES"/>
        </w:rPr>
        <w:br/>
        <w:t>a) Examinar si los diversos tipos de operaciones realizadas por la sociedad están reflejadas razonableme</w:t>
      </w:r>
      <w:r>
        <w:rPr>
          <w:rFonts w:eastAsia="Times New Roman"/>
          <w:sz w:val="30"/>
          <w:szCs w:val="30"/>
          <w:lang w:val="es-ES"/>
        </w:rPr>
        <w:t xml:space="preserve">nte en su contabilidad y estados financieros; </w:t>
      </w:r>
      <w:r>
        <w:rPr>
          <w:rFonts w:eastAsia="Times New Roman"/>
          <w:sz w:val="30"/>
          <w:szCs w:val="30"/>
          <w:lang w:val="es-ES"/>
        </w:rPr>
        <w:br/>
      </w:r>
      <w:r>
        <w:rPr>
          <w:rFonts w:eastAsia="Times New Roman"/>
          <w:sz w:val="30"/>
          <w:szCs w:val="30"/>
          <w:lang w:val="es-ES"/>
        </w:rPr>
        <w:br/>
        <w:t xml:space="preserve">b) Señalar a los administradores de la sociedad auditada las deficiencias que se detecten respecto a la adopción de prácticas contables, al mantenimiento de un sistema administrativo contable efectivo y a la </w:t>
      </w:r>
      <w:r>
        <w:rPr>
          <w:rFonts w:eastAsia="Times New Roman"/>
          <w:sz w:val="30"/>
          <w:szCs w:val="30"/>
          <w:lang w:val="es-ES"/>
        </w:rPr>
        <w:t xml:space="preserve">creación y mantenimiento de un sistema de control interno adecuado; </w:t>
      </w:r>
      <w:r>
        <w:rPr>
          <w:rFonts w:eastAsia="Times New Roman"/>
          <w:sz w:val="30"/>
          <w:szCs w:val="30"/>
          <w:lang w:val="es-ES"/>
        </w:rPr>
        <w:br/>
      </w:r>
      <w:r>
        <w:rPr>
          <w:rFonts w:eastAsia="Times New Roman"/>
          <w:sz w:val="30"/>
          <w:szCs w:val="30"/>
          <w:lang w:val="es-ES"/>
        </w:rPr>
        <w:br/>
        <w:t>c) Efectuar revisiones para que los estados financieros se preparen de acuerdo a los principios de contabilidad generalmente aceptados y a las resoluciones dictadas por la Superintendenc</w:t>
      </w:r>
      <w:r>
        <w:rPr>
          <w:rFonts w:eastAsia="Times New Roman"/>
          <w:sz w:val="30"/>
          <w:szCs w:val="30"/>
          <w:lang w:val="es-ES"/>
        </w:rPr>
        <w:t xml:space="preserve">ia de Compañías o el C.N.V.; </w:t>
      </w:r>
      <w:r>
        <w:rPr>
          <w:rFonts w:eastAsia="Times New Roman"/>
          <w:sz w:val="30"/>
          <w:szCs w:val="30"/>
          <w:lang w:val="es-ES"/>
        </w:rPr>
        <w:br/>
      </w:r>
      <w:r>
        <w:rPr>
          <w:rFonts w:eastAsia="Times New Roman"/>
          <w:sz w:val="30"/>
          <w:szCs w:val="30"/>
          <w:lang w:val="es-ES"/>
        </w:rPr>
        <w:br/>
        <w:t>d) Poner en conocimiento de las autoridades administrativas de la empresa, gerencia, directorio y accionistas, las irregularidades o anomalías que a su juicio existieren en la administración o contabilidad de la entidad audit</w:t>
      </w:r>
      <w:r>
        <w:rPr>
          <w:rFonts w:eastAsia="Times New Roman"/>
          <w:sz w:val="30"/>
          <w:szCs w:val="30"/>
          <w:lang w:val="es-ES"/>
        </w:rPr>
        <w:t>ada que afecte o pueda afectar la presentación razonable de la posición financiera o de los resultados de las operaciones. Una entidad que recibe un informe sobre irregularidades materiales, notificará dentro de ocho días a la Superintendencia de Compañías</w:t>
      </w:r>
      <w:r>
        <w:rPr>
          <w:rFonts w:eastAsia="Times New Roman"/>
          <w:sz w:val="30"/>
          <w:szCs w:val="30"/>
          <w:lang w:val="es-ES"/>
        </w:rPr>
        <w:t xml:space="preserve"> o de Bancos y Seguros, remitiendo </w:t>
      </w:r>
      <w:r>
        <w:rPr>
          <w:rFonts w:eastAsia="Times New Roman"/>
          <w:sz w:val="30"/>
          <w:szCs w:val="30"/>
          <w:lang w:val="es-ES"/>
        </w:rPr>
        <w:lastRenderedPageBreak/>
        <w:t>una copia de dicho informe y, enviará copia de dicha notificación al auditor. Si el auditor externo no recibe dentro de ocho días copia de la notificación enviará copia de su informe a la Superintendencia correspondiente;</w:t>
      </w:r>
      <w:r>
        <w:rPr>
          <w:rFonts w:eastAsia="Times New Roman"/>
          <w:sz w:val="30"/>
          <w:szCs w:val="30"/>
          <w:lang w:val="es-ES"/>
        </w:rPr>
        <w:t xml:space="preserve"> y, </w:t>
      </w:r>
      <w:r>
        <w:rPr>
          <w:rFonts w:eastAsia="Times New Roman"/>
          <w:sz w:val="30"/>
          <w:szCs w:val="30"/>
          <w:lang w:val="es-ES"/>
        </w:rPr>
        <w:br/>
      </w:r>
      <w:r>
        <w:rPr>
          <w:rFonts w:eastAsia="Times New Roman"/>
          <w:sz w:val="30"/>
          <w:szCs w:val="30"/>
          <w:lang w:val="es-ES"/>
        </w:rPr>
        <w:br/>
        <w:t>e) Poner en conocimiento de los accionistas o socios de la entidad auditada, a través de sus representantes legales, los correspondientes informes o dictámenes.</w:t>
      </w:r>
    </w:p>
    <w:p w:rsidR="00000000" w:rsidRDefault="0018461E">
      <w:pPr>
        <w:divId w:val="1901749072"/>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De las obligaciones de las auditoras.- </w:t>
      </w:r>
      <w:r>
        <w:rPr>
          <w:rFonts w:eastAsia="Times New Roman"/>
          <w:sz w:val="30"/>
          <w:szCs w:val="30"/>
          <w:lang w:val="es-ES"/>
        </w:rPr>
        <w:t>(Reformado por el Art. 74 de la Ley s/n</w:t>
      </w:r>
      <w:r>
        <w:rPr>
          <w:rFonts w:eastAsia="Times New Roman"/>
          <w:sz w:val="30"/>
          <w:szCs w:val="30"/>
          <w:lang w:val="es-ES"/>
        </w:rPr>
        <w:t>, R.O. 249-S, 20-V-2014; y, reformado por la Disposición Reformatoria Décima Séptima, num. 3 del Código Orgánico Monetario y Financiero; R.O. 332-2S, 12-IX-2014) Las sociedades de auditoría externa y el personal designado por dicha entidad para realizar la</w:t>
      </w:r>
      <w:r>
        <w:rPr>
          <w:rFonts w:eastAsia="Times New Roman"/>
          <w:sz w:val="30"/>
          <w:szCs w:val="30"/>
          <w:lang w:val="es-ES"/>
        </w:rPr>
        <w:t xml:space="preserve"> auditoría, tendrán especialmente las siguientes obligaciones:</w:t>
      </w:r>
      <w:r>
        <w:rPr>
          <w:rFonts w:eastAsia="Times New Roman"/>
          <w:sz w:val="30"/>
          <w:szCs w:val="30"/>
          <w:lang w:val="es-ES"/>
        </w:rPr>
        <w:br/>
      </w:r>
      <w:r>
        <w:rPr>
          <w:rFonts w:eastAsia="Times New Roman"/>
          <w:sz w:val="30"/>
          <w:szCs w:val="30"/>
          <w:lang w:val="es-ES"/>
        </w:rPr>
        <w:br/>
        <w:t xml:space="preserve">a) Emitir sus informes cumpliendo con las normas de auditoría de general aceptación y con las instrucciones o normas que les imparta la Superintendencia de Compañías; </w:t>
      </w:r>
      <w:r>
        <w:rPr>
          <w:rFonts w:eastAsia="Times New Roman"/>
          <w:sz w:val="30"/>
          <w:szCs w:val="30"/>
          <w:lang w:val="es-ES"/>
        </w:rPr>
        <w:br/>
      </w:r>
      <w:r>
        <w:rPr>
          <w:rFonts w:eastAsia="Times New Roman"/>
          <w:sz w:val="30"/>
          <w:szCs w:val="30"/>
          <w:lang w:val="es-ES"/>
        </w:rPr>
        <w:br/>
        <w:t xml:space="preserve">b) Utilizar técnicas y </w:t>
      </w:r>
      <w:r>
        <w:rPr>
          <w:rFonts w:eastAsia="Times New Roman"/>
          <w:sz w:val="30"/>
          <w:szCs w:val="30"/>
          <w:lang w:val="es-ES"/>
        </w:rPr>
        <w:t xml:space="preserve">procedimientos de auditoría que garanticen que el examen que se realice de la contabilidad y estados financieros sea confiable, adecuado y proporcione elementos de juicios válidos y suficientes que sustenten el contenido del dictamen; </w:t>
      </w:r>
      <w:r>
        <w:rPr>
          <w:rFonts w:eastAsia="Times New Roman"/>
          <w:sz w:val="30"/>
          <w:szCs w:val="30"/>
          <w:lang w:val="es-ES"/>
        </w:rPr>
        <w:br/>
      </w:r>
      <w:r>
        <w:rPr>
          <w:rFonts w:eastAsia="Times New Roman"/>
          <w:sz w:val="30"/>
          <w:szCs w:val="30"/>
          <w:lang w:val="es-ES"/>
        </w:rPr>
        <w:br/>
        <w:t>c) Mantener durante</w:t>
      </w:r>
      <w:r>
        <w:rPr>
          <w:rFonts w:eastAsia="Times New Roman"/>
          <w:sz w:val="30"/>
          <w:szCs w:val="30"/>
          <w:lang w:val="es-ES"/>
        </w:rPr>
        <w:t xml:space="preserve"> un período no inferior a siete años, contados desde la fecha del respectivo dictamen, todos los antecedentes que les sirvieron de base para emitir su opinión; y, </w:t>
      </w:r>
      <w:r>
        <w:rPr>
          <w:rFonts w:eastAsia="Times New Roman"/>
          <w:sz w:val="30"/>
          <w:szCs w:val="30"/>
          <w:lang w:val="es-ES"/>
        </w:rPr>
        <w:br/>
      </w:r>
      <w:r>
        <w:rPr>
          <w:rFonts w:eastAsia="Times New Roman"/>
          <w:sz w:val="30"/>
          <w:szCs w:val="30"/>
          <w:lang w:val="es-ES"/>
        </w:rPr>
        <w:br/>
        <w:t>d) Toda opinión, certificación, dictamen o informe, escrito o verbal, debe ser veraz y expr</w:t>
      </w:r>
      <w:r>
        <w:rPr>
          <w:rFonts w:eastAsia="Times New Roman"/>
          <w:sz w:val="30"/>
          <w:szCs w:val="30"/>
          <w:lang w:val="es-ES"/>
        </w:rPr>
        <w:t>esado en forma clara, precisa, objetiva y completa.</w:t>
      </w:r>
      <w:r>
        <w:rPr>
          <w:rFonts w:eastAsia="Times New Roman"/>
          <w:sz w:val="30"/>
          <w:szCs w:val="30"/>
          <w:lang w:val="es-ES"/>
        </w:rPr>
        <w:br/>
      </w:r>
      <w:r>
        <w:rPr>
          <w:rFonts w:eastAsia="Times New Roman"/>
          <w:sz w:val="30"/>
          <w:szCs w:val="30"/>
          <w:lang w:val="es-ES"/>
        </w:rPr>
        <w:br/>
        <w:t>En caso de que la Superintendencia de Compañías Valores y Seguros dudare de la veracidad o calidad de una auditoría, podrá disponer la contratación de una auditora distinta, a fin de que efectúe la audit</w:t>
      </w:r>
      <w:r>
        <w:rPr>
          <w:rFonts w:eastAsia="Times New Roman"/>
          <w:sz w:val="30"/>
          <w:szCs w:val="30"/>
          <w:lang w:val="es-ES"/>
        </w:rPr>
        <w:t>oría en forma adicional. El costo de dicha auditoría estará a cargo de la entidad auditada.</w:t>
      </w:r>
    </w:p>
    <w:p w:rsidR="00000000" w:rsidRDefault="0018461E">
      <w:pPr>
        <w:divId w:val="23412673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Conflicto de intereses.-</w:t>
      </w:r>
      <w:r>
        <w:rPr>
          <w:rFonts w:eastAsia="Times New Roman"/>
          <w:sz w:val="30"/>
          <w:szCs w:val="30"/>
          <w:lang w:val="es-ES"/>
        </w:rPr>
        <w:t xml:space="preserve"> (Agregado por el Art. 75 de la Ley s/n, R.O. 249-S, 20-V-2014).- Para evitar el conflicto de intereses, las </w:t>
      </w:r>
      <w:r>
        <w:rPr>
          <w:rFonts w:eastAsia="Times New Roman"/>
          <w:sz w:val="30"/>
          <w:szCs w:val="30"/>
          <w:lang w:val="es-ES"/>
        </w:rPr>
        <w:lastRenderedPageBreak/>
        <w:t>compañías de auditoría ex</w:t>
      </w:r>
      <w:r>
        <w:rPr>
          <w:rFonts w:eastAsia="Times New Roman"/>
          <w:sz w:val="30"/>
          <w:szCs w:val="30"/>
          <w:lang w:val="es-ES"/>
        </w:rPr>
        <w:t>terna y sus socios no podrán prestar asesoría a las compañías que auditen. Sólo podrán dar su opinión sobre operaciones ya realizadas.</w:t>
      </w:r>
    </w:p>
    <w:p w:rsidR="00000000" w:rsidRDefault="0018461E">
      <w:pPr>
        <w:jc w:val="center"/>
        <w:rPr>
          <w:rFonts w:eastAsia="Times New Roman"/>
          <w:sz w:val="36"/>
          <w:szCs w:val="36"/>
          <w:lang w:val="es-ES"/>
        </w:rPr>
      </w:pPr>
      <w:r>
        <w:rPr>
          <w:rFonts w:eastAsia="Times New Roman"/>
          <w:b/>
          <w:bCs/>
          <w:sz w:val="36"/>
          <w:szCs w:val="36"/>
          <w:lang w:val="es-ES"/>
        </w:rPr>
        <w:br/>
        <w:t>Título XXII</w:t>
      </w:r>
      <w:r>
        <w:rPr>
          <w:rFonts w:eastAsia="Times New Roman"/>
          <w:b/>
          <w:bCs/>
          <w:sz w:val="36"/>
          <w:szCs w:val="36"/>
          <w:lang w:val="es-ES"/>
        </w:rPr>
        <w:br/>
        <w:t>DE LA RESPONSABILIDAD, DE LAS INFRACCIONES Y DE LAS SANCIONES</w:t>
      </w:r>
    </w:p>
    <w:p w:rsidR="00000000" w:rsidRDefault="0018461E">
      <w:pPr>
        <w:divId w:val="321547357"/>
        <w:rPr>
          <w:rFonts w:eastAsia="Times New Roman"/>
          <w:sz w:val="30"/>
          <w:szCs w:val="30"/>
          <w:lang w:val="es-ES"/>
        </w:rPr>
      </w:pPr>
      <w:r>
        <w:rPr>
          <w:rFonts w:eastAsia="Times New Roman"/>
          <w:b/>
          <w:bCs/>
          <w:sz w:val="30"/>
          <w:szCs w:val="30"/>
          <w:lang w:val="es-ES"/>
        </w:rPr>
        <w:t xml:space="preserve">Art. 203.- Responsabilidades.- </w:t>
      </w:r>
      <w:r>
        <w:rPr>
          <w:rFonts w:eastAsia="Times New Roman"/>
          <w:sz w:val="30"/>
          <w:szCs w:val="30"/>
          <w:lang w:val="es-ES"/>
        </w:rPr>
        <w:t>Quienes infrinj</w:t>
      </w:r>
      <w:r>
        <w:rPr>
          <w:rFonts w:eastAsia="Times New Roman"/>
          <w:sz w:val="30"/>
          <w:szCs w:val="30"/>
          <w:lang w:val="es-ES"/>
        </w:rPr>
        <w:t xml:space="preserve">an esta Ley, sus reglamentos y normas complementarias, las resoluciones que dicte el C.N.V. y, en general, las normas que regulan el mercado de valores, tendrán responsabilidades civiles, administrativas o penales, dentro de los casos y en conformidad con </w:t>
      </w:r>
      <w:r>
        <w:rPr>
          <w:rFonts w:eastAsia="Times New Roman"/>
          <w:sz w:val="30"/>
          <w:szCs w:val="30"/>
          <w:lang w:val="es-ES"/>
        </w:rPr>
        <w:t>las disposiciones de este Título.</w:t>
      </w:r>
    </w:p>
    <w:p w:rsidR="00000000" w:rsidRDefault="0018461E">
      <w:pPr>
        <w:divId w:val="1198543397"/>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(Derogado por la Disposición Derogatoria Décimo Sexta del Código Orgánico Integral Penal; R.O. 180-S, 10-II-2014).</w:t>
      </w:r>
    </w:p>
    <w:p w:rsidR="00000000" w:rsidRDefault="0018461E">
      <w:pPr>
        <w:divId w:val="1785727669"/>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Responsabilidad civil.- </w:t>
      </w:r>
      <w:r>
        <w:rPr>
          <w:rFonts w:eastAsia="Times New Roman"/>
          <w:sz w:val="30"/>
          <w:szCs w:val="30"/>
          <w:lang w:val="es-ES"/>
        </w:rPr>
        <w:t>Las personas naturales y jurídicas que, por infracciones de e</w:t>
      </w:r>
      <w:r>
        <w:rPr>
          <w:rFonts w:eastAsia="Times New Roman"/>
          <w:sz w:val="30"/>
          <w:szCs w:val="30"/>
          <w:lang w:val="es-ES"/>
        </w:rPr>
        <w:t>sta Ley, de sus reglamentos y otras normas complementarias y de las demás disposiciones que regulan el mercado de valores, ocasionen daños a terceros serán solidariamente responsables y deberán indemnizar los perjuicios causados, en conformidad con el dere</w:t>
      </w:r>
      <w:r>
        <w:rPr>
          <w:rFonts w:eastAsia="Times New Roman"/>
          <w:sz w:val="30"/>
          <w:szCs w:val="30"/>
          <w:lang w:val="es-ES"/>
        </w:rPr>
        <w:t>cho común. Esta responsabilidad civil es independiente frente a las sanciones administrativas o penales a que hubiere lugar.</w:t>
      </w:r>
      <w:r>
        <w:rPr>
          <w:rFonts w:eastAsia="Times New Roman"/>
          <w:sz w:val="30"/>
          <w:szCs w:val="30"/>
          <w:lang w:val="es-ES"/>
        </w:rPr>
        <w:br/>
      </w:r>
      <w:r>
        <w:rPr>
          <w:rFonts w:eastAsia="Times New Roman"/>
          <w:sz w:val="30"/>
          <w:szCs w:val="30"/>
          <w:lang w:val="es-ES"/>
        </w:rPr>
        <w:br/>
        <w:t>Sin perjuicio a lo dispuesto en la Constitución Política de la República, si los perjuicios hubieren sido ocasionados por resoluci</w:t>
      </w:r>
      <w:r>
        <w:rPr>
          <w:rFonts w:eastAsia="Times New Roman"/>
          <w:sz w:val="30"/>
          <w:szCs w:val="30"/>
          <w:lang w:val="es-ES"/>
        </w:rPr>
        <w:t>ones o actos del C.N.V., o de la Superintendencia de Compañías; estos organismos de ser procedente tendrán derecho de repetición en contra de los funcionarios o empleados que tuvieren la responsabilidad directa en la realización de tales hechos, caso contr</w:t>
      </w:r>
      <w:r>
        <w:rPr>
          <w:rFonts w:eastAsia="Times New Roman"/>
          <w:sz w:val="30"/>
          <w:szCs w:val="30"/>
          <w:lang w:val="es-ES"/>
        </w:rPr>
        <w:t>ario por los perjuicios irrogados responderá el Superintendente de Compañías o los miembros del C.N.V.</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w:t>
      </w:r>
      <w:r>
        <w:rPr>
          <w:rFonts w:eastAsia="Times New Roman"/>
          <w:i/>
          <w:iCs/>
          <w:sz w:val="30"/>
          <w:szCs w:val="30"/>
          <w:lang w:val="es-ES"/>
        </w:rPr>
        <w:t>ca del Ecuador (R.O. 1, 11-VIII-1998), y toda norma que se oponga al nuevo marco constitucional.</w:t>
      </w:r>
    </w:p>
    <w:p w:rsidR="00000000" w:rsidRDefault="0018461E">
      <w:pPr>
        <w:divId w:val="1149829725"/>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Infracciones administrativas.</w:t>
      </w:r>
      <w:r>
        <w:rPr>
          <w:rFonts w:eastAsia="Times New Roman"/>
          <w:sz w:val="30"/>
          <w:szCs w:val="30"/>
          <w:lang w:val="es-ES"/>
        </w:rPr>
        <w:t xml:space="preserve">- Las transgresiones a esta Ley, a sus reglamentos y otras normas y resoluciones </w:t>
      </w:r>
      <w:r>
        <w:rPr>
          <w:rFonts w:eastAsia="Times New Roman"/>
          <w:sz w:val="30"/>
          <w:szCs w:val="30"/>
          <w:lang w:val="es-ES"/>
        </w:rPr>
        <w:lastRenderedPageBreak/>
        <w:t>complementarias y a las demás disposiciones que regulan el mercado de valores, incluidos los estatutos de las entidades sometidas a la aplicación de esta Ley, son en general i</w:t>
      </w:r>
      <w:r>
        <w:rPr>
          <w:rFonts w:eastAsia="Times New Roman"/>
          <w:sz w:val="30"/>
          <w:szCs w:val="30"/>
          <w:lang w:val="es-ES"/>
        </w:rPr>
        <w:t>nfracciones administrativas que serán sancionadas por la Superintendencia de Compañías, en conformidad con esta Ley y con las resoluciones que expida el C.N.V.</w:t>
      </w:r>
    </w:p>
    <w:p w:rsidR="00000000" w:rsidRDefault="0018461E">
      <w:pPr>
        <w:divId w:val="599989102"/>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Infracciones administrativas en particular.- </w:t>
      </w:r>
      <w:r>
        <w:rPr>
          <w:rFonts w:eastAsia="Times New Roman"/>
          <w:sz w:val="30"/>
          <w:szCs w:val="30"/>
          <w:lang w:val="es-ES"/>
        </w:rPr>
        <w:t>(Reformado por el Art. 76 de la Ley s/n,</w:t>
      </w:r>
      <w:r>
        <w:rPr>
          <w:rFonts w:eastAsia="Times New Roman"/>
          <w:sz w:val="30"/>
          <w:szCs w:val="30"/>
          <w:lang w:val="es-ES"/>
        </w:rPr>
        <w:t xml:space="preserve"> R.O. 249-S, 20-V-2014).- En particular se considerarán como infracciones administrativas los actos siguientes: </w:t>
      </w:r>
      <w:r>
        <w:rPr>
          <w:rFonts w:eastAsia="Times New Roman"/>
          <w:sz w:val="30"/>
          <w:szCs w:val="30"/>
          <w:lang w:val="es-ES"/>
        </w:rPr>
        <w:br/>
      </w:r>
      <w:r>
        <w:rPr>
          <w:rFonts w:eastAsia="Times New Roman"/>
          <w:sz w:val="30"/>
          <w:szCs w:val="30"/>
          <w:lang w:val="es-ES"/>
        </w:rPr>
        <w:br/>
        <w:t xml:space="preserve">1. Efectuar una oferta pública de valores sin cumplir los requisitos establecidos; </w:t>
      </w:r>
      <w:r>
        <w:rPr>
          <w:rFonts w:eastAsia="Times New Roman"/>
          <w:sz w:val="30"/>
          <w:szCs w:val="30"/>
          <w:lang w:val="es-ES"/>
        </w:rPr>
        <w:br/>
      </w:r>
      <w:r>
        <w:rPr>
          <w:rFonts w:eastAsia="Times New Roman"/>
          <w:sz w:val="30"/>
          <w:szCs w:val="30"/>
          <w:lang w:val="es-ES"/>
        </w:rPr>
        <w:br/>
        <w:t>2. (Reformado por la Disposición Reformatoria Décima Sépt</w:t>
      </w:r>
      <w:r>
        <w:rPr>
          <w:rFonts w:eastAsia="Times New Roman"/>
          <w:sz w:val="30"/>
          <w:szCs w:val="30"/>
          <w:lang w:val="es-ES"/>
        </w:rPr>
        <w:t xml:space="preserve">ima, num. 1 del Código Orgánico Monetario y Financiero; R.O. 332-2S, 12-IX-2014).- Intermediar en la negociación de valores no inscritos en el Catastro Público del Mercado de Valores, salvo las excepciones expresamente contempladas en la ley; </w:t>
      </w:r>
      <w:r>
        <w:rPr>
          <w:rFonts w:eastAsia="Times New Roman"/>
          <w:sz w:val="30"/>
          <w:szCs w:val="30"/>
          <w:lang w:val="es-ES"/>
        </w:rPr>
        <w:br/>
      </w:r>
      <w:r>
        <w:rPr>
          <w:rFonts w:eastAsia="Times New Roman"/>
          <w:sz w:val="30"/>
          <w:szCs w:val="30"/>
          <w:lang w:val="es-ES"/>
        </w:rPr>
        <w:br/>
        <w:t>3. (Sustitu</w:t>
      </w:r>
      <w:r>
        <w:rPr>
          <w:rFonts w:eastAsia="Times New Roman"/>
          <w:sz w:val="30"/>
          <w:szCs w:val="30"/>
          <w:lang w:val="es-ES"/>
        </w:rPr>
        <w:t xml:space="preserve">ido por el lit. b del Art. 76 de la Ley s/n, R.O. 249-S, 20-V-2014).- No divulgar en forma simétrica, oportuna, veraz, completa y suficiente la información que se determina en la presente Ley y en sus normas complementarias; </w:t>
      </w:r>
      <w:r>
        <w:rPr>
          <w:rFonts w:eastAsia="Times New Roman"/>
          <w:sz w:val="30"/>
          <w:szCs w:val="30"/>
          <w:lang w:val="es-ES"/>
        </w:rPr>
        <w:br/>
      </w:r>
      <w:r>
        <w:rPr>
          <w:rFonts w:eastAsia="Times New Roman"/>
          <w:sz w:val="30"/>
          <w:szCs w:val="30"/>
          <w:lang w:val="es-ES"/>
        </w:rPr>
        <w:br/>
        <w:t>4. No guardar la reserva esta</w:t>
      </w:r>
      <w:r>
        <w:rPr>
          <w:rFonts w:eastAsia="Times New Roman"/>
          <w:sz w:val="30"/>
          <w:szCs w:val="30"/>
          <w:lang w:val="es-ES"/>
        </w:rPr>
        <w:t xml:space="preserve">blecida por la ley sobre la información privilegiada de que se disponga en razón de su cargo, función o relación con un emisor; </w:t>
      </w:r>
      <w:r>
        <w:rPr>
          <w:rFonts w:eastAsia="Times New Roman"/>
          <w:sz w:val="30"/>
          <w:szCs w:val="30"/>
          <w:lang w:val="es-ES"/>
        </w:rPr>
        <w:br/>
      </w:r>
      <w:r>
        <w:rPr>
          <w:rFonts w:eastAsia="Times New Roman"/>
          <w:sz w:val="30"/>
          <w:szCs w:val="30"/>
          <w:lang w:val="es-ES"/>
        </w:rPr>
        <w:br/>
        <w:t xml:space="preserve">5. Negociar valores sin cumplir las normas establecidas por la ley, los reglamentos y demás normas del mercado y, en especial </w:t>
      </w:r>
      <w:r>
        <w:rPr>
          <w:rFonts w:eastAsia="Times New Roman"/>
          <w:sz w:val="30"/>
          <w:szCs w:val="30"/>
          <w:lang w:val="es-ES"/>
        </w:rPr>
        <w:t xml:space="preserve">sin someterse al procedimiento de aviso de adquisición, cuando éste es requerido; </w:t>
      </w:r>
      <w:r>
        <w:rPr>
          <w:rFonts w:eastAsia="Times New Roman"/>
          <w:sz w:val="30"/>
          <w:szCs w:val="30"/>
          <w:lang w:val="es-ES"/>
        </w:rPr>
        <w:br/>
      </w:r>
      <w:r>
        <w:rPr>
          <w:rFonts w:eastAsia="Times New Roman"/>
          <w:sz w:val="30"/>
          <w:szCs w:val="30"/>
          <w:lang w:val="es-ES"/>
        </w:rPr>
        <w:br/>
        <w:t xml:space="preserve">6. No observar las normas de autorregulación aprobadas por las bolsas de valores o por las asociaciones gremiales que formen las entidades creadas al amparo de esta Ley; </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7. No ejecutar las instrucciones recibidas por parte de los contratantes o comitentes para efectuar operaciones en el mercado de valores; </w:t>
      </w:r>
      <w:r>
        <w:rPr>
          <w:rFonts w:eastAsia="Times New Roman"/>
          <w:sz w:val="30"/>
          <w:szCs w:val="30"/>
          <w:lang w:val="es-ES"/>
        </w:rPr>
        <w:br/>
      </w:r>
      <w:r>
        <w:rPr>
          <w:rFonts w:eastAsia="Times New Roman"/>
          <w:sz w:val="30"/>
          <w:szCs w:val="30"/>
          <w:lang w:val="es-ES"/>
        </w:rPr>
        <w:br/>
        <w:t>8. No someterse los administradores de las sociedades administradoras de fondos a las normas legales y reglamentaria</w:t>
      </w:r>
      <w:r>
        <w:rPr>
          <w:rFonts w:eastAsia="Times New Roman"/>
          <w:sz w:val="30"/>
          <w:szCs w:val="30"/>
          <w:lang w:val="es-ES"/>
        </w:rPr>
        <w:t xml:space="preserve">s que regulan la </w:t>
      </w:r>
      <w:r>
        <w:rPr>
          <w:rFonts w:eastAsia="Times New Roman"/>
          <w:sz w:val="30"/>
          <w:szCs w:val="30"/>
          <w:lang w:val="es-ES"/>
        </w:rPr>
        <w:lastRenderedPageBreak/>
        <w:t xml:space="preserve">inversión de fondos y el fideicomiso mercantil; </w:t>
      </w:r>
      <w:r>
        <w:rPr>
          <w:rFonts w:eastAsia="Times New Roman"/>
          <w:sz w:val="30"/>
          <w:szCs w:val="30"/>
          <w:lang w:val="es-ES"/>
        </w:rPr>
        <w:br/>
      </w:r>
      <w:r>
        <w:rPr>
          <w:rFonts w:eastAsia="Times New Roman"/>
          <w:sz w:val="30"/>
          <w:szCs w:val="30"/>
          <w:lang w:val="es-ES"/>
        </w:rPr>
        <w:br/>
        <w:t xml:space="preserve">9. No cumplir el representante de obligacionistas con los deberes que le impone la ley, los reglamentos y las resoluciones de la asamblea de obligacionistas; </w:t>
      </w:r>
      <w:r>
        <w:rPr>
          <w:rFonts w:eastAsia="Times New Roman"/>
          <w:sz w:val="30"/>
          <w:szCs w:val="30"/>
          <w:lang w:val="es-ES"/>
        </w:rPr>
        <w:br/>
      </w:r>
      <w:r>
        <w:rPr>
          <w:rFonts w:eastAsia="Times New Roman"/>
          <w:sz w:val="30"/>
          <w:szCs w:val="30"/>
          <w:lang w:val="es-ES"/>
        </w:rPr>
        <w:br/>
        <w:t>10. Infringir las normas lega</w:t>
      </w:r>
      <w:r>
        <w:rPr>
          <w:rFonts w:eastAsia="Times New Roman"/>
          <w:sz w:val="30"/>
          <w:szCs w:val="30"/>
          <w:lang w:val="es-ES"/>
        </w:rPr>
        <w:t xml:space="preserve">les y reglamentarias que rigen para la calificación de riesgo; </w:t>
      </w:r>
      <w:r>
        <w:rPr>
          <w:rFonts w:eastAsia="Times New Roman"/>
          <w:sz w:val="30"/>
          <w:szCs w:val="30"/>
          <w:lang w:val="es-ES"/>
        </w:rPr>
        <w:br/>
      </w:r>
      <w:r>
        <w:rPr>
          <w:rFonts w:eastAsia="Times New Roman"/>
          <w:sz w:val="30"/>
          <w:szCs w:val="30"/>
          <w:lang w:val="es-ES"/>
        </w:rPr>
        <w:br/>
        <w:t xml:space="preserve">11. No observar las normas que regulan las actividades de los depósitos centralizados de valores; </w:t>
      </w:r>
      <w:r>
        <w:rPr>
          <w:rFonts w:eastAsia="Times New Roman"/>
          <w:sz w:val="30"/>
          <w:szCs w:val="30"/>
          <w:lang w:val="es-ES"/>
        </w:rPr>
        <w:br/>
      </w:r>
      <w:r>
        <w:rPr>
          <w:rFonts w:eastAsia="Times New Roman"/>
          <w:sz w:val="30"/>
          <w:szCs w:val="30"/>
          <w:lang w:val="es-ES"/>
        </w:rPr>
        <w:br/>
        <w:t xml:space="preserve">12. Transgredir las normas legales y reglamentarias relativas a las empresas vinculadas; </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13. Emitir informes de auditoría externa sin ceñirse a las normas legales y reglamentarias y a los principios que regulan estos procesos; </w:t>
      </w:r>
      <w:r>
        <w:rPr>
          <w:rFonts w:eastAsia="Times New Roman"/>
          <w:sz w:val="30"/>
          <w:szCs w:val="30"/>
          <w:lang w:val="es-ES"/>
        </w:rPr>
        <w:br/>
      </w:r>
      <w:r>
        <w:rPr>
          <w:rFonts w:eastAsia="Times New Roman"/>
          <w:sz w:val="30"/>
          <w:szCs w:val="30"/>
          <w:lang w:val="es-ES"/>
        </w:rPr>
        <w:br/>
        <w:t>14. Publicitar o difundir por cualquier medio, propaganda que pueda inducir al público a errores o confusión sobre l</w:t>
      </w:r>
      <w:r>
        <w:rPr>
          <w:rFonts w:eastAsia="Times New Roman"/>
          <w:sz w:val="30"/>
          <w:szCs w:val="30"/>
          <w:lang w:val="es-ES"/>
        </w:rPr>
        <w:t xml:space="preserve">os emisores o sobre valores en particular; </w:t>
      </w:r>
      <w:r>
        <w:rPr>
          <w:rFonts w:eastAsia="Times New Roman"/>
          <w:sz w:val="30"/>
          <w:szCs w:val="30"/>
          <w:lang w:val="es-ES"/>
        </w:rPr>
        <w:br/>
      </w:r>
      <w:r>
        <w:rPr>
          <w:rFonts w:eastAsia="Times New Roman"/>
          <w:sz w:val="30"/>
          <w:szCs w:val="30"/>
          <w:lang w:val="es-ES"/>
        </w:rPr>
        <w:br/>
        <w:t>15. Utilizar prácticas monopólicas u oligopólicas en la fijación de comisiones, honorarios o tarifas;</w:t>
      </w:r>
      <w:r>
        <w:rPr>
          <w:rFonts w:eastAsia="Times New Roman"/>
          <w:sz w:val="30"/>
          <w:szCs w:val="30"/>
          <w:lang w:val="es-ES"/>
        </w:rPr>
        <w:br/>
      </w:r>
      <w:r>
        <w:rPr>
          <w:rFonts w:eastAsia="Times New Roman"/>
          <w:sz w:val="30"/>
          <w:szCs w:val="30"/>
          <w:lang w:val="es-ES"/>
        </w:rPr>
        <w:br/>
        <w:t>16. (Agregado por el lit. d del Art. 76 de la Ley s/n, R.O. 249-S, 20-V-2014; y, (Reformado por la Disposici</w:t>
      </w:r>
      <w:r>
        <w:rPr>
          <w:rFonts w:eastAsia="Times New Roman"/>
          <w:sz w:val="30"/>
          <w:szCs w:val="30"/>
          <w:lang w:val="es-ES"/>
        </w:rPr>
        <w:t xml:space="preserve">ón Reformatoria Décima Séptima, num. 3 del Código Orgánico Monetario y Financiero; R.O. 332-2S, 12-IX-2014).- No informar y sancionar, por parte de las bolsas de valores, o las asociaciones gremiales formadas por los entes creados al amparo de esta Ley, a </w:t>
      </w:r>
      <w:r>
        <w:rPr>
          <w:rFonts w:eastAsia="Times New Roman"/>
          <w:sz w:val="30"/>
          <w:szCs w:val="30"/>
          <w:lang w:val="es-ES"/>
        </w:rPr>
        <w:t>la Superintendencia de Compañías Valores y Seguros, de cualquier incumplimiento de las normas de autorregulación, en forma inmediata a su conocimiento, o de las sanciones impuestas por transgresión a las normas de autorregulación;</w:t>
      </w:r>
      <w:r>
        <w:rPr>
          <w:rFonts w:eastAsia="Times New Roman"/>
          <w:sz w:val="30"/>
          <w:szCs w:val="30"/>
          <w:lang w:val="es-ES"/>
        </w:rPr>
        <w:br/>
      </w:r>
      <w:r>
        <w:rPr>
          <w:rFonts w:eastAsia="Times New Roman"/>
          <w:sz w:val="30"/>
          <w:szCs w:val="30"/>
          <w:lang w:val="es-ES"/>
        </w:rPr>
        <w:br/>
        <w:t>17. (Agregado por el lit</w:t>
      </w:r>
      <w:r>
        <w:rPr>
          <w:rFonts w:eastAsia="Times New Roman"/>
          <w:sz w:val="30"/>
          <w:szCs w:val="30"/>
          <w:lang w:val="es-ES"/>
        </w:rPr>
        <w:t>. d del Art. 76 de la Ley s/n, R.O. 249-S, 20-V-2014).- No restituir la garantía en el proceso de compensación y liquidación, cuando ésta hubiere sido ejecutada;</w:t>
      </w:r>
      <w:r>
        <w:rPr>
          <w:rFonts w:eastAsia="Times New Roman"/>
          <w:sz w:val="30"/>
          <w:szCs w:val="30"/>
          <w:lang w:val="es-ES"/>
        </w:rPr>
        <w:br/>
      </w:r>
      <w:r>
        <w:rPr>
          <w:rFonts w:eastAsia="Times New Roman"/>
          <w:sz w:val="30"/>
          <w:szCs w:val="30"/>
          <w:lang w:val="es-ES"/>
        </w:rPr>
        <w:br/>
        <w:t>18. (Agregado por el lit. d del Art. 76 de la Ley s/n, R.O. 249-S, 20-V-</w:t>
      </w:r>
      <w:r>
        <w:rPr>
          <w:rFonts w:eastAsia="Times New Roman"/>
          <w:sz w:val="30"/>
          <w:szCs w:val="30"/>
          <w:lang w:val="es-ES"/>
        </w:rPr>
        <w:lastRenderedPageBreak/>
        <w:t>2014; y, reformado po</w:t>
      </w:r>
      <w:r>
        <w:rPr>
          <w:rFonts w:eastAsia="Times New Roman"/>
          <w:sz w:val="30"/>
          <w:szCs w:val="30"/>
          <w:lang w:val="es-ES"/>
        </w:rPr>
        <w:t xml:space="preserve">r la Disposición Reformatoria Décima Séptima, num. 1 del Código Orgánico Monetario y Financiero; R.O. 332-2S, 12-IX-2014).- Ejercer actividades o desempeñar cargos sin haber obtenido previamente la autorización e inscripción correspondiente en el Catastro </w:t>
      </w:r>
      <w:r>
        <w:rPr>
          <w:rFonts w:eastAsia="Times New Roman"/>
          <w:sz w:val="30"/>
          <w:szCs w:val="30"/>
          <w:lang w:val="es-ES"/>
        </w:rPr>
        <w:t>Público del Mercado de Valores;</w:t>
      </w:r>
      <w:r>
        <w:rPr>
          <w:rFonts w:eastAsia="Times New Roman"/>
          <w:sz w:val="30"/>
          <w:szCs w:val="30"/>
          <w:lang w:val="es-ES"/>
        </w:rPr>
        <w:br/>
      </w:r>
      <w:r>
        <w:rPr>
          <w:rFonts w:eastAsia="Times New Roman"/>
          <w:sz w:val="30"/>
          <w:szCs w:val="30"/>
          <w:lang w:val="es-ES"/>
        </w:rPr>
        <w:br/>
        <w:t>19. (Agregado por el lit. d del Art. 76 de la Ley s/n, R.O. 249-S, 20-V-2014).- No llevar la contabilidad según las normas y principios aplicables, o llevarla de forma que contenga vicios, imprecisiones o errores que impida</w:t>
      </w:r>
      <w:r>
        <w:rPr>
          <w:rFonts w:eastAsia="Times New Roman"/>
          <w:sz w:val="30"/>
          <w:szCs w:val="30"/>
          <w:lang w:val="es-ES"/>
        </w:rPr>
        <w:t>n conocer la verdadera situación patrimonial o las operaciones;</w:t>
      </w:r>
      <w:r>
        <w:rPr>
          <w:rFonts w:eastAsia="Times New Roman"/>
          <w:sz w:val="30"/>
          <w:szCs w:val="30"/>
          <w:lang w:val="es-ES"/>
        </w:rPr>
        <w:br/>
      </w:r>
      <w:r>
        <w:rPr>
          <w:rFonts w:eastAsia="Times New Roman"/>
          <w:sz w:val="30"/>
          <w:szCs w:val="30"/>
          <w:lang w:val="es-ES"/>
        </w:rPr>
        <w:br/>
        <w:t>20. (Agregado por el lit. d del Art. 76 de la Ley s/n, R.O. 249-S, 20-V-2014).- Violar las normas relacionadas con la separación patrimonial entre los activos propios y los de terceros, o dar</w:t>
      </w:r>
      <w:r>
        <w:rPr>
          <w:rFonts w:eastAsia="Times New Roman"/>
          <w:sz w:val="30"/>
          <w:szCs w:val="30"/>
          <w:lang w:val="es-ES"/>
        </w:rPr>
        <w:t xml:space="preserve"> a los activos de terceros un uso diferente del permitido;</w:t>
      </w:r>
      <w:r>
        <w:rPr>
          <w:rFonts w:eastAsia="Times New Roman"/>
          <w:sz w:val="30"/>
          <w:szCs w:val="30"/>
          <w:lang w:val="es-ES"/>
        </w:rPr>
        <w:br/>
      </w:r>
      <w:r>
        <w:rPr>
          <w:rFonts w:eastAsia="Times New Roman"/>
          <w:sz w:val="30"/>
          <w:szCs w:val="30"/>
          <w:lang w:val="es-ES"/>
        </w:rPr>
        <w:br/>
        <w:t>21. (Agregado por el lit. d del Art. 76 de la Ley s/n, R.O. 249-S, 20-V-2014).- Disminuir, aumentar, estabilizar o mantener artificialmente el precio, la oferta o la demanda, de determinado valor;</w:t>
      </w:r>
      <w:r>
        <w:rPr>
          <w:rFonts w:eastAsia="Times New Roman"/>
          <w:sz w:val="30"/>
          <w:szCs w:val="30"/>
          <w:lang w:val="es-ES"/>
        </w:rPr>
        <w:br/>
      </w:r>
      <w:r>
        <w:rPr>
          <w:rFonts w:eastAsia="Times New Roman"/>
          <w:sz w:val="30"/>
          <w:szCs w:val="30"/>
          <w:lang w:val="es-ES"/>
        </w:rPr>
        <w:br/>
        <w:t>22. (Agregado por el lit. d del Art. 76 de la Ley s/n, R.O. 249-S, 20-V-2014).- No revelar en forma oportuna un potencial conflicto de interés, acorde a las normas previstas en esta Ley y sus normas complementarias;</w:t>
      </w:r>
      <w:r>
        <w:rPr>
          <w:rFonts w:eastAsia="Times New Roman"/>
          <w:sz w:val="30"/>
          <w:szCs w:val="30"/>
          <w:lang w:val="es-ES"/>
        </w:rPr>
        <w:br/>
      </w:r>
      <w:r>
        <w:rPr>
          <w:rFonts w:eastAsia="Times New Roman"/>
          <w:sz w:val="30"/>
          <w:szCs w:val="30"/>
          <w:lang w:val="es-ES"/>
        </w:rPr>
        <w:br/>
        <w:t xml:space="preserve">23. (Agregado por el lit. d del Art. </w:t>
      </w:r>
      <w:r>
        <w:rPr>
          <w:rFonts w:eastAsia="Times New Roman"/>
          <w:sz w:val="30"/>
          <w:szCs w:val="30"/>
          <w:lang w:val="es-ES"/>
        </w:rPr>
        <w:t>76 de la Ley s/n, R.O. 249-S, 20-V-2014).- No cumplir el emisor con las condiciones de la emisión;</w:t>
      </w:r>
      <w:r>
        <w:rPr>
          <w:rFonts w:eastAsia="Times New Roman"/>
          <w:sz w:val="30"/>
          <w:szCs w:val="30"/>
          <w:lang w:val="es-ES"/>
        </w:rPr>
        <w:br/>
      </w:r>
      <w:r>
        <w:rPr>
          <w:rFonts w:eastAsia="Times New Roman"/>
          <w:sz w:val="30"/>
          <w:szCs w:val="30"/>
          <w:lang w:val="es-ES"/>
        </w:rPr>
        <w:br/>
        <w:t>24. (Agregado por el lit. d del Art. 76 de la Ley s/n, R.O. 249-S, 20-V-2014).- No observar los entes regulados por esta Ley las disposiciones de los reglam</w:t>
      </w:r>
      <w:r>
        <w:rPr>
          <w:rFonts w:eastAsia="Times New Roman"/>
          <w:sz w:val="30"/>
          <w:szCs w:val="30"/>
          <w:lang w:val="es-ES"/>
        </w:rPr>
        <w:t>entos y manuales internos que rigen su actividad en el mercado de valores;</w:t>
      </w:r>
      <w:r>
        <w:rPr>
          <w:rFonts w:eastAsia="Times New Roman"/>
          <w:sz w:val="30"/>
          <w:szCs w:val="30"/>
          <w:lang w:val="es-ES"/>
        </w:rPr>
        <w:br/>
      </w:r>
      <w:r>
        <w:rPr>
          <w:rFonts w:eastAsia="Times New Roman"/>
          <w:sz w:val="30"/>
          <w:szCs w:val="30"/>
          <w:lang w:val="es-ES"/>
        </w:rPr>
        <w:br/>
        <w:t>25. (Agregado por el lit. d del Art. 76 de la Ley s/n, R.O. 249-S, 20-V-2014).- No remitir a la Superintendencia de Compañías y Valores cualquier información que ésta requiera en c</w:t>
      </w:r>
      <w:r>
        <w:rPr>
          <w:rFonts w:eastAsia="Times New Roman"/>
          <w:sz w:val="30"/>
          <w:szCs w:val="30"/>
          <w:lang w:val="es-ES"/>
        </w:rPr>
        <w:t>umplimiento de esta Ley y sus normas complementarias, o que sea requerida de manera específica para ejercer su labor de control;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26. (Agregado por el lit. d del Art. 76 de la Ley s/n, R.O. 249-S, 20-V-2014).- Efectuar avalúos de bienes raíces y bienes mue</w:t>
      </w:r>
      <w:r>
        <w:rPr>
          <w:rFonts w:eastAsia="Times New Roman"/>
          <w:sz w:val="30"/>
          <w:szCs w:val="30"/>
          <w:lang w:val="es-ES"/>
        </w:rPr>
        <w:t>bles que no reflejen el valor del mercado;</w:t>
      </w:r>
      <w:r>
        <w:rPr>
          <w:rFonts w:eastAsia="Times New Roman"/>
          <w:sz w:val="30"/>
          <w:szCs w:val="30"/>
          <w:lang w:val="es-ES"/>
        </w:rPr>
        <w:br/>
      </w:r>
      <w:r>
        <w:rPr>
          <w:rFonts w:eastAsia="Times New Roman"/>
          <w:sz w:val="30"/>
          <w:szCs w:val="30"/>
          <w:lang w:val="es-ES"/>
        </w:rPr>
        <w:br/>
        <w:t>27. (Agregado por el lit. d del Art. 76 de la Ley s/n, R.O. 249-S, 20-V-2014).- En compañías intervenidas, celebrar actos o contratos sin contar con el visto bueno del interventor;</w:t>
      </w:r>
      <w:r>
        <w:rPr>
          <w:rFonts w:eastAsia="Times New Roman"/>
          <w:sz w:val="30"/>
          <w:szCs w:val="30"/>
          <w:lang w:val="es-ES"/>
        </w:rPr>
        <w:br/>
      </w:r>
      <w:r>
        <w:rPr>
          <w:rFonts w:eastAsia="Times New Roman"/>
          <w:sz w:val="30"/>
          <w:szCs w:val="30"/>
          <w:lang w:val="es-ES"/>
        </w:rPr>
        <w:br/>
        <w:t>28. (Agregado por el lit. d de</w:t>
      </w:r>
      <w:r>
        <w:rPr>
          <w:rFonts w:eastAsia="Times New Roman"/>
          <w:sz w:val="30"/>
          <w:szCs w:val="30"/>
          <w:lang w:val="es-ES"/>
        </w:rPr>
        <w:t>l Art. 76 de la Ley s/n, R.O. 249-S, 20-V-2014).- Realizar actividades de corresponsalía o referimiento sin estar legalmente autorizado; y,</w:t>
      </w:r>
      <w:r>
        <w:rPr>
          <w:rFonts w:eastAsia="Times New Roman"/>
          <w:sz w:val="30"/>
          <w:szCs w:val="30"/>
          <w:lang w:val="es-ES"/>
        </w:rPr>
        <w:br/>
      </w:r>
      <w:r>
        <w:rPr>
          <w:rFonts w:eastAsia="Times New Roman"/>
          <w:sz w:val="30"/>
          <w:szCs w:val="30"/>
          <w:lang w:val="es-ES"/>
        </w:rPr>
        <w:br/>
        <w:t>29. (Agregado por el lit. d del Art. 76 de la Ley s/n, R.O. 249-S, 20-V-2014).- No entregar información requerida p</w:t>
      </w:r>
      <w:r>
        <w:rPr>
          <w:rFonts w:eastAsia="Times New Roman"/>
          <w:sz w:val="30"/>
          <w:szCs w:val="30"/>
          <w:lang w:val="es-ES"/>
        </w:rPr>
        <w:t>or las calificadoras o los representantes de obligacionistas en los términos previstos por esta ley y sus normas complementarias, de forma veraz, completa y oportuna.</w:t>
      </w:r>
    </w:p>
    <w:p w:rsidR="00000000" w:rsidRDefault="0018461E">
      <w:pPr>
        <w:divId w:val="138714731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Criterios para la gradación de las sanciones.-</w:t>
      </w:r>
      <w:r>
        <w:rPr>
          <w:rFonts w:eastAsia="Times New Roman"/>
          <w:sz w:val="30"/>
          <w:szCs w:val="30"/>
          <w:lang w:val="es-ES"/>
        </w:rPr>
        <w:t xml:space="preserve"> (Agregado por el Art. 77 de la Ley</w:t>
      </w:r>
      <w:r>
        <w:rPr>
          <w:rFonts w:eastAsia="Times New Roman"/>
          <w:sz w:val="30"/>
          <w:szCs w:val="30"/>
          <w:lang w:val="es-ES"/>
        </w:rPr>
        <w:t xml:space="preserve"> s/n, R.O. 249-S, 20-V-2014; y, reformado por la Disposición Reformatoria Décima Séptima, num. 3 del Código Orgánico Monetario y Financiero; R.O. 332-2S, 12-IX-2014) La Superintendencia de Compañías Valores y Seguros impondrá las sanciones administrativas </w:t>
      </w:r>
      <w:r>
        <w:rPr>
          <w:rFonts w:eastAsia="Times New Roman"/>
          <w:sz w:val="30"/>
          <w:szCs w:val="30"/>
          <w:lang w:val="es-ES"/>
        </w:rPr>
        <w:t>con atención a los siguientes criterios, los cuales deben estar reflejados en los informes técnicos correspondientes:</w:t>
      </w:r>
      <w:r>
        <w:rPr>
          <w:rFonts w:eastAsia="Times New Roman"/>
          <w:sz w:val="30"/>
          <w:szCs w:val="30"/>
          <w:lang w:val="es-ES"/>
        </w:rPr>
        <w:br/>
      </w:r>
      <w:r>
        <w:rPr>
          <w:rFonts w:eastAsia="Times New Roman"/>
          <w:sz w:val="30"/>
          <w:szCs w:val="30"/>
          <w:lang w:val="es-ES"/>
        </w:rPr>
        <w:br/>
        <w:t>1. Los antecedentes del infractor en el mercado de valores;</w:t>
      </w:r>
      <w:r>
        <w:rPr>
          <w:rFonts w:eastAsia="Times New Roman"/>
          <w:sz w:val="30"/>
          <w:szCs w:val="30"/>
          <w:lang w:val="es-ES"/>
        </w:rPr>
        <w:br/>
      </w:r>
      <w:r>
        <w:rPr>
          <w:rFonts w:eastAsia="Times New Roman"/>
          <w:sz w:val="30"/>
          <w:szCs w:val="30"/>
          <w:lang w:val="es-ES"/>
        </w:rPr>
        <w:br/>
        <w:t>2. Las circunstancias del cometimiento de la infracción;</w:t>
      </w:r>
      <w:r>
        <w:rPr>
          <w:rFonts w:eastAsia="Times New Roman"/>
          <w:sz w:val="30"/>
          <w:szCs w:val="30"/>
          <w:lang w:val="es-ES"/>
        </w:rPr>
        <w:br/>
      </w:r>
      <w:r>
        <w:rPr>
          <w:rFonts w:eastAsia="Times New Roman"/>
          <w:sz w:val="30"/>
          <w:szCs w:val="30"/>
          <w:lang w:val="es-ES"/>
        </w:rPr>
        <w:br/>
        <w:t>3. El perjuicio ca</w:t>
      </w:r>
      <w:r>
        <w:rPr>
          <w:rFonts w:eastAsia="Times New Roman"/>
          <w:sz w:val="30"/>
          <w:szCs w:val="30"/>
          <w:lang w:val="es-ES"/>
        </w:rPr>
        <w:t>usado o el potencial perjuicio a los participantes del mercado o a terceros;</w:t>
      </w:r>
      <w:r>
        <w:rPr>
          <w:rFonts w:eastAsia="Times New Roman"/>
          <w:sz w:val="30"/>
          <w:szCs w:val="30"/>
          <w:lang w:val="es-ES"/>
        </w:rPr>
        <w:br/>
      </w:r>
      <w:r>
        <w:rPr>
          <w:rFonts w:eastAsia="Times New Roman"/>
          <w:sz w:val="30"/>
          <w:szCs w:val="30"/>
          <w:lang w:val="es-ES"/>
        </w:rPr>
        <w:br/>
        <w:t>4. La repercusión en el mercado, de la infracción cometida;</w:t>
      </w:r>
      <w:r>
        <w:rPr>
          <w:rFonts w:eastAsia="Times New Roman"/>
          <w:sz w:val="30"/>
          <w:szCs w:val="30"/>
          <w:lang w:val="es-ES"/>
        </w:rPr>
        <w:br/>
      </w:r>
      <w:r>
        <w:rPr>
          <w:rFonts w:eastAsia="Times New Roman"/>
          <w:sz w:val="30"/>
          <w:szCs w:val="30"/>
          <w:lang w:val="es-ES"/>
        </w:rPr>
        <w:br/>
        <w:t>5. La reincidencia en el cometimiento de la infracción, en los términos previstos en esta Ley;</w:t>
      </w:r>
      <w:r>
        <w:rPr>
          <w:rFonts w:eastAsia="Times New Roman"/>
          <w:sz w:val="30"/>
          <w:szCs w:val="30"/>
          <w:lang w:val="es-ES"/>
        </w:rPr>
        <w:br/>
      </w:r>
      <w:r>
        <w:rPr>
          <w:rFonts w:eastAsia="Times New Roman"/>
          <w:sz w:val="30"/>
          <w:szCs w:val="30"/>
          <w:lang w:val="es-ES"/>
        </w:rPr>
        <w:br/>
        <w:t xml:space="preserve">6. (Reformado por la </w:t>
      </w:r>
      <w:r>
        <w:rPr>
          <w:rFonts w:eastAsia="Times New Roman"/>
          <w:sz w:val="30"/>
          <w:szCs w:val="30"/>
          <w:lang w:val="es-ES"/>
        </w:rPr>
        <w:t xml:space="preserve">Disposición Reformatoria Décima Séptima, num. 3 del Código Orgánico Monetario y Financiero; R.O. 332-2S, 12-IX-2014).- La obstrucción o falta de colaboración en el proceso de </w:t>
      </w:r>
      <w:r>
        <w:rPr>
          <w:rFonts w:eastAsia="Times New Roman"/>
          <w:sz w:val="30"/>
          <w:szCs w:val="30"/>
          <w:lang w:val="es-ES"/>
        </w:rPr>
        <w:lastRenderedPageBreak/>
        <w:t>investigación, con la Superintendencia de Compañías Valores y Seguros;</w:t>
      </w:r>
      <w:r>
        <w:rPr>
          <w:rFonts w:eastAsia="Times New Roman"/>
          <w:sz w:val="30"/>
          <w:szCs w:val="30"/>
          <w:lang w:val="es-ES"/>
        </w:rPr>
        <w:br/>
      </w:r>
      <w:r>
        <w:rPr>
          <w:rFonts w:eastAsia="Times New Roman"/>
          <w:sz w:val="30"/>
          <w:szCs w:val="30"/>
          <w:lang w:val="es-ES"/>
        </w:rPr>
        <w:br/>
        <w:t>7. (Refor</w:t>
      </w:r>
      <w:r>
        <w:rPr>
          <w:rFonts w:eastAsia="Times New Roman"/>
          <w:sz w:val="30"/>
          <w:szCs w:val="30"/>
          <w:lang w:val="es-ES"/>
        </w:rPr>
        <w:t>mado por la Disposición Reformatoria Décima Séptima, nums. 2 y 3 del Código Orgánico Monetario y Financiero; R.O. 332-2S, 12-IX-2014).- La renuencia o desacato a las disposiciones impartidas por la Junta de Política y Regulación Monetaria y Financiera y la</w:t>
      </w:r>
      <w:r>
        <w:rPr>
          <w:rFonts w:eastAsia="Times New Roman"/>
          <w:sz w:val="30"/>
          <w:szCs w:val="30"/>
          <w:lang w:val="es-ES"/>
        </w:rPr>
        <w:t xml:space="preserve"> Superintendencia de Compañías Valores y Seguros;</w:t>
      </w:r>
      <w:r>
        <w:rPr>
          <w:rFonts w:eastAsia="Times New Roman"/>
          <w:sz w:val="30"/>
          <w:szCs w:val="30"/>
          <w:lang w:val="es-ES"/>
        </w:rPr>
        <w:br/>
      </w:r>
      <w:r>
        <w:rPr>
          <w:rFonts w:eastAsia="Times New Roman"/>
          <w:sz w:val="30"/>
          <w:szCs w:val="30"/>
          <w:lang w:val="es-ES"/>
        </w:rPr>
        <w:br/>
        <w:t>8. Si el cometimiento de la infracción pudiera derivar en lucro o aprovechamiento indebido para sí o para un tercero;</w:t>
      </w:r>
      <w:r>
        <w:rPr>
          <w:rFonts w:eastAsia="Times New Roman"/>
          <w:sz w:val="30"/>
          <w:szCs w:val="30"/>
          <w:lang w:val="es-ES"/>
        </w:rPr>
        <w:br/>
      </w:r>
      <w:r>
        <w:rPr>
          <w:rFonts w:eastAsia="Times New Roman"/>
          <w:sz w:val="30"/>
          <w:szCs w:val="30"/>
          <w:lang w:val="es-ES"/>
        </w:rPr>
        <w:br/>
        <w:t>9. Si se vulnera la eficacia en la aplicación de los principios jurídicos tutelados po</w:t>
      </w:r>
      <w:r>
        <w:rPr>
          <w:rFonts w:eastAsia="Times New Roman"/>
          <w:sz w:val="30"/>
          <w:szCs w:val="30"/>
          <w:lang w:val="es-ES"/>
        </w:rPr>
        <w:t>r la Ley de Mercado de Valores y sus normas complementarias;</w:t>
      </w:r>
      <w:r>
        <w:rPr>
          <w:rFonts w:eastAsia="Times New Roman"/>
          <w:sz w:val="30"/>
          <w:szCs w:val="30"/>
          <w:lang w:val="es-ES"/>
        </w:rPr>
        <w:br/>
      </w:r>
      <w:r>
        <w:rPr>
          <w:rFonts w:eastAsia="Times New Roman"/>
          <w:sz w:val="30"/>
          <w:szCs w:val="30"/>
          <w:lang w:val="es-ES"/>
        </w:rPr>
        <w:br/>
        <w:t>10. La falta de debida diligencia en el ejercicio de sus actividades en el mercado de valores;</w:t>
      </w:r>
      <w:r>
        <w:rPr>
          <w:rFonts w:eastAsia="Times New Roman"/>
          <w:sz w:val="30"/>
          <w:szCs w:val="30"/>
          <w:lang w:val="es-ES"/>
        </w:rPr>
        <w:br/>
      </w:r>
      <w:r>
        <w:rPr>
          <w:rFonts w:eastAsia="Times New Roman"/>
          <w:sz w:val="30"/>
          <w:szCs w:val="30"/>
          <w:lang w:val="es-ES"/>
        </w:rPr>
        <w:br/>
        <w:t>11. El reconocimiento o aceptación expresa y oportuna del ente investigado sobre el cometimiento d</w:t>
      </w:r>
      <w:r>
        <w:rPr>
          <w:rFonts w:eastAsia="Times New Roman"/>
          <w:sz w:val="30"/>
          <w:szCs w:val="30"/>
          <w:lang w:val="es-ES"/>
        </w:rPr>
        <w:t>e la infracción; y,</w:t>
      </w:r>
      <w:r>
        <w:rPr>
          <w:rFonts w:eastAsia="Times New Roman"/>
          <w:sz w:val="30"/>
          <w:szCs w:val="30"/>
          <w:lang w:val="es-ES"/>
        </w:rPr>
        <w:br/>
      </w:r>
      <w:r>
        <w:rPr>
          <w:rFonts w:eastAsia="Times New Roman"/>
          <w:sz w:val="30"/>
          <w:szCs w:val="30"/>
          <w:lang w:val="es-ES"/>
        </w:rPr>
        <w:br/>
        <w:t>12. Las acciones ejecutadas con el fin de regularizar el incumplimiento detectado.</w:t>
      </w:r>
      <w:r>
        <w:rPr>
          <w:rFonts w:eastAsia="Times New Roman"/>
          <w:sz w:val="30"/>
          <w:szCs w:val="30"/>
          <w:lang w:val="es-ES"/>
        </w:rPr>
        <w:br/>
      </w:r>
      <w:r>
        <w:rPr>
          <w:rFonts w:eastAsia="Times New Roman"/>
          <w:sz w:val="30"/>
          <w:szCs w:val="30"/>
          <w:lang w:val="es-ES"/>
        </w:rPr>
        <w:br/>
        <w:t>Los criterios serán aplicables simultáneamente cuando fuere pertinente.</w:t>
      </w:r>
    </w:p>
    <w:p w:rsidR="00000000" w:rsidRDefault="0018461E">
      <w:pPr>
        <w:divId w:val="828445686"/>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Sanciones administrativas.- </w:t>
      </w:r>
      <w:r>
        <w:rPr>
          <w:rFonts w:eastAsia="Times New Roman"/>
          <w:sz w:val="30"/>
          <w:szCs w:val="30"/>
          <w:lang w:val="es-ES"/>
        </w:rPr>
        <w:t>(Sustituido por el Art. 78 de la Ley s/n</w:t>
      </w:r>
      <w:r>
        <w:rPr>
          <w:rFonts w:eastAsia="Times New Roman"/>
          <w:sz w:val="30"/>
          <w:szCs w:val="30"/>
          <w:lang w:val="es-ES"/>
        </w:rPr>
        <w:t>, R.O. 249-S, 20-V-2014; y, (Reformado por la Disposición Reformatoria Décima Séptima, num. 3 del Código Orgánico Monetario y Financiero; R.O. 332-2S, 12-IX-2014).-</w:t>
      </w:r>
      <w:r>
        <w:rPr>
          <w:rFonts w:eastAsia="Times New Roman"/>
          <w:b/>
          <w:bCs/>
          <w:sz w:val="30"/>
          <w:szCs w:val="30"/>
          <w:lang w:val="es-ES"/>
        </w:rPr>
        <w:t xml:space="preserve"> </w:t>
      </w:r>
      <w:r>
        <w:rPr>
          <w:rFonts w:eastAsia="Times New Roman"/>
          <w:sz w:val="30"/>
          <w:szCs w:val="30"/>
          <w:lang w:val="es-ES"/>
        </w:rPr>
        <w:t xml:space="preserve">La Superintendencia de Compañías, Valores y Seguros impondrá las sanciones administrativas </w:t>
      </w:r>
      <w:r>
        <w:rPr>
          <w:rFonts w:eastAsia="Times New Roman"/>
          <w:sz w:val="30"/>
          <w:szCs w:val="30"/>
          <w:lang w:val="es-ES"/>
        </w:rPr>
        <w:t>teniendo en cuenta la mayor o menor gravedad de la infracción administrativa, para lo cual se tomará en cuenta la magnitud del perjuicio causado de conformidad con las siguientes disposiciones:</w:t>
      </w:r>
      <w:r>
        <w:rPr>
          <w:rFonts w:eastAsia="Times New Roman"/>
          <w:sz w:val="30"/>
          <w:szCs w:val="30"/>
          <w:lang w:val="es-ES"/>
        </w:rPr>
        <w:br/>
      </w:r>
      <w:r>
        <w:rPr>
          <w:rFonts w:eastAsia="Times New Roman"/>
          <w:sz w:val="30"/>
          <w:szCs w:val="30"/>
          <w:lang w:val="es-ES"/>
        </w:rPr>
        <w:br/>
        <w:t>1. Las infracciones leves, que impliquen meros retrasos en el</w:t>
      </w:r>
      <w:r>
        <w:rPr>
          <w:rFonts w:eastAsia="Times New Roman"/>
          <w:sz w:val="30"/>
          <w:szCs w:val="30"/>
          <w:lang w:val="es-ES"/>
        </w:rPr>
        <w:t xml:space="preserve"> cumplimiento de obligaciones formales o incumplimiento de otras obligaciones que no lesionen intereses de partícipes en el mercado o </w:t>
      </w:r>
      <w:r>
        <w:rPr>
          <w:rFonts w:eastAsia="Times New Roman"/>
          <w:sz w:val="30"/>
          <w:szCs w:val="30"/>
          <w:lang w:val="es-ES"/>
        </w:rPr>
        <w:lastRenderedPageBreak/>
        <w:t>de terceros o lo hiciere levemente, se sancionarán alternativa o simultáneamente con:</w:t>
      </w:r>
      <w:r>
        <w:rPr>
          <w:rFonts w:eastAsia="Times New Roman"/>
          <w:sz w:val="30"/>
          <w:szCs w:val="30"/>
          <w:lang w:val="es-ES"/>
        </w:rPr>
        <w:br/>
      </w:r>
      <w:r>
        <w:rPr>
          <w:rFonts w:eastAsia="Times New Roman"/>
          <w:sz w:val="30"/>
          <w:szCs w:val="30"/>
          <w:lang w:val="es-ES"/>
        </w:rPr>
        <w:br/>
        <w:t>1.1. Amonestación escrita.</w:t>
      </w:r>
      <w:r>
        <w:rPr>
          <w:rFonts w:eastAsia="Times New Roman"/>
          <w:sz w:val="30"/>
          <w:szCs w:val="30"/>
          <w:lang w:val="es-ES"/>
        </w:rPr>
        <w:br/>
      </w:r>
      <w:r>
        <w:rPr>
          <w:rFonts w:eastAsia="Times New Roman"/>
          <w:sz w:val="30"/>
          <w:szCs w:val="30"/>
          <w:lang w:val="es-ES"/>
        </w:rPr>
        <w:br/>
        <w:t>1.2. Mu</w:t>
      </w:r>
      <w:r>
        <w:rPr>
          <w:rFonts w:eastAsia="Times New Roman"/>
          <w:sz w:val="30"/>
          <w:szCs w:val="30"/>
          <w:lang w:val="es-ES"/>
        </w:rPr>
        <w:t>lta de 6 a 12 salarios básicos unificados.</w:t>
      </w:r>
      <w:r>
        <w:rPr>
          <w:rFonts w:eastAsia="Times New Roman"/>
          <w:sz w:val="30"/>
          <w:szCs w:val="30"/>
          <w:lang w:val="es-ES"/>
        </w:rPr>
        <w:br/>
      </w:r>
      <w:r>
        <w:rPr>
          <w:rFonts w:eastAsia="Times New Roman"/>
          <w:sz w:val="30"/>
          <w:szCs w:val="30"/>
          <w:lang w:val="es-ES"/>
        </w:rPr>
        <w:br/>
        <w:t>2. Las infracciones graves, que son aquellas que ponen en serio peligro o lesionan gravemente los intereses de los partícipes en el mercado o de terceros, se sancionarán alternativa o simultáneamente con:</w:t>
      </w:r>
      <w:r>
        <w:rPr>
          <w:rFonts w:eastAsia="Times New Roman"/>
          <w:sz w:val="30"/>
          <w:szCs w:val="30"/>
          <w:lang w:val="es-ES"/>
        </w:rPr>
        <w:br/>
      </w:r>
      <w:r>
        <w:rPr>
          <w:rFonts w:eastAsia="Times New Roman"/>
          <w:sz w:val="30"/>
          <w:szCs w:val="30"/>
          <w:lang w:val="es-ES"/>
        </w:rPr>
        <w:br/>
        <w:t>2.1. M</w:t>
      </w:r>
      <w:r>
        <w:rPr>
          <w:rFonts w:eastAsia="Times New Roman"/>
          <w:sz w:val="30"/>
          <w:szCs w:val="30"/>
          <w:lang w:val="es-ES"/>
        </w:rPr>
        <w:t xml:space="preserve">ulta de trece a doscientos ocho salarios básicos unificados. En el caso de que la infracción tenga relación con una transacción en el mercado de valores, la multa será de hasta el veinte por ciento del valor de la transacción, sin que esta multa supere el </w:t>
      </w:r>
      <w:r>
        <w:rPr>
          <w:rFonts w:eastAsia="Times New Roman"/>
          <w:sz w:val="30"/>
          <w:szCs w:val="30"/>
          <w:lang w:val="es-ES"/>
        </w:rPr>
        <w:t>monto de doscientos ocho salarios básicos unificados, además de la devolución de la comisión indebidamente percibida, de ser el caso.</w:t>
      </w:r>
      <w:r>
        <w:rPr>
          <w:rFonts w:eastAsia="Times New Roman"/>
          <w:sz w:val="30"/>
          <w:szCs w:val="30"/>
          <w:lang w:val="es-ES"/>
        </w:rPr>
        <w:br/>
      </w:r>
      <w:r>
        <w:rPr>
          <w:rFonts w:eastAsia="Times New Roman"/>
          <w:sz w:val="30"/>
          <w:szCs w:val="30"/>
          <w:lang w:val="es-ES"/>
        </w:rPr>
        <w:br/>
        <w:t>2.2. (Reformado por la Disposición Reformatoria Décima Séptima, num. 2 del Código Orgánico Monetario y Financiero; R.O. 3</w:t>
      </w:r>
      <w:r>
        <w:rPr>
          <w:rFonts w:eastAsia="Times New Roman"/>
          <w:sz w:val="30"/>
          <w:szCs w:val="30"/>
          <w:lang w:val="es-ES"/>
        </w:rPr>
        <w:t>32-2S, 12-IX-2014).- Inhabilitación temporal hasta por cuatro años para ser funcionario o miembro de la Junta de Política y Regulación Monetaria y Financiera o la Superintendencia de Compañías y Valores, para ser director, administrador, auditor o funciona</w:t>
      </w:r>
      <w:r>
        <w:rPr>
          <w:rFonts w:eastAsia="Times New Roman"/>
          <w:sz w:val="30"/>
          <w:szCs w:val="30"/>
          <w:lang w:val="es-ES"/>
        </w:rPr>
        <w:t>rio de las entidades que participan en el mercado de valores, representante de los tenedores de obligaciones, de valores provenientes de procesos de titularización, de partícipes de fondos de inversión o miembro del comité de vigilancia y del comité de inv</w:t>
      </w:r>
      <w:r>
        <w:rPr>
          <w:rFonts w:eastAsia="Times New Roman"/>
          <w:sz w:val="30"/>
          <w:szCs w:val="30"/>
          <w:lang w:val="es-ES"/>
        </w:rPr>
        <w:t>ersiones.</w:t>
      </w:r>
      <w:r>
        <w:rPr>
          <w:rFonts w:eastAsia="Times New Roman"/>
          <w:sz w:val="30"/>
          <w:szCs w:val="30"/>
          <w:lang w:val="es-ES"/>
        </w:rPr>
        <w:br/>
      </w:r>
      <w:r>
        <w:rPr>
          <w:rFonts w:eastAsia="Times New Roman"/>
          <w:sz w:val="30"/>
          <w:szCs w:val="30"/>
          <w:lang w:val="es-ES"/>
        </w:rPr>
        <w:br/>
        <w:t>2.3. (Reformado por la Disposición Reformatoria Décima Séptima, num. 1 del Código Orgánico Monetario y Financiero; R.O. 332-2S, 12-IX-2014).- Suspensión temporal hasta por un año, de la autorización de funcionamiento para participar en el mercad</w:t>
      </w:r>
      <w:r>
        <w:rPr>
          <w:rFonts w:eastAsia="Times New Roman"/>
          <w:sz w:val="30"/>
          <w:szCs w:val="30"/>
          <w:lang w:val="es-ES"/>
        </w:rPr>
        <w:t>o de valores, la misma que implica la suspensión de la inscripción en el Catastro Público del Mercado de Valores por igual período.</w:t>
      </w:r>
      <w:r>
        <w:rPr>
          <w:rFonts w:eastAsia="Times New Roman"/>
          <w:sz w:val="30"/>
          <w:szCs w:val="30"/>
          <w:lang w:val="es-ES"/>
        </w:rPr>
        <w:br/>
      </w:r>
      <w:r>
        <w:rPr>
          <w:rFonts w:eastAsia="Times New Roman"/>
          <w:sz w:val="30"/>
          <w:szCs w:val="30"/>
          <w:lang w:val="es-ES"/>
        </w:rPr>
        <w:br/>
        <w:t>3. Las infracciones muy graves, que son aquellas que ponen en gravísimo peligro o lesionan enormemente los intereses de los</w:t>
      </w:r>
      <w:r>
        <w:rPr>
          <w:rFonts w:eastAsia="Times New Roman"/>
          <w:sz w:val="30"/>
          <w:szCs w:val="30"/>
          <w:lang w:val="es-ES"/>
        </w:rPr>
        <w:t xml:space="preserve"> partícipes en el mercado o de terceros, atentando contra el objeto de </w:t>
      </w:r>
      <w:r>
        <w:rPr>
          <w:rFonts w:eastAsia="Times New Roman"/>
          <w:sz w:val="30"/>
          <w:szCs w:val="30"/>
          <w:lang w:val="es-ES"/>
        </w:rPr>
        <w:lastRenderedPageBreak/>
        <w:t>esta Ley definido en el Art. 1, se sancionarán alternativa o simultáneamente con:</w:t>
      </w:r>
      <w:r>
        <w:rPr>
          <w:rFonts w:eastAsia="Times New Roman"/>
          <w:sz w:val="30"/>
          <w:szCs w:val="30"/>
          <w:lang w:val="es-ES"/>
        </w:rPr>
        <w:br/>
      </w:r>
      <w:r>
        <w:rPr>
          <w:rFonts w:eastAsia="Times New Roman"/>
          <w:sz w:val="30"/>
          <w:szCs w:val="30"/>
          <w:lang w:val="es-ES"/>
        </w:rPr>
        <w:br/>
        <w:t>3.1. Multa de doscientos nueve hasta cuatrocientos dieciocho salarios básicos unificados. En el caso d</w:t>
      </w:r>
      <w:r>
        <w:rPr>
          <w:rFonts w:eastAsia="Times New Roman"/>
          <w:sz w:val="30"/>
          <w:szCs w:val="30"/>
          <w:lang w:val="es-ES"/>
        </w:rPr>
        <w:t>e que la infracción tenga relación con una transacción en el mercado de valores, la multa será de hasta el 50% del valor de la transacción, sin que este supere el monto de cuatrocientos dieciocho salarios básicos unificados, además de la devolución de la c</w:t>
      </w:r>
      <w:r>
        <w:rPr>
          <w:rFonts w:eastAsia="Times New Roman"/>
          <w:sz w:val="30"/>
          <w:szCs w:val="30"/>
          <w:lang w:val="es-ES"/>
        </w:rPr>
        <w:t>omisión indebidamente percibida, de ser el caso.</w:t>
      </w:r>
      <w:r>
        <w:rPr>
          <w:rFonts w:eastAsia="Times New Roman"/>
          <w:sz w:val="30"/>
          <w:szCs w:val="30"/>
          <w:lang w:val="es-ES"/>
        </w:rPr>
        <w:br/>
      </w:r>
      <w:r>
        <w:rPr>
          <w:rFonts w:eastAsia="Times New Roman"/>
          <w:sz w:val="30"/>
          <w:szCs w:val="30"/>
          <w:lang w:val="es-ES"/>
        </w:rPr>
        <w:br/>
        <w:t>3.2. Remoción indefinida del cargo o función.</w:t>
      </w:r>
      <w:r>
        <w:rPr>
          <w:rFonts w:eastAsia="Times New Roman"/>
          <w:sz w:val="30"/>
          <w:szCs w:val="30"/>
          <w:lang w:val="es-ES"/>
        </w:rPr>
        <w:br/>
      </w:r>
      <w:r>
        <w:rPr>
          <w:rFonts w:eastAsia="Times New Roman"/>
          <w:sz w:val="30"/>
          <w:szCs w:val="30"/>
          <w:lang w:val="es-ES"/>
        </w:rPr>
        <w:br/>
        <w:t>3.3. (Reformado por la Disposición Reformatoria Décima Séptima, num. 2 del Código Orgánico Monetario y Financiero; R.O. 332-2S, 12-IX-2014).- Inhabilitación te</w:t>
      </w:r>
      <w:r>
        <w:rPr>
          <w:rFonts w:eastAsia="Times New Roman"/>
          <w:sz w:val="30"/>
          <w:szCs w:val="30"/>
          <w:lang w:val="es-ES"/>
        </w:rPr>
        <w:t>mporal hasta por diez años para ser funcionario o miembro en la Junta de Política y Regulación Monetaria y Financiera, en la Superintendencia de Compañías y Valores, director, administrador, representante legal, auditor, funcionario o empleado de las entid</w:t>
      </w:r>
      <w:r>
        <w:rPr>
          <w:rFonts w:eastAsia="Times New Roman"/>
          <w:sz w:val="30"/>
          <w:szCs w:val="30"/>
          <w:lang w:val="es-ES"/>
        </w:rPr>
        <w:t>ades que participan en el mercado de valores, representante de los tenedores de bonos, miembro del comité de vigilancia y del comité de inversiones.</w:t>
      </w:r>
      <w:r>
        <w:rPr>
          <w:rFonts w:eastAsia="Times New Roman"/>
          <w:sz w:val="30"/>
          <w:szCs w:val="30"/>
          <w:lang w:val="es-ES"/>
        </w:rPr>
        <w:br/>
      </w:r>
      <w:r>
        <w:rPr>
          <w:rFonts w:eastAsia="Times New Roman"/>
          <w:sz w:val="30"/>
          <w:szCs w:val="30"/>
          <w:lang w:val="es-ES"/>
        </w:rPr>
        <w:br/>
        <w:t>3.4. Suspensión definitiva en el ejercicio del derecho al voto de un accionista, de su capacidad de integr</w:t>
      </w:r>
      <w:r>
        <w:rPr>
          <w:rFonts w:eastAsia="Times New Roman"/>
          <w:sz w:val="30"/>
          <w:szCs w:val="30"/>
          <w:lang w:val="es-ES"/>
        </w:rPr>
        <w:t>ar los organismos de administración y control de la compañía, y prohibición de enajenar las acciones.</w:t>
      </w:r>
      <w:r>
        <w:rPr>
          <w:rFonts w:eastAsia="Times New Roman"/>
          <w:sz w:val="30"/>
          <w:szCs w:val="30"/>
          <w:lang w:val="es-ES"/>
        </w:rPr>
        <w:br/>
      </w:r>
      <w:r>
        <w:rPr>
          <w:rFonts w:eastAsia="Times New Roman"/>
          <w:sz w:val="30"/>
          <w:szCs w:val="30"/>
          <w:lang w:val="es-ES"/>
        </w:rPr>
        <w:br/>
        <w:t>3.5. (Reformado por la Disposición Reformatoria Décima Séptima, num. 1 del Código Orgánico Monetario y Financiero; R.O. 332-2S, 12-IX-2014).- Cancelación</w:t>
      </w:r>
      <w:r>
        <w:rPr>
          <w:rFonts w:eastAsia="Times New Roman"/>
          <w:sz w:val="30"/>
          <w:szCs w:val="30"/>
          <w:lang w:val="es-ES"/>
        </w:rPr>
        <w:t xml:space="preserve"> de la autorización de funcionamiento para participar en el mercado de valores, lo cual implica la disolución automática de la compañía infractora y su cancelación de la inscripción en el Catastro Público del Mercado de Valores.</w:t>
      </w:r>
      <w:r>
        <w:rPr>
          <w:rFonts w:eastAsia="Times New Roman"/>
          <w:sz w:val="30"/>
          <w:szCs w:val="30"/>
          <w:lang w:val="es-ES"/>
        </w:rPr>
        <w:br/>
      </w:r>
      <w:r>
        <w:rPr>
          <w:rFonts w:eastAsia="Times New Roman"/>
          <w:sz w:val="30"/>
          <w:szCs w:val="30"/>
          <w:lang w:val="es-ES"/>
        </w:rPr>
        <w:br/>
        <w:t>Estas sanciones se aplicar</w:t>
      </w:r>
      <w:r>
        <w:rPr>
          <w:rFonts w:eastAsia="Times New Roman"/>
          <w:sz w:val="30"/>
          <w:szCs w:val="30"/>
          <w:lang w:val="es-ES"/>
        </w:rPr>
        <w:t>án a las entidades y a las personas naturales, según sea su participación en la infracción correspondiente. Si se tratare de decisiones adoptadas por organismos colegiados, las sanciones se aplicarán a los miembros que hubieren contribuido con su voto a la</w:t>
      </w:r>
      <w:r>
        <w:rPr>
          <w:rFonts w:eastAsia="Times New Roman"/>
          <w:sz w:val="30"/>
          <w:szCs w:val="30"/>
          <w:lang w:val="es-ES"/>
        </w:rPr>
        <w:t xml:space="preserve"> aprobación de tales decisiones.</w:t>
      </w:r>
    </w:p>
    <w:p w:rsidR="00000000" w:rsidRDefault="0018461E">
      <w:pPr>
        <w:divId w:val="1677489696"/>
        <w:rPr>
          <w:rFonts w:eastAsia="Times New Roman"/>
          <w:sz w:val="30"/>
          <w:szCs w:val="30"/>
          <w:lang w:val="es-ES"/>
        </w:rPr>
      </w:pPr>
      <w:r>
        <w:rPr>
          <w:rFonts w:eastAsia="Times New Roman"/>
          <w:sz w:val="30"/>
          <w:szCs w:val="30"/>
          <w:lang w:val="es-ES"/>
        </w:rPr>
        <w:lastRenderedPageBreak/>
        <w:t xml:space="preserve">Art...- </w:t>
      </w:r>
      <w:r>
        <w:rPr>
          <w:rFonts w:eastAsia="Times New Roman"/>
          <w:b/>
          <w:bCs/>
          <w:sz w:val="30"/>
          <w:szCs w:val="30"/>
          <w:lang w:val="es-ES"/>
        </w:rPr>
        <w:t>Sanciones aplicables a las auditoras externas.-</w:t>
      </w:r>
      <w:r>
        <w:rPr>
          <w:rFonts w:eastAsia="Times New Roman"/>
          <w:sz w:val="30"/>
          <w:szCs w:val="30"/>
          <w:lang w:val="es-ES"/>
        </w:rPr>
        <w:t xml:space="preserve"> (Agregado por el Art. 79 de la Ley s/n, R.O. 249-S, 20-V-2014; y, reformado por la Disposición Reformatoria Décima Séptima, num. 3 del Código Orgánico Monetario y Fina</w:t>
      </w:r>
      <w:r>
        <w:rPr>
          <w:rFonts w:eastAsia="Times New Roman"/>
          <w:sz w:val="30"/>
          <w:szCs w:val="30"/>
          <w:lang w:val="es-ES"/>
        </w:rPr>
        <w:t>nciero; R.O. 332-2S, 12-IX-2014).- En el evento comprobado de que existan deficiencias en el proceso de auditoría, podrán imponerse las siguientes sanciones de acuerdo a la gravedad de la falta:</w:t>
      </w:r>
      <w:r>
        <w:rPr>
          <w:rFonts w:eastAsia="Times New Roman"/>
          <w:sz w:val="30"/>
          <w:szCs w:val="30"/>
          <w:lang w:val="es-ES"/>
        </w:rPr>
        <w:br/>
      </w:r>
      <w:r>
        <w:rPr>
          <w:rFonts w:eastAsia="Times New Roman"/>
          <w:sz w:val="30"/>
          <w:szCs w:val="30"/>
          <w:lang w:val="es-ES"/>
        </w:rPr>
        <w:br/>
        <w:t xml:space="preserve">1. Amonestación escrita por parte de la Superintendencia de </w:t>
      </w:r>
      <w:r>
        <w:rPr>
          <w:rFonts w:eastAsia="Times New Roman"/>
          <w:sz w:val="30"/>
          <w:szCs w:val="30"/>
          <w:lang w:val="es-ES"/>
        </w:rPr>
        <w:t>Compañías Valores y Seguros, en caso de falta de cumplimiento adecuado de sus funciones;</w:t>
      </w:r>
      <w:r>
        <w:rPr>
          <w:rFonts w:eastAsia="Times New Roman"/>
          <w:sz w:val="30"/>
          <w:szCs w:val="30"/>
          <w:lang w:val="es-ES"/>
        </w:rPr>
        <w:br/>
      </w:r>
      <w:r>
        <w:rPr>
          <w:rFonts w:eastAsia="Times New Roman"/>
          <w:sz w:val="30"/>
          <w:szCs w:val="30"/>
          <w:lang w:val="es-ES"/>
        </w:rPr>
        <w:br/>
        <w:t>2. Suspensión temporal en el ejercicio de sus funciones, por falta de idoneidad técnica o incumplimiento de las normas legales y reglamentarias pertinentes; y,</w:t>
      </w:r>
      <w:r>
        <w:rPr>
          <w:rFonts w:eastAsia="Times New Roman"/>
          <w:sz w:val="30"/>
          <w:szCs w:val="30"/>
          <w:lang w:val="es-ES"/>
        </w:rPr>
        <w:br/>
      </w:r>
      <w:r>
        <w:rPr>
          <w:rFonts w:eastAsia="Times New Roman"/>
          <w:sz w:val="30"/>
          <w:szCs w:val="30"/>
          <w:lang w:val="es-ES"/>
        </w:rPr>
        <w:br/>
        <w:t>3. (R</w:t>
      </w:r>
      <w:r>
        <w:rPr>
          <w:rFonts w:eastAsia="Times New Roman"/>
          <w:sz w:val="30"/>
          <w:szCs w:val="30"/>
          <w:lang w:val="es-ES"/>
        </w:rPr>
        <w:t>eformado por la Disposición Reformatoria Décima Séptima, nums. 2 y 3 del Código Orgánico Monetario y Financiero; R.O. 332-2S, 12-IX-2014).- Descalificación, cuando la Superintendencia de Compañías Valores y Seguros comprobare que la auditora externa proced</w:t>
      </w:r>
      <w:r>
        <w:rPr>
          <w:rFonts w:eastAsia="Times New Roman"/>
          <w:sz w:val="30"/>
          <w:szCs w:val="30"/>
          <w:lang w:val="es-ES"/>
        </w:rPr>
        <w:t>ió en contra de las normas de auditoría generalmente aceptadas y de las normas y principios de contabilidad emitidos por la Junta de Política y Regulación Monetaria y Financiera, o coadyuve a la presentación de datos o estados financieros no acordes con la</w:t>
      </w:r>
      <w:r>
        <w:rPr>
          <w:rFonts w:eastAsia="Times New Roman"/>
          <w:sz w:val="30"/>
          <w:szCs w:val="30"/>
          <w:lang w:val="es-ES"/>
        </w:rPr>
        <w:t>s disposiciones legales y reglamentarias vigentes. En tales casos emitirá observaciones respecto al contenido de sus dictámenes, y en el evento comprobado de que existan deficiencias en el proceso de auditoría o cualquier otro incumplimiento a la Ley y sus</w:t>
      </w:r>
      <w:r>
        <w:rPr>
          <w:rFonts w:eastAsia="Times New Roman"/>
          <w:sz w:val="30"/>
          <w:szCs w:val="30"/>
          <w:lang w:val="es-ES"/>
        </w:rPr>
        <w:t xml:space="preserve"> normas complementarias, podrá imponer las sanciones correspondientes.</w:t>
      </w:r>
      <w:r>
        <w:rPr>
          <w:rFonts w:eastAsia="Times New Roman"/>
          <w:sz w:val="30"/>
          <w:szCs w:val="30"/>
          <w:lang w:val="es-ES"/>
        </w:rPr>
        <w:br/>
      </w:r>
      <w:r>
        <w:rPr>
          <w:rFonts w:eastAsia="Times New Roman"/>
          <w:sz w:val="30"/>
          <w:szCs w:val="30"/>
          <w:lang w:val="es-ES"/>
        </w:rPr>
        <w:br/>
        <w:t>En el evento de cumplirse lo prescrito en los números 2 y 3, la Superintendencia de Compañías Valores y Seguros dispondrá que la entidad auditada cambie de firma auditora, aún antes de</w:t>
      </w:r>
      <w:r>
        <w:rPr>
          <w:rFonts w:eastAsia="Times New Roman"/>
          <w:sz w:val="30"/>
          <w:szCs w:val="30"/>
          <w:lang w:val="es-ES"/>
        </w:rPr>
        <w:t xml:space="preserve"> la expiración del respectivo contrato, en cuyo caso la Superintendencia de Compañías y de Valores dictará una resolución fundamentada.</w:t>
      </w:r>
      <w:r>
        <w:rPr>
          <w:rFonts w:eastAsia="Times New Roman"/>
          <w:sz w:val="30"/>
          <w:szCs w:val="30"/>
          <w:lang w:val="es-ES"/>
        </w:rPr>
        <w:br/>
      </w:r>
      <w:r>
        <w:rPr>
          <w:rFonts w:eastAsia="Times New Roman"/>
          <w:sz w:val="30"/>
          <w:szCs w:val="30"/>
          <w:lang w:val="es-ES"/>
        </w:rPr>
        <w:br/>
        <w:t xml:space="preserve">Sin perjuicio de lo anterior, en el evento de que se establezcan responsabilidades administrativas por incumplimientos </w:t>
      </w:r>
      <w:r>
        <w:rPr>
          <w:rFonts w:eastAsia="Times New Roman"/>
          <w:sz w:val="30"/>
          <w:szCs w:val="30"/>
          <w:lang w:val="es-ES"/>
        </w:rPr>
        <w:t xml:space="preserve">a la Ley y demás normas complementarias, la Superintendencia de Compañías </w:t>
      </w:r>
      <w:r>
        <w:rPr>
          <w:rFonts w:eastAsia="Times New Roman"/>
          <w:sz w:val="30"/>
          <w:szCs w:val="30"/>
          <w:lang w:val="es-ES"/>
        </w:rPr>
        <w:lastRenderedPageBreak/>
        <w:t>Valores y Seguros podrá disponer que la entidad auditada cambie de firma auditora, aún antes de la expiración del respectivo contrato.</w:t>
      </w:r>
    </w:p>
    <w:p w:rsidR="00000000" w:rsidRDefault="0018461E">
      <w:pPr>
        <w:divId w:val="1126973790"/>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Reincidencia.</w:t>
      </w:r>
      <w:r>
        <w:rPr>
          <w:rFonts w:eastAsia="Times New Roman"/>
          <w:sz w:val="30"/>
          <w:szCs w:val="30"/>
          <w:lang w:val="es-ES"/>
        </w:rPr>
        <w:t>- (Sustituido por el Ar</w:t>
      </w:r>
      <w:r>
        <w:rPr>
          <w:rFonts w:eastAsia="Times New Roman"/>
          <w:sz w:val="30"/>
          <w:szCs w:val="30"/>
          <w:lang w:val="es-ES"/>
        </w:rPr>
        <w:t>t. 80 de la Ley s/n, R.O. 249-S, 20-V-2014; y, reformado por la Disposición Reformatoria Décima Séptima, num. 1 del Código Orgánico Monetario y Financiero; R.O. 332-2S, 12-IX-2014).- Para que opere la reincidencia, en la infracción deben coexistir los sigu</w:t>
      </w:r>
      <w:r>
        <w:rPr>
          <w:rFonts w:eastAsia="Times New Roman"/>
          <w:sz w:val="30"/>
          <w:szCs w:val="30"/>
          <w:lang w:val="es-ES"/>
        </w:rPr>
        <w:t>ientes presupuestos:</w:t>
      </w:r>
      <w:r>
        <w:rPr>
          <w:rFonts w:eastAsia="Times New Roman"/>
          <w:sz w:val="30"/>
          <w:szCs w:val="30"/>
          <w:lang w:val="es-ES"/>
        </w:rPr>
        <w:br/>
      </w:r>
      <w:r>
        <w:rPr>
          <w:rFonts w:eastAsia="Times New Roman"/>
          <w:sz w:val="30"/>
          <w:szCs w:val="30"/>
          <w:lang w:val="es-ES"/>
        </w:rPr>
        <w:br/>
        <w:t>1.- Identidad del infractor;</w:t>
      </w:r>
      <w:r>
        <w:rPr>
          <w:rFonts w:eastAsia="Times New Roman"/>
          <w:sz w:val="30"/>
          <w:szCs w:val="30"/>
          <w:lang w:val="es-ES"/>
        </w:rPr>
        <w:br/>
      </w:r>
      <w:r>
        <w:rPr>
          <w:rFonts w:eastAsia="Times New Roman"/>
          <w:sz w:val="30"/>
          <w:szCs w:val="30"/>
          <w:lang w:val="es-ES"/>
        </w:rPr>
        <w:br/>
        <w:t>2.- Identidad de la norma transgredida; y,</w:t>
      </w:r>
      <w:r>
        <w:rPr>
          <w:rFonts w:eastAsia="Times New Roman"/>
          <w:sz w:val="30"/>
          <w:szCs w:val="30"/>
          <w:lang w:val="es-ES"/>
        </w:rPr>
        <w:br/>
      </w:r>
      <w:r>
        <w:rPr>
          <w:rFonts w:eastAsia="Times New Roman"/>
          <w:sz w:val="30"/>
          <w:szCs w:val="30"/>
          <w:lang w:val="es-ES"/>
        </w:rPr>
        <w:br/>
        <w:t>3.- Gravedad de la infracción.</w:t>
      </w:r>
      <w:r>
        <w:rPr>
          <w:rFonts w:eastAsia="Times New Roman"/>
          <w:sz w:val="30"/>
          <w:szCs w:val="30"/>
          <w:lang w:val="es-ES"/>
        </w:rPr>
        <w:br/>
      </w:r>
      <w:r>
        <w:rPr>
          <w:rFonts w:eastAsia="Times New Roman"/>
          <w:sz w:val="30"/>
          <w:szCs w:val="30"/>
          <w:lang w:val="es-ES"/>
        </w:rPr>
        <w:br/>
        <w:t>La reincidencia en una misma infracción administrativa leve dentro de un período anual, o en una misma infracción administrativa</w:t>
      </w:r>
      <w:r>
        <w:rPr>
          <w:rFonts w:eastAsia="Times New Roman"/>
          <w:sz w:val="30"/>
          <w:szCs w:val="30"/>
          <w:lang w:val="es-ES"/>
        </w:rPr>
        <w:t xml:space="preserve"> grave dentro de un período de tres años, determinará que la infracción sea calificada en la categoría inmediatamente superior."</w:t>
      </w:r>
      <w:r>
        <w:rPr>
          <w:rFonts w:eastAsia="Times New Roman"/>
          <w:sz w:val="30"/>
          <w:szCs w:val="30"/>
          <w:lang w:val="es-ES"/>
        </w:rPr>
        <w:br/>
      </w:r>
      <w:r>
        <w:rPr>
          <w:rFonts w:eastAsia="Times New Roman"/>
          <w:sz w:val="30"/>
          <w:szCs w:val="30"/>
          <w:lang w:val="es-ES"/>
        </w:rPr>
        <w:br/>
        <w:t>La reincidencia en una infracción administrativa muy grave será sancionada con la cancelación de la inscripción en el Catastro</w:t>
      </w:r>
      <w:r>
        <w:rPr>
          <w:rFonts w:eastAsia="Times New Roman"/>
          <w:sz w:val="30"/>
          <w:szCs w:val="30"/>
          <w:lang w:val="es-ES"/>
        </w:rPr>
        <w:t xml:space="preserve"> Público del mercado de valores.</w:t>
      </w:r>
    </w:p>
    <w:p w:rsidR="00000000" w:rsidRDefault="0018461E">
      <w:pPr>
        <w:divId w:val="1235968130"/>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Recurso de revisión.</w:t>
      </w:r>
      <w:r>
        <w:rPr>
          <w:rFonts w:eastAsia="Times New Roman"/>
          <w:sz w:val="30"/>
          <w:szCs w:val="30"/>
          <w:lang w:val="es-ES"/>
        </w:rPr>
        <w:t>- (Sustituido por el Art. 82 de la Ley s/n, R.O. 249-S, 20-V-2014; y, reformado por la Disposición Reformatoria Décima Séptima, nums. 2 y 3 del Código Orgánico Monetario y Financiero; R.O. 332</w:t>
      </w:r>
      <w:r>
        <w:rPr>
          <w:rFonts w:eastAsia="Times New Roman"/>
          <w:sz w:val="30"/>
          <w:szCs w:val="30"/>
          <w:lang w:val="es-ES"/>
        </w:rPr>
        <w:t>-2S, 12-IX-2014).- De las sanciones impuestas por la Superintendencia de Compañías Valores y Seguros, de las impuestas por un ente autorregulador, así como la negativa de inscribir valores en una bolsa de valores o por falta de pronunciamiento sobre solici</w:t>
      </w:r>
      <w:r>
        <w:rPr>
          <w:rFonts w:eastAsia="Times New Roman"/>
          <w:sz w:val="30"/>
          <w:szCs w:val="30"/>
          <w:lang w:val="es-ES"/>
        </w:rPr>
        <w:t>tudes presentadas ante los administradores de los mercados antes mencionados, habrá recurso de revisión ante la máxima autoridad de la Superintendencia de Compañías Valores y Seguros, el cual podrá interponer dentro del término de siete días contados a par</w:t>
      </w:r>
      <w:r>
        <w:rPr>
          <w:rFonts w:eastAsia="Times New Roman"/>
          <w:sz w:val="30"/>
          <w:szCs w:val="30"/>
          <w:lang w:val="es-ES"/>
        </w:rPr>
        <w:t>tir de la notificación de la resolución sancionadora.</w:t>
      </w:r>
      <w:r>
        <w:rPr>
          <w:rFonts w:eastAsia="Times New Roman"/>
          <w:sz w:val="30"/>
          <w:szCs w:val="30"/>
          <w:lang w:val="es-ES"/>
        </w:rPr>
        <w:br/>
      </w:r>
      <w:r>
        <w:rPr>
          <w:rFonts w:eastAsia="Times New Roman"/>
          <w:sz w:val="30"/>
          <w:szCs w:val="30"/>
          <w:lang w:val="es-ES"/>
        </w:rPr>
        <w:br/>
        <w:t>La interposición de este recurso no suspenderá la ejecución de la respectiva resolución sancionadora.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recurso de revisión deberá ser resuelto de manera motivada e indelegable por el o la Superinten</w:t>
      </w:r>
      <w:r>
        <w:rPr>
          <w:rFonts w:eastAsia="Times New Roman"/>
          <w:sz w:val="30"/>
          <w:szCs w:val="30"/>
          <w:lang w:val="es-ES"/>
        </w:rPr>
        <w:t>dente de Compañías Valores y Seguros en un plazo no mayor de 60 días. En caso de no hacerlo, se entenderá aceptado.</w:t>
      </w:r>
      <w:r>
        <w:rPr>
          <w:rFonts w:eastAsia="Times New Roman"/>
          <w:sz w:val="30"/>
          <w:szCs w:val="30"/>
          <w:lang w:val="es-ES"/>
        </w:rPr>
        <w:br/>
      </w:r>
      <w:r>
        <w:rPr>
          <w:rFonts w:eastAsia="Times New Roman"/>
          <w:sz w:val="30"/>
          <w:szCs w:val="30"/>
          <w:lang w:val="es-ES"/>
        </w:rPr>
        <w:br/>
        <w:t>Se entenderá ejecutoriada la resolución cuando se haya agotado la instancia administrativa, esto es por no haberse presentado el recurso de</w:t>
      </w:r>
      <w:r>
        <w:rPr>
          <w:rFonts w:eastAsia="Times New Roman"/>
          <w:sz w:val="30"/>
          <w:szCs w:val="30"/>
          <w:lang w:val="es-ES"/>
        </w:rPr>
        <w:t xml:space="preserve"> revisión conforme a la Ley o cuando habiendo sido presentado, haya sido resuelto.</w:t>
      </w:r>
      <w:r>
        <w:rPr>
          <w:rFonts w:eastAsia="Times New Roman"/>
          <w:sz w:val="30"/>
          <w:szCs w:val="30"/>
          <w:lang w:val="es-ES"/>
        </w:rPr>
        <w:br/>
      </w:r>
      <w:r>
        <w:rPr>
          <w:rFonts w:eastAsia="Times New Roman"/>
          <w:sz w:val="30"/>
          <w:szCs w:val="30"/>
          <w:lang w:val="es-ES"/>
        </w:rPr>
        <w:br/>
        <w:t>La resolución de la máxima autoridad de la Superintendencia de Compañías Valores y Seguros, causará ejecutoria en el ámbito administrativo y podrá ser impugnada ante la sal</w:t>
      </w:r>
      <w:r>
        <w:rPr>
          <w:rFonts w:eastAsia="Times New Roman"/>
          <w:sz w:val="30"/>
          <w:szCs w:val="30"/>
          <w:lang w:val="es-ES"/>
        </w:rPr>
        <w:t>a o el juez de lo Contencioso Administrativo, de conformidad con esta ley.</w:t>
      </w:r>
      <w:r>
        <w:rPr>
          <w:rFonts w:eastAsia="Times New Roman"/>
          <w:sz w:val="30"/>
          <w:szCs w:val="30"/>
          <w:lang w:val="es-ES"/>
        </w:rPr>
        <w:br/>
      </w:r>
      <w:r>
        <w:rPr>
          <w:rFonts w:eastAsia="Times New Roman"/>
          <w:sz w:val="30"/>
          <w:szCs w:val="30"/>
          <w:lang w:val="es-ES"/>
        </w:rPr>
        <w:br/>
        <w:t>La Superintendencia de Compañías Valores y Seguros publicará en su página web institucional el texto íntegro de las resoluciones de sanción impuestas, indicando si se encuentran ej</w:t>
      </w:r>
      <w:r>
        <w:rPr>
          <w:rFonts w:eastAsia="Times New Roman"/>
          <w:sz w:val="30"/>
          <w:szCs w:val="30"/>
          <w:lang w:val="es-ES"/>
        </w:rPr>
        <w:t>ecutoriadas en el ámbito administrativo o si ha sido notificada de su impugnación judicial.</w:t>
      </w:r>
      <w:r>
        <w:rPr>
          <w:rFonts w:eastAsia="Times New Roman"/>
          <w:sz w:val="30"/>
          <w:szCs w:val="30"/>
          <w:lang w:val="es-ES"/>
        </w:rPr>
        <w:br/>
      </w:r>
      <w:r>
        <w:rPr>
          <w:rFonts w:eastAsia="Times New Roman"/>
          <w:sz w:val="30"/>
          <w:szCs w:val="30"/>
          <w:lang w:val="es-ES"/>
        </w:rPr>
        <w:br/>
        <w:t>El procedimiento para la sustanciación del recurso de revisión será establecido por la Junta de Política y Regulación Monetaria y Financiera.</w:t>
      </w:r>
    </w:p>
    <w:p w:rsidR="00000000" w:rsidRDefault="0018461E">
      <w:pPr>
        <w:divId w:val="27941042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Caducidad de la</w:t>
      </w:r>
      <w:r>
        <w:rPr>
          <w:rFonts w:eastAsia="Times New Roman"/>
          <w:b/>
          <w:bCs/>
          <w:sz w:val="30"/>
          <w:szCs w:val="30"/>
          <w:lang w:val="es-ES"/>
        </w:rPr>
        <w:t xml:space="preserve">s facultades de la Superintendencia de Compañías Valores y Seguros.- </w:t>
      </w:r>
      <w:r>
        <w:rPr>
          <w:rFonts w:eastAsia="Times New Roman"/>
          <w:sz w:val="30"/>
          <w:szCs w:val="30"/>
          <w:lang w:val="es-ES"/>
        </w:rPr>
        <w:t>(Agregado por el Art. 83 de la Ley s/n, R.O. 249-S, 20-V-2014; y, reformado por la Disposición Reformatoria Décima Séptima, num. 3 del Código Orgánico Monetario y Financiero; R.O. 332-2S,</w:t>
      </w:r>
      <w:r>
        <w:rPr>
          <w:rFonts w:eastAsia="Times New Roman"/>
          <w:sz w:val="30"/>
          <w:szCs w:val="30"/>
          <w:lang w:val="es-ES"/>
        </w:rPr>
        <w:t xml:space="preserve"> 12-IX-2014) La facultad que corresponde a la Superintendencia de Compañías Valores y Seguros para determinar responsabilidad administrativa de conformidad con esta Ley, sobre los partícipes del mercado, caducará en siete (7) años contados desde la fecha e</w:t>
      </w:r>
      <w:r>
        <w:rPr>
          <w:rFonts w:eastAsia="Times New Roman"/>
          <w:sz w:val="30"/>
          <w:szCs w:val="30"/>
          <w:lang w:val="es-ES"/>
        </w:rPr>
        <w:t>n que se hubieren cometido las infracciones.</w:t>
      </w:r>
    </w:p>
    <w:p w:rsidR="00000000" w:rsidRDefault="0018461E">
      <w:pPr>
        <w:divId w:val="1607155549"/>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Declaratoria de la caducidad.- </w:t>
      </w:r>
      <w:r>
        <w:rPr>
          <w:rFonts w:eastAsia="Times New Roman"/>
          <w:sz w:val="30"/>
          <w:szCs w:val="30"/>
          <w:lang w:val="es-ES"/>
        </w:rPr>
        <w:t>(Agregado por el Art. 83 de la Ley s/n, R.O. 249-S, 20-V-2014; y, reformado por la Disposición Reformatoria Décima Séptima, num. 3 del Código Orgánico Monetario y Financiero;</w:t>
      </w:r>
      <w:r>
        <w:rPr>
          <w:rFonts w:eastAsia="Times New Roman"/>
          <w:sz w:val="30"/>
          <w:szCs w:val="30"/>
          <w:lang w:val="es-ES"/>
        </w:rPr>
        <w:t xml:space="preserve"> R.O. 332-2S, 12-IX-2014).- En todos los casos, la caducidad será declarada de oficio o a petición de parte por el o la Superintendente de Compañías Valores y Seguros o por </w:t>
      </w:r>
      <w:r>
        <w:rPr>
          <w:rFonts w:eastAsia="Times New Roman"/>
          <w:sz w:val="30"/>
          <w:szCs w:val="30"/>
          <w:lang w:val="es-ES"/>
        </w:rPr>
        <w:lastRenderedPageBreak/>
        <w:t>Tribunales de lo Contencioso Administrativo, según se hubieren presentado el reclam</w:t>
      </w:r>
      <w:r>
        <w:rPr>
          <w:rFonts w:eastAsia="Times New Roman"/>
          <w:sz w:val="30"/>
          <w:szCs w:val="30"/>
          <w:lang w:val="es-ES"/>
        </w:rPr>
        <w:t>o con acción o como excepción.</w:t>
      </w:r>
    </w:p>
    <w:p w:rsidR="00000000" w:rsidRDefault="0018461E">
      <w:pPr>
        <w:divId w:val="201938505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Prescripción del cobro de obligaciones.-</w:t>
      </w:r>
      <w:r>
        <w:rPr>
          <w:rFonts w:eastAsia="Times New Roman"/>
          <w:sz w:val="30"/>
          <w:szCs w:val="30"/>
          <w:lang w:val="es-ES"/>
        </w:rPr>
        <w:t xml:space="preserve"> (Agregado por el Art. 83 de la Ley s/n, R.O. 249-S, 20-V-2014; y, reformado por la Disposición Reformatoria Décima Séptima, num. 3 del Código Orgánico Monetario y Financiero; R.O</w:t>
      </w:r>
      <w:r>
        <w:rPr>
          <w:rFonts w:eastAsia="Times New Roman"/>
          <w:sz w:val="30"/>
          <w:szCs w:val="30"/>
          <w:lang w:val="es-ES"/>
        </w:rPr>
        <w:t xml:space="preserve">. 332-2S, 12-IX-2014) Las obligaciones nacidas en responsabilidades civiles culposas de que trata esta Ley prescribirá en diez (10) años contados desde que esta responsabilidad se haya ejecutoriado y será declarada por el o la Superintendente de Compañías </w:t>
      </w:r>
      <w:r>
        <w:rPr>
          <w:rFonts w:eastAsia="Times New Roman"/>
          <w:sz w:val="30"/>
          <w:szCs w:val="30"/>
          <w:lang w:val="es-ES"/>
        </w:rPr>
        <w:t>Valores y Seguros de oficio o a petición de parte o por los Tribunales de lo Contencioso Administrativo.</w:t>
      </w:r>
    </w:p>
    <w:p w:rsidR="00000000" w:rsidRDefault="0018461E">
      <w:pPr>
        <w:divId w:val="509100120"/>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w:t>
      </w:r>
      <w:r>
        <w:rPr>
          <w:rFonts w:eastAsia="Times New Roman"/>
          <w:sz w:val="30"/>
          <w:szCs w:val="30"/>
          <w:lang w:val="es-ES"/>
        </w:rPr>
        <w:t>(Derogado por el Art. 81 de la Ley s/n, R.O. 249-S, 20-V-2014).-</w:t>
      </w:r>
    </w:p>
    <w:p w:rsidR="00000000" w:rsidRDefault="0018461E">
      <w:pPr>
        <w:divId w:val="477305540"/>
        <w:rPr>
          <w:rFonts w:eastAsia="Times New Roman"/>
          <w:sz w:val="30"/>
          <w:szCs w:val="30"/>
          <w:lang w:val="es-ES"/>
        </w:rPr>
      </w:pPr>
      <w:r>
        <w:rPr>
          <w:rFonts w:eastAsia="Times New Roman"/>
          <w:b/>
          <w:bCs/>
          <w:sz w:val="30"/>
          <w:szCs w:val="30"/>
          <w:lang w:val="es-ES"/>
        </w:rPr>
        <w:t>Art. 212.- Presunción de delitos.-</w:t>
      </w:r>
      <w:r>
        <w:rPr>
          <w:rFonts w:eastAsia="Times New Roman"/>
          <w:sz w:val="30"/>
          <w:szCs w:val="30"/>
          <w:lang w:val="es-ES"/>
        </w:rPr>
        <w:t xml:space="preserve"> Si al momento de investigar y aplicar la</w:t>
      </w:r>
      <w:r>
        <w:rPr>
          <w:rFonts w:eastAsia="Times New Roman"/>
          <w:sz w:val="30"/>
          <w:szCs w:val="30"/>
          <w:lang w:val="es-ES"/>
        </w:rPr>
        <w:t xml:space="preserve">s sanciones administrativas, la Superintendencia de Compañías o el C.N.V., encontraren indicios de haberse cometido uno o más de los delitos contra el mercado de valores, u otros tipificados en el Código Penal o en otras leyes penales, pondrá de inmediato </w:t>
      </w:r>
      <w:r>
        <w:rPr>
          <w:rFonts w:eastAsia="Times New Roman"/>
          <w:sz w:val="30"/>
          <w:szCs w:val="30"/>
          <w:lang w:val="es-ES"/>
        </w:rPr>
        <w:t>el hecho en conocimiento del Ministerio Público.</w:t>
      </w:r>
    </w:p>
    <w:p w:rsidR="00000000" w:rsidRDefault="0018461E">
      <w:pPr>
        <w:divId w:val="1909338279"/>
        <w:rPr>
          <w:rFonts w:eastAsia="Times New Roman"/>
          <w:sz w:val="30"/>
          <w:szCs w:val="30"/>
          <w:lang w:val="es-ES"/>
        </w:rPr>
      </w:pPr>
      <w:r>
        <w:rPr>
          <w:rFonts w:eastAsia="Times New Roman"/>
          <w:b/>
          <w:bCs/>
          <w:sz w:val="30"/>
          <w:szCs w:val="30"/>
          <w:lang w:val="es-ES"/>
        </w:rPr>
        <w:t xml:space="preserve">Art. 213.- </w:t>
      </w:r>
      <w:r>
        <w:rPr>
          <w:rFonts w:eastAsia="Times New Roman"/>
          <w:sz w:val="30"/>
          <w:szCs w:val="30"/>
          <w:lang w:val="es-ES"/>
        </w:rPr>
        <w:t>(Derogado por la Disposición Derogatoria Décimo Sexta del Código Orgánico Integral Penal; R.O. 180-S, 10-II-2014).</w:t>
      </w:r>
    </w:p>
    <w:p w:rsidR="00000000" w:rsidRDefault="0018461E">
      <w:pPr>
        <w:divId w:val="197133025"/>
        <w:rPr>
          <w:rFonts w:eastAsia="Times New Roman"/>
          <w:sz w:val="30"/>
          <w:szCs w:val="30"/>
          <w:lang w:val="es-ES"/>
        </w:rPr>
      </w:pPr>
      <w:r>
        <w:rPr>
          <w:rFonts w:eastAsia="Times New Roman"/>
          <w:b/>
          <w:bCs/>
          <w:sz w:val="30"/>
          <w:szCs w:val="30"/>
          <w:lang w:val="es-ES"/>
        </w:rPr>
        <w:t xml:space="preserve">Art. 214.- </w:t>
      </w:r>
      <w:r>
        <w:rPr>
          <w:rFonts w:eastAsia="Times New Roman"/>
          <w:sz w:val="30"/>
          <w:szCs w:val="30"/>
          <w:lang w:val="es-ES"/>
        </w:rPr>
        <w:t>(Derogado por la Disposición Derogatoria Décimo Sexta del Código Orgán</w:t>
      </w:r>
      <w:r>
        <w:rPr>
          <w:rFonts w:eastAsia="Times New Roman"/>
          <w:sz w:val="30"/>
          <w:szCs w:val="30"/>
          <w:lang w:val="es-ES"/>
        </w:rPr>
        <w:t>ico Integral Penal; R.O. 180-S, 10-II-2014).</w:t>
      </w:r>
    </w:p>
    <w:p w:rsidR="00000000" w:rsidRDefault="0018461E">
      <w:pPr>
        <w:divId w:val="121580546"/>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(Derogado por la Disposición Derogatoria Décimo Sexta del Código Orgánico Integral Penal; R.O. 180-S, 10-II-2014).</w:t>
      </w:r>
    </w:p>
    <w:p w:rsidR="00000000" w:rsidRDefault="0018461E">
      <w:pPr>
        <w:divId w:val="1739745216"/>
        <w:rPr>
          <w:rFonts w:eastAsia="Times New Roman"/>
          <w:sz w:val="30"/>
          <w:szCs w:val="30"/>
          <w:lang w:val="es-ES"/>
        </w:rPr>
      </w:pPr>
      <w:r>
        <w:rPr>
          <w:rFonts w:eastAsia="Times New Roman"/>
          <w:b/>
          <w:bCs/>
          <w:sz w:val="30"/>
          <w:szCs w:val="30"/>
          <w:lang w:val="es-ES"/>
        </w:rPr>
        <w:t xml:space="preserve">Art. 216.- Presunción de quiebra fraudulenta.- </w:t>
      </w:r>
      <w:r>
        <w:rPr>
          <w:rFonts w:eastAsia="Times New Roman"/>
          <w:sz w:val="30"/>
          <w:szCs w:val="30"/>
          <w:lang w:val="es-ES"/>
        </w:rPr>
        <w:t>Para los efectos previstos en el Códig</w:t>
      </w:r>
      <w:r>
        <w:rPr>
          <w:rFonts w:eastAsia="Times New Roman"/>
          <w:sz w:val="30"/>
          <w:szCs w:val="30"/>
          <w:lang w:val="es-ES"/>
        </w:rPr>
        <w:t xml:space="preserve">o Penal, se presumirá fraudulenta la quiebra de cualquier compañía intermediaria en el mercado de valores, que se produzca como consecuencia de las pérdidas sufridas en operaciones ejecutadas por cuenta propia siempre que tales pérdidas le impidan cumplir </w:t>
      </w:r>
      <w:r>
        <w:rPr>
          <w:rFonts w:eastAsia="Times New Roman"/>
          <w:sz w:val="30"/>
          <w:szCs w:val="30"/>
          <w:lang w:val="es-ES"/>
        </w:rPr>
        <w:t>las que ejecutare por cuenta de sus comitentes.</w:t>
      </w:r>
    </w:p>
    <w:p w:rsidR="00000000" w:rsidRDefault="0018461E">
      <w:pPr>
        <w:divId w:val="1477064099"/>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w:t>
      </w:r>
      <w:r>
        <w:rPr>
          <w:rFonts w:eastAsia="Times New Roman"/>
          <w:sz w:val="30"/>
          <w:szCs w:val="30"/>
          <w:lang w:val="es-ES"/>
        </w:rPr>
        <w:t>(Derogado por la Disposición Derogatoria Décimo Sexta del Código Orgánico Integral Penal; R.O. 180-S, 10-II-2014).</w:t>
      </w:r>
    </w:p>
    <w:p w:rsidR="00000000" w:rsidRDefault="0018461E">
      <w:pPr>
        <w:divId w:val="985864221"/>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xml:space="preserve"> Destino de las multas.- </w:t>
      </w:r>
      <w:r>
        <w:rPr>
          <w:rFonts w:eastAsia="Times New Roman"/>
          <w:sz w:val="30"/>
          <w:szCs w:val="30"/>
          <w:lang w:val="es-ES"/>
        </w:rPr>
        <w:t>Las multas que se impongan por las infracciones</w:t>
      </w:r>
      <w:r>
        <w:rPr>
          <w:rFonts w:eastAsia="Times New Roman"/>
          <w:sz w:val="30"/>
          <w:szCs w:val="30"/>
          <w:lang w:val="es-ES"/>
        </w:rPr>
        <w:t xml:space="preserve"> que se sancionan en este Título serán recaudadas por la Superintendencia de Compañías y formarán un fondo administrado por la propia Superintendencia y destinado a la promoción del mercado de valores y a la capacitación técnica y profesional de los </w:t>
      </w:r>
      <w:r>
        <w:rPr>
          <w:rFonts w:eastAsia="Times New Roman"/>
          <w:sz w:val="30"/>
          <w:szCs w:val="30"/>
          <w:lang w:val="es-ES"/>
        </w:rPr>
        <w:lastRenderedPageBreak/>
        <w:t>funcio</w:t>
      </w:r>
      <w:r>
        <w:rPr>
          <w:rFonts w:eastAsia="Times New Roman"/>
          <w:sz w:val="30"/>
          <w:szCs w:val="30"/>
          <w:lang w:val="es-ES"/>
        </w:rPr>
        <w:t>narios, empleados y operadores de las entidades reguladas por esta Ley. El C.N.V., reglamentará la administración de este fondo.</w:t>
      </w:r>
    </w:p>
    <w:p w:rsidR="00000000" w:rsidRDefault="0018461E">
      <w:pPr>
        <w:jc w:val="center"/>
        <w:rPr>
          <w:rFonts w:eastAsia="Times New Roman"/>
          <w:sz w:val="36"/>
          <w:szCs w:val="36"/>
          <w:lang w:val="es-ES"/>
        </w:rPr>
      </w:pPr>
      <w:r>
        <w:rPr>
          <w:rFonts w:eastAsia="Times New Roman"/>
          <w:b/>
          <w:bCs/>
          <w:sz w:val="36"/>
          <w:szCs w:val="36"/>
          <w:lang w:val="es-ES"/>
        </w:rPr>
        <w:br/>
        <w:t>Título XXIII</w:t>
      </w:r>
      <w:r>
        <w:rPr>
          <w:rFonts w:eastAsia="Times New Roman"/>
          <w:b/>
          <w:bCs/>
          <w:sz w:val="36"/>
          <w:szCs w:val="36"/>
          <w:lang w:val="es-ES"/>
        </w:rPr>
        <w:br/>
        <w:t>TRIBUTACIÓN</w:t>
      </w:r>
    </w:p>
    <w:p w:rsidR="00000000" w:rsidRDefault="0018461E">
      <w:pPr>
        <w:divId w:val="634023494"/>
        <w:rPr>
          <w:rFonts w:eastAsia="Times New Roman"/>
          <w:sz w:val="30"/>
          <w:szCs w:val="30"/>
          <w:lang w:val="es-ES"/>
        </w:rPr>
      </w:pPr>
      <w:r>
        <w:rPr>
          <w:rFonts w:eastAsia="Times New Roman"/>
          <w:b/>
          <w:bCs/>
          <w:sz w:val="30"/>
          <w:szCs w:val="30"/>
          <w:lang w:val="es-ES"/>
        </w:rPr>
        <w:t xml:space="preserve">Art. 219.- Tributación.- </w:t>
      </w:r>
      <w:r>
        <w:rPr>
          <w:rFonts w:eastAsia="Times New Roman"/>
          <w:sz w:val="30"/>
          <w:szCs w:val="30"/>
          <w:lang w:val="es-ES"/>
        </w:rPr>
        <w:t>De acuerdo con el artículo 98 de la Ley de Régimen Tributario Interno, los f</w:t>
      </w:r>
      <w:r>
        <w:rPr>
          <w:rFonts w:eastAsia="Times New Roman"/>
          <w:sz w:val="30"/>
          <w:szCs w:val="30"/>
          <w:lang w:val="es-ES"/>
        </w:rPr>
        <w:t>ondos de inversión se considerarán sociedades para efectos impositivos.</w:t>
      </w:r>
      <w:r>
        <w:rPr>
          <w:rFonts w:eastAsia="Times New Roman"/>
          <w:sz w:val="30"/>
          <w:szCs w:val="30"/>
          <w:lang w:val="es-ES"/>
        </w:rPr>
        <w:br/>
      </w:r>
      <w:r>
        <w:rPr>
          <w:rFonts w:eastAsia="Times New Roman"/>
          <w:sz w:val="30"/>
          <w:szCs w:val="30"/>
          <w:lang w:val="es-ES"/>
        </w:rPr>
        <w:br/>
        <w:t>Las ganancias o utilidades, sean cuales fueren las fuentes de que provengan, que distribuyan los fondos de inversión a sus respectivos partícipes, estarán exoneradas del pago del impu</w:t>
      </w:r>
      <w:r>
        <w:rPr>
          <w:rFonts w:eastAsia="Times New Roman"/>
          <w:sz w:val="30"/>
          <w:szCs w:val="30"/>
          <w:lang w:val="es-ES"/>
        </w:rPr>
        <w:t>esto a la renta.</w:t>
      </w:r>
    </w:p>
    <w:p w:rsidR="00000000" w:rsidRDefault="0018461E">
      <w:pPr>
        <w:divId w:val="447164952"/>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De la exoneración del impuesto de registro.</w:t>
      </w:r>
      <w:r>
        <w:rPr>
          <w:rFonts w:eastAsia="Times New Roman"/>
          <w:sz w:val="30"/>
          <w:szCs w:val="30"/>
          <w:lang w:val="es-ES"/>
        </w:rPr>
        <w:t>- Las inscripciones que deban hacerse por los actos contemplados en esta Ley incluyendo la constitución de garantías, están exentas del impuesto de registro y sus adicionales.</w:t>
      </w:r>
    </w:p>
    <w:p w:rsidR="00000000" w:rsidRDefault="0018461E">
      <w:pPr>
        <w:divId w:val="1199852470"/>
        <w:rPr>
          <w:rFonts w:eastAsia="Times New Roman"/>
          <w:sz w:val="30"/>
          <w:szCs w:val="30"/>
          <w:lang w:val="es-ES"/>
        </w:rPr>
      </w:pPr>
      <w:r>
        <w:rPr>
          <w:rFonts w:eastAsia="Times New Roman"/>
          <w:b/>
          <w:bCs/>
          <w:sz w:val="30"/>
          <w:szCs w:val="30"/>
          <w:lang w:val="es-ES"/>
        </w:rPr>
        <w:t>Art. 221.</w:t>
      </w:r>
      <w:r>
        <w:rPr>
          <w:rFonts w:eastAsia="Times New Roman"/>
          <w:b/>
          <w:bCs/>
          <w:sz w:val="30"/>
          <w:szCs w:val="30"/>
          <w:lang w:val="es-ES"/>
        </w:rPr>
        <w:t>- De las planillas por inscripción en el Registro Mercantil y de la Propiedad.</w:t>
      </w:r>
      <w:r>
        <w:rPr>
          <w:rFonts w:eastAsia="Times New Roman"/>
          <w:sz w:val="30"/>
          <w:szCs w:val="30"/>
          <w:lang w:val="es-ES"/>
        </w:rPr>
        <w:t xml:space="preserve">- Los derechos y todo tipo de gastos o cobros que hagan los registradores mercantiles o de la propiedad, por la inscripción de los actos que contengan constitución de compañías, </w:t>
      </w:r>
      <w:r>
        <w:rPr>
          <w:rFonts w:eastAsia="Times New Roman"/>
          <w:sz w:val="30"/>
          <w:szCs w:val="30"/>
          <w:lang w:val="es-ES"/>
        </w:rPr>
        <w:t>fideicomisos mercantiles, fondos de inversión, aumentos de capital y constitución de garantías y transferencias de bienes a patrimonios independientes o autónomos, contemplados en esta Ley, sumados todos aquellos, en ningún caso serán superiores al cero, v</w:t>
      </w:r>
      <w:r>
        <w:rPr>
          <w:rFonts w:eastAsia="Times New Roman"/>
          <w:sz w:val="30"/>
          <w:szCs w:val="30"/>
          <w:lang w:val="es-ES"/>
        </w:rPr>
        <w:t>einte y cinco por mil de la cuantía del acto o contrato ni superiores a setecientos ochenta y ocho 67/100 (788,67) dólares de los Estados Unidos de América.</w:t>
      </w:r>
      <w:r>
        <w:rPr>
          <w:rFonts w:eastAsia="Times New Roman"/>
          <w:sz w:val="30"/>
          <w:szCs w:val="30"/>
          <w:lang w:val="es-ES"/>
        </w:rPr>
        <w:br/>
      </w:r>
      <w:r>
        <w:rPr>
          <w:rFonts w:eastAsia="Times New Roman"/>
          <w:sz w:val="30"/>
          <w:szCs w:val="30"/>
          <w:lang w:val="es-ES"/>
        </w:rPr>
        <w:br/>
        <w:t>Cuando los indicados funcionarios se negaren sin causa legal o retardaren el otorgamiento o la ins</w:t>
      </w:r>
      <w:r>
        <w:rPr>
          <w:rFonts w:eastAsia="Times New Roman"/>
          <w:sz w:val="30"/>
          <w:szCs w:val="30"/>
          <w:lang w:val="es-ES"/>
        </w:rPr>
        <w:t>cripción de dichos documentos o pretendieren recaudar valores mayores a los fijados, serán sancionados con la destitución del cargo por el órgano competente, a pedido del Superintendente de Compañías.</w:t>
      </w:r>
    </w:p>
    <w:p w:rsidR="00000000" w:rsidRDefault="0018461E">
      <w:pPr>
        <w:divId w:val="794909962"/>
        <w:rPr>
          <w:rFonts w:eastAsia="Times New Roman"/>
          <w:sz w:val="30"/>
          <w:szCs w:val="30"/>
          <w:lang w:val="es-ES"/>
        </w:rPr>
      </w:pPr>
      <w:r>
        <w:rPr>
          <w:rFonts w:eastAsia="Times New Roman"/>
          <w:sz w:val="30"/>
          <w:szCs w:val="30"/>
          <w:lang w:val="es-ES"/>
        </w:rPr>
        <w:t>Art. 222.-</w:t>
      </w:r>
      <w:r>
        <w:rPr>
          <w:rFonts w:eastAsia="Times New Roman"/>
          <w:b/>
          <w:bCs/>
          <w:sz w:val="30"/>
          <w:szCs w:val="30"/>
          <w:lang w:val="es-ES"/>
        </w:rPr>
        <w:t xml:space="preserve"> De los derechos e inscripción de emisores de</w:t>
      </w:r>
      <w:r>
        <w:rPr>
          <w:rFonts w:eastAsia="Times New Roman"/>
          <w:b/>
          <w:bCs/>
          <w:sz w:val="30"/>
          <w:szCs w:val="30"/>
          <w:lang w:val="es-ES"/>
        </w:rPr>
        <w:t xml:space="preserve"> valores en el Catastro Público del Mercado de Valores.- </w:t>
      </w:r>
      <w:r>
        <w:rPr>
          <w:rFonts w:eastAsia="Times New Roman"/>
          <w:sz w:val="30"/>
          <w:szCs w:val="30"/>
          <w:lang w:val="es-ES"/>
        </w:rPr>
        <w:t>(Reformado por la Disposición Reformatoria Décima Séptima, num. 1 del Código Orgánico Monetario y Financiero; R.O. 332-2S, 12-IX-2014).- Las emisiones de valores efectuadas por los emisores inscritos</w:t>
      </w:r>
      <w:r>
        <w:rPr>
          <w:rFonts w:eastAsia="Times New Roman"/>
          <w:sz w:val="30"/>
          <w:szCs w:val="30"/>
          <w:lang w:val="es-ES"/>
        </w:rPr>
        <w:t xml:space="preserve"> en el Catastro Público del Mercado de Valores, deberán inscribirse en el </w:t>
      </w:r>
      <w:r>
        <w:rPr>
          <w:rFonts w:eastAsia="Times New Roman"/>
          <w:sz w:val="30"/>
          <w:szCs w:val="30"/>
          <w:lang w:val="es-ES"/>
        </w:rPr>
        <w:lastRenderedPageBreak/>
        <w:t>mencionado Registro a cargo de la Superintendencia de Compañías.</w:t>
      </w:r>
      <w:r>
        <w:rPr>
          <w:rFonts w:eastAsia="Times New Roman"/>
          <w:sz w:val="30"/>
          <w:szCs w:val="30"/>
          <w:lang w:val="es-ES"/>
        </w:rPr>
        <w:br/>
      </w:r>
      <w:r>
        <w:rPr>
          <w:rFonts w:eastAsia="Times New Roman"/>
          <w:sz w:val="30"/>
          <w:szCs w:val="30"/>
          <w:lang w:val="es-ES"/>
        </w:rPr>
        <w:br/>
        <w:t>Los derechos que por tales inscripciones se cobren en el Catastro Público del Mercado de Valores, serán fijados medi</w:t>
      </w:r>
      <w:r>
        <w:rPr>
          <w:rFonts w:eastAsia="Times New Roman"/>
          <w:sz w:val="30"/>
          <w:szCs w:val="30"/>
          <w:lang w:val="es-ES"/>
        </w:rPr>
        <w:t>ante resolución de carácter general por el C.N.V., de conformidad con las atribuciones constantes en esta Ley.</w:t>
      </w:r>
    </w:p>
    <w:p w:rsidR="00000000" w:rsidRDefault="0018461E">
      <w:pPr>
        <w:jc w:val="center"/>
        <w:rPr>
          <w:rFonts w:eastAsia="Times New Roman"/>
          <w:sz w:val="36"/>
          <w:szCs w:val="36"/>
          <w:lang w:val="es-ES"/>
        </w:rPr>
      </w:pPr>
      <w:r>
        <w:rPr>
          <w:rFonts w:eastAsia="Times New Roman"/>
          <w:b/>
          <w:bCs/>
          <w:sz w:val="36"/>
          <w:szCs w:val="36"/>
          <w:lang w:val="es-ES"/>
        </w:rPr>
        <w:br/>
        <w:t>Título …</w:t>
      </w:r>
      <w:r>
        <w:rPr>
          <w:rFonts w:eastAsia="Times New Roman"/>
          <w:b/>
          <w:bCs/>
          <w:sz w:val="36"/>
          <w:szCs w:val="36"/>
          <w:lang w:val="es-ES"/>
        </w:rPr>
        <w:br/>
        <w:t>CONFLICTOS DE INTERÉS</w:t>
      </w:r>
    </w:p>
    <w:p w:rsidR="00000000" w:rsidRDefault="0018461E">
      <w:pPr>
        <w:jc w:val="center"/>
        <w:divId w:val="1520312547"/>
        <w:rPr>
          <w:rFonts w:eastAsia="Times New Roman"/>
          <w:sz w:val="30"/>
          <w:szCs w:val="30"/>
          <w:lang w:val="es-ES"/>
        </w:rPr>
      </w:pPr>
      <w:r>
        <w:rPr>
          <w:rFonts w:eastAsia="Times New Roman"/>
          <w:b/>
          <w:bCs/>
          <w:sz w:val="30"/>
          <w:szCs w:val="30"/>
          <w:lang w:val="es-ES"/>
        </w:rPr>
        <w:t>(Agregado por el Art. 84 de la Ley s/n, R.O. 249-S, 20-V-2014)</w:t>
      </w:r>
    </w:p>
    <w:p w:rsidR="00000000" w:rsidRDefault="0018461E">
      <w:pPr>
        <w:divId w:val="771903952"/>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Conflictos de interés.-</w:t>
      </w:r>
      <w:r>
        <w:rPr>
          <w:rFonts w:eastAsia="Times New Roman"/>
          <w:sz w:val="30"/>
          <w:szCs w:val="30"/>
          <w:lang w:val="es-ES"/>
        </w:rPr>
        <w:t xml:space="preserve"> El conflicto de in</w:t>
      </w:r>
      <w:r>
        <w:rPr>
          <w:rFonts w:eastAsia="Times New Roman"/>
          <w:sz w:val="30"/>
          <w:szCs w:val="30"/>
          <w:lang w:val="es-ES"/>
        </w:rPr>
        <w:t>terés es la situación en la que un participante del mercado de Valores, en razón de su actividad, encuentre en contraposición sus intereses o los de sus vinculados, con los de sus clientes, contratantes o cualquier persona con la que de alguna manera mante</w:t>
      </w:r>
      <w:r>
        <w:rPr>
          <w:rFonts w:eastAsia="Times New Roman"/>
          <w:sz w:val="30"/>
          <w:szCs w:val="30"/>
          <w:lang w:val="es-ES"/>
        </w:rPr>
        <w:t>nga una relación jurídica o comercial.</w:t>
      </w:r>
      <w:r>
        <w:rPr>
          <w:rFonts w:eastAsia="Times New Roman"/>
          <w:sz w:val="30"/>
          <w:szCs w:val="30"/>
          <w:lang w:val="es-ES"/>
        </w:rPr>
        <w:br/>
      </w:r>
      <w:r>
        <w:rPr>
          <w:rFonts w:eastAsia="Times New Roman"/>
          <w:sz w:val="30"/>
          <w:szCs w:val="30"/>
          <w:lang w:val="es-ES"/>
        </w:rPr>
        <w:br/>
        <w:t>Entre otras, se considera que existe conflicto de interés cuando un participante del mercado de valores debe escoger por su propia decisión entre la utilidad propia y la de su cliente o contratante; la utilidad de un</w:t>
      </w:r>
      <w:r>
        <w:rPr>
          <w:rFonts w:eastAsia="Times New Roman"/>
          <w:sz w:val="30"/>
          <w:szCs w:val="30"/>
          <w:lang w:val="es-ES"/>
        </w:rPr>
        <w:t xml:space="preserve"> tercero vinculado y la de un cliente o contratante; la utilidad de un cliente o contratante en detrimento de otros; la utilidad de una línea del negocio en menoscabo de otra; la utilidad de una operación y la transparencia del mercado.</w:t>
      </w:r>
      <w:r>
        <w:rPr>
          <w:rFonts w:eastAsia="Times New Roman"/>
          <w:sz w:val="30"/>
          <w:szCs w:val="30"/>
          <w:lang w:val="es-ES"/>
        </w:rPr>
        <w:br/>
      </w:r>
      <w:r>
        <w:rPr>
          <w:rFonts w:eastAsia="Times New Roman"/>
          <w:sz w:val="30"/>
          <w:szCs w:val="30"/>
          <w:lang w:val="es-ES"/>
        </w:rPr>
        <w:br/>
        <w:t>Son situaciones de</w:t>
      </w:r>
      <w:r>
        <w:rPr>
          <w:rFonts w:eastAsia="Times New Roman"/>
          <w:sz w:val="30"/>
          <w:szCs w:val="30"/>
          <w:lang w:val="es-ES"/>
        </w:rPr>
        <w:t xml:space="preserve"> conflicto de interés también aquellas que pudieren menoscabar la autonomía, la independencia y la transparencia de un participante del mercado en la actividad ejecutada.</w:t>
      </w:r>
    </w:p>
    <w:p w:rsidR="00000000" w:rsidRDefault="0018461E">
      <w:pPr>
        <w:divId w:val="1224831788"/>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Obligaciones de los participantes del mercado de valores.- </w:t>
      </w:r>
      <w:r>
        <w:rPr>
          <w:rFonts w:eastAsia="Times New Roman"/>
          <w:sz w:val="30"/>
          <w:szCs w:val="30"/>
          <w:lang w:val="es-ES"/>
        </w:rPr>
        <w:t xml:space="preserve">Los participantes </w:t>
      </w:r>
      <w:r>
        <w:rPr>
          <w:rFonts w:eastAsia="Times New Roman"/>
          <w:sz w:val="30"/>
          <w:szCs w:val="30"/>
          <w:lang w:val="es-ES"/>
        </w:rPr>
        <w:t>del mercado de valores en ejercicio de sus actividades, están obligados a:</w:t>
      </w:r>
      <w:r>
        <w:rPr>
          <w:rFonts w:eastAsia="Times New Roman"/>
          <w:sz w:val="30"/>
          <w:szCs w:val="30"/>
          <w:lang w:val="es-ES"/>
        </w:rPr>
        <w:br/>
      </w:r>
      <w:r>
        <w:rPr>
          <w:rFonts w:eastAsia="Times New Roman"/>
          <w:sz w:val="30"/>
          <w:szCs w:val="30"/>
          <w:lang w:val="es-ES"/>
        </w:rPr>
        <w:br/>
        <w:t xml:space="preserve">1.- Dar a sus clientes, contratantes o cualquier persona con la que de alguna manera mantengan una relación jurídica o comercial y a sus líneas de negocios, un tratamiento justo y </w:t>
      </w:r>
      <w:r>
        <w:rPr>
          <w:rFonts w:eastAsia="Times New Roman"/>
          <w:sz w:val="30"/>
          <w:szCs w:val="30"/>
          <w:lang w:val="es-ES"/>
        </w:rPr>
        <w:t>equitativo, frente a la presencia de un conflicto de interés. De no ser posible este tratamiento, deben abstenerse de realizar la operación o la prestación del servicio;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Advertir a los clientes o a quien corresponda, sobre los conflictos de interés qu</w:t>
      </w:r>
      <w:r>
        <w:rPr>
          <w:rFonts w:eastAsia="Times New Roman"/>
          <w:sz w:val="30"/>
          <w:szCs w:val="30"/>
          <w:lang w:val="es-ES"/>
        </w:rPr>
        <w:t>e se podrían presentar en el desarrollo de la actividad;</w:t>
      </w:r>
      <w:r>
        <w:rPr>
          <w:rFonts w:eastAsia="Times New Roman"/>
          <w:sz w:val="30"/>
          <w:szCs w:val="30"/>
          <w:lang w:val="es-ES"/>
        </w:rPr>
        <w:br/>
      </w:r>
      <w:r>
        <w:rPr>
          <w:rFonts w:eastAsia="Times New Roman"/>
          <w:sz w:val="30"/>
          <w:szCs w:val="30"/>
          <w:lang w:val="es-ES"/>
        </w:rPr>
        <w:br/>
        <w:t>3.- Evitar la polifuncionalidad del personal de la empresa en áreas que puedan ocasionar conflicto de interés;</w:t>
      </w:r>
      <w:r>
        <w:rPr>
          <w:rFonts w:eastAsia="Times New Roman"/>
          <w:sz w:val="30"/>
          <w:szCs w:val="30"/>
          <w:lang w:val="es-ES"/>
        </w:rPr>
        <w:br/>
      </w:r>
      <w:r>
        <w:rPr>
          <w:rFonts w:eastAsia="Times New Roman"/>
          <w:sz w:val="30"/>
          <w:szCs w:val="30"/>
          <w:lang w:val="es-ES"/>
        </w:rPr>
        <w:br/>
        <w:t>4.- Mantener un registro de las personas autorizadas a actuar a nombre del participant</w:t>
      </w:r>
      <w:r>
        <w:rPr>
          <w:rFonts w:eastAsia="Times New Roman"/>
          <w:sz w:val="30"/>
          <w:szCs w:val="30"/>
          <w:lang w:val="es-ES"/>
        </w:rPr>
        <w:t>e y de las personas con la que éste tiene vínculos de consanguinidad hasta el segundo grado y de afinidad hasta el primer grado;</w:t>
      </w:r>
      <w:r>
        <w:rPr>
          <w:rFonts w:eastAsia="Times New Roman"/>
          <w:sz w:val="30"/>
          <w:szCs w:val="30"/>
          <w:lang w:val="es-ES"/>
        </w:rPr>
        <w:br/>
      </w:r>
      <w:r>
        <w:rPr>
          <w:rFonts w:eastAsia="Times New Roman"/>
          <w:sz w:val="30"/>
          <w:szCs w:val="30"/>
          <w:lang w:val="es-ES"/>
        </w:rPr>
        <w:br/>
        <w:t>5.- Abstenerse de adquirir valores para sí mismo o para sus empresas vinculadas, cuando los clientes los hayan solicitado en c</w:t>
      </w:r>
      <w:r>
        <w:rPr>
          <w:rFonts w:eastAsia="Times New Roman"/>
          <w:sz w:val="30"/>
          <w:szCs w:val="30"/>
          <w:lang w:val="es-ES"/>
        </w:rPr>
        <w:t>ondiciones idénticas o mejores;</w:t>
      </w:r>
      <w:r>
        <w:rPr>
          <w:rFonts w:eastAsia="Times New Roman"/>
          <w:sz w:val="30"/>
          <w:szCs w:val="30"/>
          <w:lang w:val="es-ES"/>
        </w:rPr>
        <w:br/>
      </w:r>
      <w:r>
        <w:rPr>
          <w:rFonts w:eastAsia="Times New Roman"/>
          <w:sz w:val="30"/>
          <w:szCs w:val="30"/>
          <w:lang w:val="es-ES"/>
        </w:rPr>
        <w:br/>
        <w:t>6.- Abstenerse de ofrecer a un cliente, contratantes o cualquier persona con la que de alguna manera mantenga una relación jurídica o comercial, ventajas, incentivos, compensaciones o indemnizaciones de cualquier tipo, en p</w:t>
      </w:r>
      <w:r>
        <w:rPr>
          <w:rFonts w:eastAsia="Times New Roman"/>
          <w:sz w:val="30"/>
          <w:szCs w:val="30"/>
          <w:lang w:val="es-ES"/>
        </w:rPr>
        <w:t>erjuicio de otros o de la transparencia del mercado; y,</w:t>
      </w:r>
      <w:r>
        <w:rPr>
          <w:rFonts w:eastAsia="Times New Roman"/>
          <w:sz w:val="30"/>
          <w:szCs w:val="30"/>
          <w:lang w:val="es-ES"/>
        </w:rPr>
        <w:br/>
      </w:r>
      <w:r>
        <w:rPr>
          <w:rFonts w:eastAsia="Times New Roman"/>
          <w:sz w:val="30"/>
          <w:szCs w:val="30"/>
          <w:lang w:val="es-ES"/>
        </w:rPr>
        <w:br/>
        <w:t>7.- Evitar actuar anticipadamente por cuenta propia o de sus empresas vinculadas, o inducir la actuación de un cliente, cuando el precio pueda verse afectado por una orden de otro de sus clientes.</w:t>
      </w:r>
    </w:p>
    <w:p w:rsidR="00000000" w:rsidRDefault="0018461E">
      <w:pPr>
        <w:divId w:val="11802779"/>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w:t>
      </w:r>
      <w:r>
        <w:rPr>
          <w:rFonts w:eastAsia="Times New Roman"/>
          <w:b/>
          <w:bCs/>
          <w:sz w:val="30"/>
          <w:szCs w:val="30"/>
          <w:lang w:val="es-ES"/>
        </w:rPr>
        <w:t xml:space="preserve">Independencia de la administración.- </w:t>
      </w:r>
      <w:r>
        <w:rPr>
          <w:rFonts w:eastAsia="Times New Roman"/>
          <w:sz w:val="30"/>
          <w:szCs w:val="30"/>
          <w:lang w:val="es-ES"/>
        </w:rPr>
        <w:t>(Reformado por la Disposición Reformatoria Décima Séptima, num. 2 del Código Orgánico Monetario y Financiero; R.O. 332-2S, 12-IX-2014).- No podrán ser representantes legales, directores, administradores de una cas</w:t>
      </w:r>
      <w:r>
        <w:rPr>
          <w:rFonts w:eastAsia="Times New Roman"/>
          <w:sz w:val="30"/>
          <w:szCs w:val="30"/>
          <w:lang w:val="es-ES"/>
        </w:rPr>
        <w:t>a de valores o de una administradora de fondos y fideicomisos, quienes ejerzan funciones en otras entidades del grupo económico al que pertenezca la casa de valores o la administradora de fondos y fideicomisos.</w:t>
      </w:r>
      <w:r>
        <w:rPr>
          <w:rFonts w:eastAsia="Times New Roman"/>
          <w:sz w:val="30"/>
          <w:szCs w:val="30"/>
          <w:lang w:val="es-ES"/>
        </w:rPr>
        <w:br/>
      </w:r>
      <w:r>
        <w:rPr>
          <w:rFonts w:eastAsia="Times New Roman"/>
          <w:sz w:val="30"/>
          <w:szCs w:val="30"/>
          <w:lang w:val="es-ES"/>
        </w:rPr>
        <w:br/>
        <w:t>No podrán ser representantes legales, direct</w:t>
      </w:r>
      <w:r>
        <w:rPr>
          <w:rFonts w:eastAsia="Times New Roman"/>
          <w:sz w:val="30"/>
          <w:szCs w:val="30"/>
          <w:lang w:val="es-ES"/>
        </w:rPr>
        <w:t>ores, administradores de una institución del mercado de valores, quienes ejerzan funciones en otras entidades participantes del mercado de valores, salvo las excepciones contempladas en esta Ley.</w:t>
      </w:r>
      <w:r>
        <w:rPr>
          <w:rFonts w:eastAsia="Times New Roman"/>
          <w:sz w:val="30"/>
          <w:szCs w:val="30"/>
          <w:lang w:val="es-ES"/>
        </w:rPr>
        <w:br/>
      </w:r>
      <w:r>
        <w:rPr>
          <w:rFonts w:eastAsia="Times New Roman"/>
          <w:sz w:val="30"/>
          <w:szCs w:val="30"/>
          <w:lang w:val="es-ES"/>
        </w:rPr>
        <w:br/>
        <w:t>A efectos de precautelar la transparencia del mercado y evi</w:t>
      </w:r>
      <w:r>
        <w:rPr>
          <w:rFonts w:eastAsia="Times New Roman"/>
          <w:sz w:val="30"/>
          <w:szCs w:val="30"/>
          <w:lang w:val="es-ES"/>
        </w:rPr>
        <w:t xml:space="preserve">tar conflictos de interés, los participantes del mercado que pertenezcan a </w:t>
      </w:r>
      <w:r>
        <w:rPr>
          <w:rFonts w:eastAsia="Times New Roman"/>
          <w:sz w:val="30"/>
          <w:szCs w:val="30"/>
          <w:lang w:val="es-ES"/>
        </w:rPr>
        <w:lastRenderedPageBreak/>
        <w:t>grupos económicos, funcionarán con independencia total de las entidades que los conforman, en aspectos de infraestructura física, operativa, tecnológica, administrativa y de recurso</w:t>
      </w:r>
      <w:r>
        <w:rPr>
          <w:rFonts w:eastAsia="Times New Roman"/>
          <w:sz w:val="30"/>
          <w:szCs w:val="30"/>
          <w:lang w:val="es-ES"/>
        </w:rPr>
        <w:t>s humanos, de conformidad con lo que disponga la Junta de Política y Regulación Monetaria y Financiera.</w:t>
      </w:r>
    </w:p>
    <w:p w:rsidR="00000000" w:rsidRDefault="0018461E">
      <w:pPr>
        <w:divId w:val="24118402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Revelación del conflicto de interés.-</w:t>
      </w:r>
      <w:r>
        <w:rPr>
          <w:rFonts w:eastAsia="Times New Roman"/>
          <w:sz w:val="30"/>
          <w:szCs w:val="30"/>
          <w:lang w:val="es-ES"/>
        </w:rPr>
        <w:t xml:space="preserve"> </w:t>
      </w:r>
      <w:r>
        <w:rPr>
          <w:rFonts w:eastAsia="Times New Roman"/>
          <w:sz w:val="30"/>
          <w:szCs w:val="30"/>
          <w:lang w:val="es-ES"/>
        </w:rPr>
        <w:t>(Reformado por la Disposición Reformatoria Décima Séptima, num. 3 del Código Orgánico Monetario y Financiero; R.O. 332-2S, 12-IX-2014).- Los participantes del mercado de valores, sus representantes legales, miembros del directorio y sus empleados, deben re</w:t>
      </w:r>
      <w:r>
        <w:rPr>
          <w:rFonts w:eastAsia="Times New Roman"/>
          <w:sz w:val="30"/>
          <w:szCs w:val="30"/>
          <w:lang w:val="es-ES"/>
        </w:rPr>
        <w:t>velar inmediatamente de detectado, a la Superintendencia de Compañías Valores y Seguros y a las bolsas de valores, a sus clientes, contratantes o cualquier persona con la que de alguna manera mantenga una relación jurídica o comercial, de cualquier conflic</w:t>
      </w:r>
      <w:r>
        <w:rPr>
          <w:rFonts w:eastAsia="Times New Roman"/>
          <w:sz w:val="30"/>
          <w:szCs w:val="30"/>
          <w:lang w:val="es-ES"/>
        </w:rPr>
        <w:t>to, o indicio de conflicto de interés. Dicha revelación debe efectuarse mediante comunicación escrita.</w:t>
      </w:r>
    </w:p>
    <w:p w:rsidR="00000000" w:rsidRDefault="0018461E">
      <w:pPr>
        <w:divId w:val="46631464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Presunción del conflicto de interés.- </w:t>
      </w:r>
      <w:r>
        <w:rPr>
          <w:rFonts w:eastAsia="Times New Roman"/>
          <w:sz w:val="30"/>
          <w:szCs w:val="30"/>
          <w:lang w:val="es-ES"/>
        </w:rPr>
        <w:t>(Reformado por la Disposición Reformatoria Décima Séptima, num. 3 del Código Orgánico Monetario y Financier</w:t>
      </w:r>
      <w:r>
        <w:rPr>
          <w:rFonts w:eastAsia="Times New Roman"/>
          <w:sz w:val="30"/>
          <w:szCs w:val="30"/>
          <w:lang w:val="es-ES"/>
        </w:rPr>
        <w:t>o; R.O. 332-2S, 12-IX-2014).- Al existir una presunción de conflicto de interés se suspenderán los actos que puedan ser alterados por este conflicto, debiendo este hecho ser comunicado a la Superintendencia de Compañías Valores y Seguros, cliente, contrata</w:t>
      </w:r>
      <w:r>
        <w:rPr>
          <w:rFonts w:eastAsia="Times New Roman"/>
          <w:sz w:val="30"/>
          <w:szCs w:val="30"/>
          <w:lang w:val="es-ES"/>
        </w:rPr>
        <w:t>nte o cualquier persona con la que de alguna manera mantenga una relación jurídica o comercial en la que se haya identificado situaciones de conflicto de interés.</w:t>
      </w:r>
    </w:p>
    <w:p w:rsidR="00000000" w:rsidRDefault="0018461E">
      <w:pPr>
        <w:divId w:val="1287737383"/>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Procedimientos para prevenir y resolver conflictos de interés.-</w:t>
      </w:r>
      <w:r>
        <w:rPr>
          <w:rFonts w:eastAsia="Times New Roman"/>
          <w:sz w:val="30"/>
          <w:szCs w:val="30"/>
          <w:lang w:val="es-ES"/>
        </w:rPr>
        <w:t xml:space="preserve"> (Reformado por la Dis</w:t>
      </w:r>
      <w:r>
        <w:rPr>
          <w:rFonts w:eastAsia="Times New Roman"/>
          <w:sz w:val="30"/>
          <w:szCs w:val="30"/>
          <w:lang w:val="es-ES"/>
        </w:rPr>
        <w:t>posición Reformatoria Décima Séptima, num. 2 del Código Orgánico Monetario y Financiero; R.O. 332-2S, 12-IX-2014).- Las entidades reguladas por esta Ley deben prever en sus normas internas o de autorregulación, de ser el caso, el procedimiento para preveni</w:t>
      </w:r>
      <w:r>
        <w:rPr>
          <w:rFonts w:eastAsia="Times New Roman"/>
          <w:sz w:val="30"/>
          <w:szCs w:val="30"/>
          <w:lang w:val="es-ES"/>
        </w:rPr>
        <w:t>r y resolver los conflictos de interés que se presenten en el ejercicio de su actividad.</w:t>
      </w:r>
      <w:r>
        <w:rPr>
          <w:rFonts w:eastAsia="Times New Roman"/>
          <w:sz w:val="30"/>
          <w:szCs w:val="30"/>
          <w:lang w:val="es-ES"/>
        </w:rPr>
        <w:br/>
      </w:r>
      <w:r>
        <w:rPr>
          <w:rFonts w:eastAsia="Times New Roman"/>
          <w:sz w:val="30"/>
          <w:szCs w:val="30"/>
          <w:lang w:val="es-ES"/>
        </w:rPr>
        <w:br/>
        <w:t>La Junta de Política y Regulación Monetaria y Financiera determinará procedimientos que deben prever las entidades mencionadas en este artículo.</w:t>
      </w:r>
    </w:p>
    <w:p w:rsidR="00000000" w:rsidRDefault="0018461E">
      <w:pPr>
        <w:jc w:val="center"/>
        <w:rPr>
          <w:rFonts w:eastAsia="Times New Roman"/>
          <w:sz w:val="36"/>
          <w:szCs w:val="36"/>
          <w:lang w:val="es-ES"/>
        </w:rPr>
      </w:pPr>
      <w:r>
        <w:rPr>
          <w:rFonts w:eastAsia="Times New Roman"/>
          <w:b/>
          <w:bCs/>
          <w:sz w:val="36"/>
          <w:szCs w:val="36"/>
          <w:lang w:val="es-ES"/>
        </w:rPr>
        <w:br/>
        <w:t>Título…</w:t>
      </w:r>
      <w:r>
        <w:rPr>
          <w:rFonts w:eastAsia="Times New Roman"/>
          <w:b/>
          <w:bCs/>
          <w:sz w:val="36"/>
          <w:szCs w:val="36"/>
          <w:lang w:val="es-ES"/>
        </w:rPr>
        <w:br/>
        <w:t>INTERVENCIÓN</w:t>
      </w:r>
      <w:r>
        <w:rPr>
          <w:rFonts w:eastAsia="Times New Roman"/>
          <w:b/>
          <w:bCs/>
          <w:sz w:val="36"/>
          <w:szCs w:val="36"/>
          <w:lang w:val="es-ES"/>
        </w:rPr>
        <w:t xml:space="preserve"> DE LA SUPERINTENDENCIA DE </w:t>
      </w:r>
      <w:r>
        <w:rPr>
          <w:rFonts w:eastAsia="Times New Roman"/>
          <w:b/>
          <w:bCs/>
          <w:sz w:val="36"/>
          <w:szCs w:val="36"/>
          <w:lang w:val="es-ES"/>
        </w:rPr>
        <w:lastRenderedPageBreak/>
        <w:t>COMPAÑÍAS VALORES Y SEGUROS A LOS ENTES DEL MERCADO</w:t>
      </w:r>
    </w:p>
    <w:p w:rsidR="00000000" w:rsidRDefault="0018461E">
      <w:pPr>
        <w:jc w:val="center"/>
        <w:divId w:val="17704480"/>
        <w:rPr>
          <w:rFonts w:eastAsia="Times New Roman"/>
          <w:sz w:val="30"/>
          <w:szCs w:val="30"/>
          <w:lang w:val="es-ES"/>
        </w:rPr>
      </w:pPr>
      <w:r>
        <w:rPr>
          <w:rFonts w:eastAsia="Times New Roman"/>
          <w:b/>
          <w:bCs/>
          <w:sz w:val="30"/>
          <w:szCs w:val="30"/>
          <w:lang w:val="es-ES"/>
        </w:rPr>
        <w:t>(Agregado por el Art. 84 de la Ley s/n, R.O. 249-S, 20-V-2014; y, reformado por la Disposición Reformatoria Décima Séptima, num. 3 del Código Orgánico Monetario y Financiero; R.</w:t>
      </w:r>
      <w:r>
        <w:rPr>
          <w:rFonts w:eastAsia="Times New Roman"/>
          <w:b/>
          <w:bCs/>
          <w:sz w:val="30"/>
          <w:szCs w:val="30"/>
          <w:lang w:val="es-ES"/>
        </w:rPr>
        <w:t>O. 332-2S, 12-IX-2014) )</w:t>
      </w:r>
    </w:p>
    <w:p w:rsidR="00000000" w:rsidRDefault="0018461E">
      <w:pPr>
        <w:divId w:val="96095624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 xml:space="preserve">Intervención.- </w:t>
      </w:r>
      <w:r>
        <w:rPr>
          <w:rFonts w:eastAsia="Times New Roman"/>
          <w:sz w:val="30"/>
          <w:szCs w:val="30"/>
          <w:lang w:val="es-ES"/>
        </w:rPr>
        <w:t>(Reformado por la Disposición Reformatoria Décima Séptima, num. 3 del Código Orgánico Monetario y Financiero; R.O. 332-2S, 12-IX-2014).- Es facultad de la Superintendencia de Compañías, Valores y Seguros decl</w:t>
      </w:r>
      <w:r>
        <w:rPr>
          <w:rFonts w:eastAsia="Times New Roman"/>
          <w:sz w:val="30"/>
          <w:szCs w:val="30"/>
          <w:lang w:val="es-ES"/>
        </w:rPr>
        <w:t>arar la intervención de las entidades reguladas por esta Ley, con la finalidad de precautelar los intereses de los inversionistas, socios o accionistas, y terceros, sin perjuicio del establecimiento de las responsabilidades administrativas a que hubiere lu</w:t>
      </w:r>
      <w:r>
        <w:rPr>
          <w:rFonts w:eastAsia="Times New Roman"/>
          <w:sz w:val="30"/>
          <w:szCs w:val="30"/>
          <w:lang w:val="es-ES"/>
        </w:rPr>
        <w:t>gar.</w:t>
      </w:r>
      <w:r>
        <w:rPr>
          <w:rFonts w:eastAsia="Times New Roman"/>
          <w:sz w:val="30"/>
          <w:szCs w:val="30"/>
          <w:lang w:val="es-ES"/>
        </w:rPr>
        <w:br/>
      </w:r>
      <w:r>
        <w:rPr>
          <w:rFonts w:eastAsia="Times New Roman"/>
          <w:sz w:val="30"/>
          <w:szCs w:val="30"/>
          <w:lang w:val="es-ES"/>
        </w:rPr>
        <w:br/>
        <w:t>Son causales de intervención las siguientes:</w:t>
      </w:r>
      <w:r>
        <w:rPr>
          <w:rFonts w:eastAsia="Times New Roman"/>
          <w:sz w:val="30"/>
          <w:szCs w:val="30"/>
          <w:lang w:val="es-ES"/>
        </w:rPr>
        <w:br/>
      </w:r>
      <w:r>
        <w:rPr>
          <w:rFonts w:eastAsia="Times New Roman"/>
          <w:sz w:val="30"/>
          <w:szCs w:val="30"/>
          <w:lang w:val="es-ES"/>
        </w:rPr>
        <w:br/>
        <w:t>1.- Cuando existan irregularidades producto de inobservancias a la Ley, reglamentos y demás normas complementarias y secundarias que las rigen, inclusive sus estatutos, reglamentos internos y manuales ope</w:t>
      </w:r>
      <w:r>
        <w:rPr>
          <w:rFonts w:eastAsia="Times New Roman"/>
          <w:sz w:val="30"/>
          <w:szCs w:val="30"/>
          <w:lang w:val="es-ES"/>
        </w:rPr>
        <w:t>rativos;</w:t>
      </w:r>
      <w:r>
        <w:rPr>
          <w:rFonts w:eastAsia="Times New Roman"/>
          <w:sz w:val="30"/>
          <w:szCs w:val="30"/>
          <w:lang w:val="es-ES"/>
        </w:rPr>
        <w:br/>
      </w:r>
      <w:r>
        <w:rPr>
          <w:rFonts w:eastAsia="Times New Roman"/>
          <w:sz w:val="30"/>
          <w:szCs w:val="30"/>
          <w:lang w:val="es-ES"/>
        </w:rPr>
        <w:br/>
        <w:t>2.- Cuando existan irregularidades que pudieren ocasionar perjuicios a los clientes, inversionistas, socios o accionistas, comitentes, partícipes, constituyentes, beneficiarios de fideicomisos, originadores o terceros, sea que tales irregularidad</w:t>
      </w:r>
      <w:r>
        <w:rPr>
          <w:rFonts w:eastAsia="Times New Roman"/>
          <w:sz w:val="30"/>
          <w:szCs w:val="30"/>
          <w:lang w:val="es-ES"/>
        </w:rPr>
        <w:t>es hayan sido detectadas de oficio o a consecuencia de una denuncia;</w:t>
      </w:r>
      <w:r>
        <w:rPr>
          <w:rFonts w:eastAsia="Times New Roman"/>
          <w:sz w:val="30"/>
          <w:szCs w:val="30"/>
          <w:lang w:val="es-ES"/>
        </w:rPr>
        <w:br/>
      </w:r>
      <w:r>
        <w:rPr>
          <w:rFonts w:eastAsia="Times New Roman"/>
          <w:sz w:val="30"/>
          <w:szCs w:val="30"/>
          <w:lang w:val="es-ES"/>
        </w:rPr>
        <w:br/>
        <w:t>3.- Si se comprobare ante una denuncia de parte interesada o de oficio, que en la contabilidad de los entes regulados por esta Ley se ha ocultado información sobre activos o pasivos, o s</w:t>
      </w:r>
      <w:r>
        <w:rPr>
          <w:rFonts w:eastAsia="Times New Roman"/>
          <w:sz w:val="30"/>
          <w:szCs w:val="30"/>
          <w:lang w:val="es-ES"/>
        </w:rPr>
        <w:t>e ha incurrido en falsedades u otras infracciones, y que estos hechos pudieran generar perjuicios a los clientes, inversionistas, socios o accionistas, comitentes, partícipes, constituyentes, beneficiarios de fideicomisos, originadores o terceros;</w:t>
      </w:r>
      <w:r>
        <w:rPr>
          <w:rFonts w:eastAsia="Times New Roman"/>
          <w:sz w:val="30"/>
          <w:szCs w:val="30"/>
          <w:lang w:val="es-ES"/>
        </w:rPr>
        <w:br/>
      </w:r>
      <w:r>
        <w:rPr>
          <w:rFonts w:eastAsia="Times New Roman"/>
          <w:sz w:val="30"/>
          <w:szCs w:val="30"/>
          <w:lang w:val="es-ES"/>
        </w:rPr>
        <w:br/>
        <w:t>4.- (Re</w:t>
      </w:r>
      <w:r>
        <w:rPr>
          <w:rFonts w:eastAsia="Times New Roman"/>
          <w:sz w:val="30"/>
          <w:szCs w:val="30"/>
          <w:lang w:val="es-ES"/>
        </w:rPr>
        <w:t xml:space="preserve">formado por la Disposición Reformatoria Décima Séptima, num. 3 del Código Orgánico Monetario y Financiero; R.O. 332-2S, 12-IX-2014).- Si la Superintendencia de Compañías Valores y Seguros requiere información a un ente regulado por esta Ley, y este </w:t>
      </w:r>
      <w:r>
        <w:rPr>
          <w:rFonts w:eastAsia="Times New Roman"/>
          <w:sz w:val="30"/>
          <w:szCs w:val="30"/>
          <w:lang w:val="es-ES"/>
        </w:rPr>
        <w:lastRenderedPageBreak/>
        <w:t>no remi</w:t>
      </w:r>
      <w:r>
        <w:rPr>
          <w:rFonts w:eastAsia="Times New Roman"/>
          <w:sz w:val="30"/>
          <w:szCs w:val="30"/>
          <w:lang w:val="es-ES"/>
        </w:rPr>
        <w:t>tiere la información requerida en los términos solicitados;</w:t>
      </w:r>
      <w:r>
        <w:rPr>
          <w:rFonts w:eastAsia="Times New Roman"/>
          <w:sz w:val="30"/>
          <w:szCs w:val="30"/>
          <w:lang w:val="es-ES"/>
        </w:rPr>
        <w:br/>
      </w:r>
      <w:r>
        <w:rPr>
          <w:rFonts w:eastAsia="Times New Roman"/>
          <w:sz w:val="30"/>
          <w:szCs w:val="30"/>
          <w:lang w:val="es-ES"/>
        </w:rPr>
        <w:br/>
        <w:t>5.- Si existieran indicios de que un ente regulado por esta Ley, realiza actividades que sean privativas de las instituciones del sistema financiero o no correspondan a su objeto social, en el ca</w:t>
      </w:r>
      <w:r>
        <w:rPr>
          <w:rFonts w:eastAsia="Times New Roman"/>
          <w:sz w:val="30"/>
          <w:szCs w:val="30"/>
          <w:lang w:val="es-ES"/>
        </w:rPr>
        <w:t>so de compañías, o a su finalidad en el caso de negocios fiduciarios o fondos comunes. En estos últimos casos se intervendrá a la administradora de fondos y fideicomisos o casa de valores, según corresponda;</w:t>
      </w:r>
      <w:r>
        <w:rPr>
          <w:rFonts w:eastAsia="Times New Roman"/>
          <w:sz w:val="30"/>
          <w:szCs w:val="30"/>
          <w:lang w:val="es-ES"/>
        </w:rPr>
        <w:br/>
      </w:r>
      <w:r>
        <w:rPr>
          <w:rFonts w:eastAsia="Times New Roman"/>
          <w:sz w:val="30"/>
          <w:szCs w:val="30"/>
          <w:lang w:val="es-ES"/>
        </w:rPr>
        <w:br/>
        <w:t xml:space="preserve">6.- (Reformado por la Disposición Reformatoria </w:t>
      </w:r>
      <w:r>
        <w:rPr>
          <w:rFonts w:eastAsia="Times New Roman"/>
          <w:sz w:val="30"/>
          <w:szCs w:val="30"/>
          <w:lang w:val="es-ES"/>
        </w:rPr>
        <w:t>Décima Séptima, num. 3 del Código Orgánico Monetario y Financiero; R.O. 332-2S, 12-IX-2014).- Si la Superintendencia de Compañías Valores y Seguros presumiera problemas o peligro de liquidez o de solvencia de los participantes;</w:t>
      </w:r>
      <w:r>
        <w:rPr>
          <w:rFonts w:eastAsia="Times New Roman"/>
          <w:sz w:val="30"/>
          <w:szCs w:val="30"/>
          <w:lang w:val="es-ES"/>
        </w:rPr>
        <w:br/>
      </w:r>
      <w:r>
        <w:rPr>
          <w:rFonts w:eastAsia="Times New Roman"/>
          <w:sz w:val="30"/>
          <w:szCs w:val="30"/>
          <w:lang w:val="es-ES"/>
        </w:rPr>
        <w:br/>
        <w:t>7.- (Reformado por la Dispo</w:t>
      </w:r>
      <w:r>
        <w:rPr>
          <w:rFonts w:eastAsia="Times New Roman"/>
          <w:sz w:val="30"/>
          <w:szCs w:val="30"/>
          <w:lang w:val="es-ES"/>
        </w:rPr>
        <w:t>sición Reformatoria Décima Séptima, num. 3 del Código Orgánico Monetario y Financiero; R.O. 332-2S, 12-IX-2014).- Si la Superintendencia de Compañías Valores y Seguros presumiera problemas de índole financiero o legal, de los accionistas mayoritarios que c</w:t>
      </w:r>
      <w:r>
        <w:rPr>
          <w:rFonts w:eastAsia="Times New Roman"/>
          <w:sz w:val="30"/>
          <w:szCs w:val="30"/>
          <w:lang w:val="es-ES"/>
        </w:rPr>
        <w:t>ontrolan la entidad, que puedan afectar el normal desenvolvimiento de la actividad;</w:t>
      </w:r>
      <w:r>
        <w:rPr>
          <w:rFonts w:eastAsia="Times New Roman"/>
          <w:sz w:val="30"/>
          <w:szCs w:val="30"/>
          <w:lang w:val="es-ES"/>
        </w:rPr>
        <w:br/>
      </w:r>
      <w:r>
        <w:rPr>
          <w:rFonts w:eastAsia="Times New Roman"/>
          <w:sz w:val="30"/>
          <w:szCs w:val="30"/>
          <w:lang w:val="es-ES"/>
        </w:rPr>
        <w:br/>
        <w:t>8.- Cuando la administradora de fondos y fideicomisos reincida en los incumplimientos respecto de los límites de inversión de los fondos de inversión; y,</w:t>
      </w:r>
      <w:r>
        <w:rPr>
          <w:rFonts w:eastAsia="Times New Roman"/>
          <w:sz w:val="30"/>
          <w:szCs w:val="30"/>
          <w:lang w:val="es-ES"/>
        </w:rPr>
        <w:br/>
      </w:r>
      <w:r>
        <w:rPr>
          <w:rFonts w:eastAsia="Times New Roman"/>
          <w:sz w:val="30"/>
          <w:szCs w:val="30"/>
          <w:lang w:val="es-ES"/>
        </w:rPr>
        <w:br/>
        <w:t>9.- (Reformado p</w:t>
      </w:r>
      <w:r>
        <w:rPr>
          <w:rFonts w:eastAsia="Times New Roman"/>
          <w:sz w:val="30"/>
          <w:szCs w:val="30"/>
          <w:lang w:val="es-ES"/>
        </w:rPr>
        <w:t>or la Disposición Reformatoria Décima Séptima, num. 2 del Código Orgánico Monetario y Financiero; R.O. 332-2S, 12-IX-2014).- Las demás que determine la Junta de Política y Regulación Monetaria y Financiera.</w:t>
      </w:r>
    </w:p>
    <w:p w:rsidR="00000000" w:rsidRDefault="0018461E">
      <w:pPr>
        <w:divId w:val="1375619845"/>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Facultades del interventor.-</w:t>
      </w:r>
      <w:r>
        <w:rPr>
          <w:rFonts w:eastAsia="Times New Roman"/>
          <w:sz w:val="30"/>
          <w:szCs w:val="30"/>
          <w:lang w:val="es-ES"/>
        </w:rPr>
        <w:t xml:space="preserve"> (Reformado p</w:t>
      </w:r>
      <w:r>
        <w:rPr>
          <w:rFonts w:eastAsia="Times New Roman"/>
          <w:sz w:val="30"/>
          <w:szCs w:val="30"/>
          <w:lang w:val="es-ES"/>
        </w:rPr>
        <w:t>or la Disposición Reformatoria Décima Séptima, num. 3 del Código Orgánico Monetario y Financiero; R.O. 332-2S, 12-IX-2014).- La actuación del interventor se concretará a propiciar la corrección de las irregularidades que determinaron su designación o las q</w:t>
      </w:r>
      <w:r>
        <w:rPr>
          <w:rFonts w:eastAsia="Times New Roman"/>
          <w:sz w:val="30"/>
          <w:szCs w:val="30"/>
          <w:lang w:val="es-ES"/>
        </w:rPr>
        <w:t>ue detectare durante el proceso, procurar el mantenimiento del patrimonio de la compañía o de los patrimonios que ésta administra y evitar que se ocasionen perjuicios a los inversionistas, socios, accionistas o terceros.</w:t>
      </w:r>
      <w:r>
        <w:rPr>
          <w:rFonts w:eastAsia="Times New Roman"/>
          <w:sz w:val="30"/>
          <w:szCs w:val="30"/>
          <w:lang w:val="es-ES"/>
        </w:rPr>
        <w:br/>
      </w:r>
      <w:r>
        <w:rPr>
          <w:rFonts w:eastAsia="Times New Roman"/>
          <w:sz w:val="30"/>
          <w:szCs w:val="30"/>
          <w:lang w:val="es-ES"/>
        </w:rPr>
        <w:lastRenderedPageBreak/>
        <w:br/>
        <w:t>La intervención sólo durará el tie</w:t>
      </w:r>
      <w:r>
        <w:rPr>
          <w:rFonts w:eastAsia="Times New Roman"/>
          <w:sz w:val="30"/>
          <w:szCs w:val="30"/>
          <w:lang w:val="es-ES"/>
        </w:rPr>
        <w:t>mpo necesario para superar la situación anómala de la compañía.</w:t>
      </w:r>
      <w:r>
        <w:rPr>
          <w:rFonts w:eastAsia="Times New Roman"/>
          <w:sz w:val="30"/>
          <w:szCs w:val="30"/>
          <w:lang w:val="es-ES"/>
        </w:rPr>
        <w:br/>
      </w:r>
      <w:r>
        <w:rPr>
          <w:rFonts w:eastAsia="Times New Roman"/>
          <w:sz w:val="30"/>
          <w:szCs w:val="30"/>
          <w:lang w:val="es-ES"/>
        </w:rPr>
        <w:br/>
        <w:t>Las facultades del interventor estarán orientadas a supervisar y autorizar todas las actuaciones, contratos y operaciones que realice la entidad intervenida.</w:t>
      </w:r>
      <w:r>
        <w:rPr>
          <w:rFonts w:eastAsia="Times New Roman"/>
          <w:sz w:val="30"/>
          <w:szCs w:val="30"/>
          <w:lang w:val="es-ES"/>
        </w:rPr>
        <w:br/>
      </w:r>
      <w:r>
        <w:rPr>
          <w:rFonts w:eastAsia="Times New Roman"/>
          <w:sz w:val="30"/>
          <w:szCs w:val="30"/>
          <w:lang w:val="es-ES"/>
        </w:rPr>
        <w:br/>
        <w:t>Las operaciones, contratos y dem</w:t>
      </w:r>
      <w:r>
        <w:rPr>
          <w:rFonts w:eastAsia="Times New Roman"/>
          <w:sz w:val="30"/>
          <w:szCs w:val="30"/>
          <w:lang w:val="es-ES"/>
        </w:rPr>
        <w:t>ás documentos que, requiriendo el visto bueno y firma del interventor o interventores designados por el titular de la Superintendencia de Compañías Valores y Seguros, no los tuvieren, carecerán de validez para la compañía intervenida, pero él o los represe</w:t>
      </w:r>
      <w:r>
        <w:rPr>
          <w:rFonts w:eastAsia="Times New Roman"/>
          <w:sz w:val="30"/>
          <w:szCs w:val="30"/>
          <w:lang w:val="es-ES"/>
        </w:rPr>
        <w:t>ntantes legales, administradores o personeros que los hubieren autorizado, serán personal y pecuniariamente responsables, en los términos del artículo 17 de la Ley de Compañías.</w:t>
      </w:r>
    </w:p>
    <w:p w:rsidR="00000000" w:rsidRDefault="0018461E">
      <w:pPr>
        <w:divId w:val="191191886"/>
        <w:rPr>
          <w:rFonts w:eastAsia="Times New Roman"/>
          <w:sz w:val="30"/>
          <w:szCs w:val="30"/>
          <w:lang w:val="es-ES"/>
        </w:rPr>
      </w:pPr>
      <w:r>
        <w:rPr>
          <w:rFonts w:eastAsia="Times New Roman"/>
          <w:sz w:val="30"/>
          <w:szCs w:val="30"/>
          <w:lang w:val="es-ES"/>
        </w:rPr>
        <w:t xml:space="preserve">Art...- </w:t>
      </w:r>
      <w:r>
        <w:rPr>
          <w:rFonts w:eastAsia="Times New Roman"/>
          <w:b/>
          <w:bCs/>
          <w:sz w:val="30"/>
          <w:szCs w:val="30"/>
          <w:lang w:val="es-ES"/>
        </w:rPr>
        <w:t>Registro de interventores.-</w:t>
      </w:r>
      <w:r>
        <w:rPr>
          <w:rFonts w:eastAsia="Times New Roman"/>
          <w:sz w:val="30"/>
          <w:szCs w:val="30"/>
          <w:lang w:val="es-ES"/>
        </w:rPr>
        <w:t xml:space="preserve"> (Reformado por la Disposición Reformatoria</w:t>
      </w:r>
      <w:r>
        <w:rPr>
          <w:rFonts w:eastAsia="Times New Roman"/>
          <w:sz w:val="30"/>
          <w:szCs w:val="30"/>
          <w:lang w:val="es-ES"/>
        </w:rPr>
        <w:t xml:space="preserve"> Décima Séptima, nums. 2 y 3 del Código Orgánico Monetario y Financiero; R.O. 332-2S, 12-IX-2014).- El titular de la Superintendencia de Compañías Valores y Seguros, podrá designar entre el personal de su dependencia o fuera de ella, uno o más interventore</w:t>
      </w:r>
      <w:r>
        <w:rPr>
          <w:rFonts w:eastAsia="Times New Roman"/>
          <w:sz w:val="30"/>
          <w:szCs w:val="30"/>
          <w:lang w:val="es-ES"/>
        </w:rPr>
        <w:t>s, cuyas funciones y demás aspectos relacionados con el proceso de intervención, serán determinadas mediante disposición de carácter general por la Junta de Política y Regulación Monetaria y Financiera.</w:t>
      </w:r>
      <w:r>
        <w:rPr>
          <w:rFonts w:eastAsia="Times New Roman"/>
          <w:sz w:val="30"/>
          <w:szCs w:val="30"/>
          <w:lang w:val="es-ES"/>
        </w:rPr>
        <w:br/>
      </w:r>
      <w:r>
        <w:rPr>
          <w:rFonts w:eastAsia="Times New Roman"/>
          <w:sz w:val="30"/>
          <w:szCs w:val="30"/>
          <w:lang w:val="es-ES"/>
        </w:rPr>
        <w:br/>
        <w:t>La Superintendencia de Compañías Valores y Seguros m</w:t>
      </w:r>
      <w:r>
        <w:rPr>
          <w:rFonts w:eastAsia="Times New Roman"/>
          <w:sz w:val="30"/>
          <w:szCs w:val="30"/>
          <w:lang w:val="es-ES"/>
        </w:rPr>
        <w:t>antendrá un registro de interventores especializados en el mercado de valores, bajo las normas que para el efecto establezca la Junta de Política y Regulación Monetaria y Financiera.</w:t>
      </w:r>
    </w:p>
    <w:p w:rsidR="00000000" w:rsidRDefault="0018461E">
      <w:pPr>
        <w:jc w:val="center"/>
        <w:rPr>
          <w:rFonts w:eastAsia="Times New Roman"/>
          <w:sz w:val="36"/>
          <w:szCs w:val="36"/>
          <w:lang w:val="es-ES"/>
        </w:rPr>
      </w:pPr>
      <w:r>
        <w:rPr>
          <w:rFonts w:eastAsia="Times New Roman"/>
          <w:b/>
          <w:bCs/>
          <w:sz w:val="36"/>
          <w:szCs w:val="36"/>
          <w:lang w:val="es-ES"/>
        </w:rPr>
        <w:br/>
        <w:t>Título XXIV</w:t>
      </w:r>
      <w:r>
        <w:rPr>
          <w:rFonts w:eastAsia="Times New Roman"/>
          <w:b/>
          <w:bCs/>
          <w:sz w:val="36"/>
          <w:szCs w:val="36"/>
          <w:lang w:val="es-ES"/>
        </w:rPr>
        <w:br/>
        <w:t>DISPOSICIONES GENERALES</w:t>
      </w:r>
    </w:p>
    <w:p w:rsidR="00000000" w:rsidRDefault="0018461E">
      <w:pPr>
        <w:divId w:val="162931641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(Agregada por el Art. 85 de la Ley s/n, R.O. 249-S, 20-V-2014; y, reformado por la Disposición Reformatoria Décima Séptima, num. 2 del Código Orgánico Monetario y Financiero; R.O. 332-2S, 12-IX-2014).- Las instituciones regidas por esta Ley brindan servici</w:t>
      </w:r>
      <w:r>
        <w:rPr>
          <w:rFonts w:eastAsia="Times New Roman"/>
          <w:sz w:val="30"/>
          <w:szCs w:val="30"/>
          <w:lang w:val="es-ES"/>
        </w:rPr>
        <w:t>os especializados de interés general, por lo que sólo podrán realizar aquellas actividades autorizadas por Ley o expresamente autorizadas por la Junta de Política y Regulación Monetaria y Financiera.</w:t>
      </w:r>
    </w:p>
    <w:p w:rsidR="00000000" w:rsidRDefault="0018461E">
      <w:pPr>
        <w:divId w:val="993215387"/>
        <w:rPr>
          <w:rFonts w:eastAsia="Times New Roman"/>
          <w:sz w:val="30"/>
          <w:szCs w:val="30"/>
          <w:lang w:val="es-ES"/>
        </w:rPr>
      </w:pPr>
      <w:r>
        <w:rPr>
          <w:rFonts w:eastAsia="Times New Roman"/>
          <w:sz w:val="30"/>
          <w:szCs w:val="30"/>
          <w:lang w:val="es-ES"/>
        </w:rPr>
        <w:lastRenderedPageBreak/>
        <w:t>Segunda.-</w:t>
      </w:r>
      <w:r>
        <w:rPr>
          <w:rFonts w:eastAsia="Times New Roman"/>
          <w:b/>
          <w:bCs/>
          <w:sz w:val="30"/>
          <w:szCs w:val="30"/>
          <w:lang w:val="es-ES"/>
        </w:rPr>
        <w:t xml:space="preserve"> De las denominaciones y expresiones exclusivas</w:t>
      </w:r>
      <w:r>
        <w:rPr>
          <w:rFonts w:eastAsia="Times New Roman"/>
          <w:b/>
          <w:bCs/>
          <w:sz w:val="30"/>
          <w:szCs w:val="30"/>
          <w:lang w:val="es-ES"/>
        </w:rPr>
        <w:t xml:space="preserve">.- </w:t>
      </w:r>
      <w:r>
        <w:rPr>
          <w:rFonts w:eastAsia="Times New Roman"/>
          <w:sz w:val="30"/>
          <w:szCs w:val="30"/>
          <w:lang w:val="es-ES"/>
        </w:rPr>
        <w:t>(Sustituido por el Art. 86 de la Ley s/n, R.O. 249-S, 20-V-2014; y, Reenumerado por el lit. a del Art. 91 de la Ley s/n, R.O. 249-S, 20-V-2014).- Solamente las personas naturales o jurídicas autorizadas según esta Ley, podrán utilizar las denominaciones</w:t>
      </w:r>
      <w:r>
        <w:rPr>
          <w:rFonts w:eastAsia="Times New Roman"/>
          <w:sz w:val="30"/>
          <w:szCs w:val="30"/>
          <w:lang w:val="es-ES"/>
        </w:rPr>
        <w:t>: "casa de valores", "operador de valores", "banca de inversión", "bolsa de valores", "registro especial bursátil", "Sistema Único Bursátil", "administradoras de fondos y fideicomisos" y, "calificadora de riesgo"; y las expresiones: "fondos administrados",</w:t>
      </w:r>
      <w:r>
        <w:rPr>
          <w:rFonts w:eastAsia="Times New Roman"/>
          <w:sz w:val="30"/>
          <w:szCs w:val="30"/>
          <w:lang w:val="es-ES"/>
        </w:rPr>
        <w:t xml:space="preserve"> "fondos colectivos", "fondos cotizados", "fiducia", "fideicomiso mercantil", "titularización", y las demás específicas utilizadas en la presente Ley y sus normas complementarias.</w:t>
      </w:r>
      <w:r>
        <w:rPr>
          <w:rFonts w:eastAsia="Times New Roman"/>
          <w:sz w:val="30"/>
          <w:szCs w:val="30"/>
          <w:lang w:val="es-ES"/>
        </w:rPr>
        <w:br/>
      </w:r>
      <w:r>
        <w:rPr>
          <w:rFonts w:eastAsia="Times New Roman"/>
          <w:sz w:val="30"/>
          <w:szCs w:val="30"/>
          <w:lang w:val="es-ES"/>
        </w:rPr>
        <w:br/>
        <w:t>No podrán usarse expresiones que, por una semejanza fonética o semántica in</w:t>
      </w:r>
      <w:r>
        <w:rPr>
          <w:rFonts w:eastAsia="Times New Roman"/>
          <w:sz w:val="30"/>
          <w:szCs w:val="30"/>
          <w:lang w:val="es-ES"/>
        </w:rPr>
        <w:t>duzcan a confusión con las anteriores. La Superintendencia de Compañías calificará la semejanza.</w:t>
      </w:r>
    </w:p>
    <w:p w:rsidR="00000000" w:rsidRDefault="0018461E">
      <w:pPr>
        <w:divId w:val="975718090"/>
        <w:rPr>
          <w:rFonts w:eastAsia="Times New Roman"/>
          <w:sz w:val="30"/>
          <w:szCs w:val="30"/>
          <w:lang w:val="es-ES"/>
        </w:rPr>
      </w:pPr>
      <w:r>
        <w:rPr>
          <w:rFonts w:eastAsia="Times New Roman"/>
          <w:sz w:val="30"/>
          <w:szCs w:val="30"/>
          <w:lang w:val="es-ES"/>
        </w:rPr>
        <w:t xml:space="preserve">Tercera.- </w:t>
      </w:r>
      <w:r>
        <w:rPr>
          <w:rFonts w:eastAsia="Times New Roman"/>
          <w:b/>
          <w:bCs/>
          <w:sz w:val="30"/>
          <w:szCs w:val="30"/>
          <w:lang w:val="es-ES"/>
        </w:rPr>
        <w:t>De los reglamentos de operación.</w:t>
      </w:r>
      <w:r>
        <w:rPr>
          <w:rFonts w:eastAsia="Times New Roman"/>
          <w:sz w:val="30"/>
          <w:szCs w:val="30"/>
          <w:lang w:val="es-ES"/>
        </w:rPr>
        <w:t xml:space="preserve">- (Reenumerado por el lit. b del Art. 91 de la Ley s/n, R.O. 249-S, 20-V-2014).- Las casas de valores, las bolsas de </w:t>
      </w:r>
      <w:r>
        <w:rPr>
          <w:rFonts w:eastAsia="Times New Roman"/>
          <w:sz w:val="30"/>
          <w:szCs w:val="30"/>
          <w:lang w:val="es-ES"/>
        </w:rPr>
        <w:t>valores, las administradoras de fondos y fideicomisos, los depósitos centralizados de valores y las calificadoras de riesgo deben contar con un Reglamento de Operaciones de acuerdo a las normas de carácter general que para el efecto expida el C.N.V..</w:t>
      </w:r>
    </w:p>
    <w:p w:rsidR="00000000" w:rsidRDefault="0018461E">
      <w:pPr>
        <w:divId w:val="1668710054"/>
        <w:rPr>
          <w:rFonts w:eastAsia="Times New Roman"/>
          <w:sz w:val="30"/>
          <w:szCs w:val="30"/>
          <w:lang w:val="es-ES"/>
        </w:rPr>
      </w:pPr>
      <w:r>
        <w:rPr>
          <w:rFonts w:eastAsia="Times New Roman"/>
          <w:sz w:val="30"/>
          <w:szCs w:val="30"/>
          <w:lang w:val="es-ES"/>
        </w:rPr>
        <w:t>Cuart</w:t>
      </w:r>
      <w:r>
        <w:rPr>
          <w:rFonts w:eastAsia="Times New Roman"/>
          <w:sz w:val="30"/>
          <w:szCs w:val="30"/>
          <w:lang w:val="es-ES"/>
        </w:rPr>
        <w:t xml:space="preserve">a.- </w:t>
      </w:r>
      <w:r>
        <w:rPr>
          <w:rFonts w:eastAsia="Times New Roman"/>
          <w:b/>
          <w:bCs/>
          <w:sz w:val="30"/>
          <w:szCs w:val="30"/>
          <w:lang w:val="es-ES"/>
        </w:rPr>
        <w:t>Comisiones.</w:t>
      </w:r>
      <w:r>
        <w:rPr>
          <w:rFonts w:eastAsia="Times New Roman"/>
          <w:sz w:val="30"/>
          <w:szCs w:val="30"/>
          <w:lang w:val="es-ES"/>
        </w:rPr>
        <w:t xml:space="preserve">- (Sustituido por el Art. 87 de la Ley s/n, R.O. 249-S, 20-V-2014; reenumerado por el lit. c del Art. 91 de la Ley s/n, R.O. 249-S, 20-V-2014; y, reformado por la Disposición Reformatoria Décima Séptima, num. 2 del Código Orgánico Monetario </w:t>
      </w:r>
      <w:r>
        <w:rPr>
          <w:rFonts w:eastAsia="Times New Roman"/>
          <w:sz w:val="30"/>
          <w:szCs w:val="30"/>
          <w:lang w:val="es-ES"/>
        </w:rPr>
        <w:t>y Financiero; R.O. 332-2S, 12-IX-2014 La Junta de Política y Regulación Monetaria y Financiera establecerá los parámetros que deberán observar las instituciones reguladas por esta Ley para la fijación de comisiones, honorarios o tarifas que cobren a sus cl</w:t>
      </w:r>
      <w:r>
        <w:rPr>
          <w:rFonts w:eastAsia="Times New Roman"/>
          <w:sz w:val="30"/>
          <w:szCs w:val="30"/>
          <w:lang w:val="es-ES"/>
        </w:rPr>
        <w:t>ientes o comitentes.</w:t>
      </w:r>
    </w:p>
    <w:p w:rsidR="00000000" w:rsidRDefault="0018461E">
      <w:pPr>
        <w:divId w:val="1693456980"/>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Del sigilo bursátil.- </w:t>
      </w:r>
      <w:r>
        <w:rPr>
          <w:rFonts w:eastAsia="Times New Roman"/>
          <w:sz w:val="30"/>
          <w:szCs w:val="30"/>
          <w:lang w:val="es-ES"/>
        </w:rPr>
        <w:t>(Reformado por el Art. 88 de la Ley s/n, R.O. 249-S, 20-V-2014; reenumerado por el lit. d del Art. 91 de la Ley s/n, R.O. 249-S, 20-V-2014; y, reformado por la Disposición Reformatoria Décima Séptima, num</w:t>
      </w:r>
      <w:r>
        <w:rPr>
          <w:rFonts w:eastAsia="Times New Roman"/>
          <w:sz w:val="30"/>
          <w:szCs w:val="30"/>
          <w:lang w:val="es-ES"/>
        </w:rPr>
        <w:t>. 2 del Código Orgánico Monetario y Financiero; R.O. 332-2S, 12-IX-2014).- Prohíbese a los intermediarios del mercado de valores y a los depósitos centralizados de compensación y liquidación de valores divulgar los nombres de sus comitentes, salvo en el ca</w:t>
      </w:r>
      <w:r>
        <w:rPr>
          <w:rFonts w:eastAsia="Times New Roman"/>
          <w:sz w:val="30"/>
          <w:szCs w:val="30"/>
          <w:lang w:val="es-ES"/>
        </w:rPr>
        <w:t xml:space="preserve">so de una auditoría, inspección o fiscalización de sus operaciones por parte de las Superintendencias de </w:t>
      </w:r>
      <w:r>
        <w:rPr>
          <w:rFonts w:eastAsia="Times New Roman"/>
          <w:sz w:val="30"/>
          <w:szCs w:val="30"/>
          <w:lang w:val="es-ES"/>
        </w:rPr>
        <w:lastRenderedPageBreak/>
        <w:t>Compañías o de Bancos y Seguros o de la respectiva bolsa, o en virtud de una providencia judicial expedida dentro del juicio, o por autorización expres</w:t>
      </w:r>
      <w:r>
        <w:rPr>
          <w:rFonts w:eastAsia="Times New Roman"/>
          <w:sz w:val="30"/>
          <w:szCs w:val="30"/>
          <w:lang w:val="es-ES"/>
        </w:rPr>
        <w:t>a del comitente.</w:t>
      </w:r>
      <w:r>
        <w:rPr>
          <w:rFonts w:eastAsia="Times New Roman"/>
          <w:sz w:val="30"/>
          <w:szCs w:val="30"/>
          <w:lang w:val="es-ES"/>
        </w:rPr>
        <w:br/>
      </w:r>
      <w:r>
        <w:rPr>
          <w:rFonts w:eastAsia="Times New Roman"/>
          <w:sz w:val="30"/>
          <w:szCs w:val="30"/>
          <w:lang w:val="es-ES"/>
        </w:rPr>
        <w:br/>
        <w:t>Los miembros de la Junta de Política y Regulación Monetaria y Financiera, los funcionarios y empleados de los depósitos centralizados de compensación y liquidación de valores, de las bolsas de valores, de las Superintendencias de Compañía</w:t>
      </w:r>
      <w:r>
        <w:rPr>
          <w:rFonts w:eastAsia="Times New Roman"/>
          <w:sz w:val="30"/>
          <w:szCs w:val="30"/>
          <w:lang w:val="es-ES"/>
        </w:rPr>
        <w:t>s o de Bancos y Seguros, empleados de la sociedad administradora del SIUB, u otras personas que en ejercicio de sus funciones u obligaciones de vigilancia, fiscalización y control tuvieren acceso a información privilegiada, reservada o que no sea de domini</w:t>
      </w:r>
      <w:r>
        <w:rPr>
          <w:rFonts w:eastAsia="Times New Roman"/>
          <w:sz w:val="30"/>
          <w:szCs w:val="30"/>
          <w:lang w:val="es-ES"/>
        </w:rPr>
        <w:t>o público, no podrán divulgar la misma, ni aprovechar la información para fines personales o a fin de causar variaciones en los precios de los valores o perjuicio a las entidades del sector público o del sector privado.</w:t>
      </w:r>
      <w:r>
        <w:rPr>
          <w:rFonts w:eastAsia="Times New Roman"/>
          <w:sz w:val="30"/>
          <w:szCs w:val="30"/>
          <w:lang w:val="es-ES"/>
        </w:rPr>
        <w:br/>
      </w:r>
      <w:r>
        <w:rPr>
          <w:rFonts w:eastAsia="Times New Roman"/>
          <w:sz w:val="30"/>
          <w:szCs w:val="30"/>
          <w:lang w:val="es-ES"/>
        </w:rPr>
        <w:br/>
        <w:t>Toda persona que con motivo de su t</w:t>
      </w:r>
      <w:r>
        <w:rPr>
          <w:rFonts w:eastAsia="Times New Roman"/>
          <w:sz w:val="30"/>
          <w:szCs w:val="30"/>
          <w:lang w:val="es-ES"/>
        </w:rPr>
        <w:t>rabajo, empleo, cargo, puesto, desempeño de su profesión o relación de negocios en el sector público o privado, tenga acceso a información reservada o confidencial, que de acuerdo con esta Ley no pueda ser revelada, está obligada a mantener la reserva o co</w:t>
      </w:r>
      <w:r>
        <w:rPr>
          <w:rFonts w:eastAsia="Times New Roman"/>
          <w:sz w:val="30"/>
          <w:szCs w:val="30"/>
          <w:lang w:val="es-ES"/>
        </w:rPr>
        <w:t>nfidencialidad de la información aún cuando su relación laboral, desempeño de su profesión o relación de negocios haya cesado.</w:t>
      </w:r>
    </w:p>
    <w:p w:rsidR="00000000" w:rsidRDefault="0018461E">
      <w:pPr>
        <w:divId w:val="630786043"/>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De la publicidad.- </w:t>
      </w:r>
      <w:r>
        <w:rPr>
          <w:rFonts w:eastAsia="Times New Roman"/>
          <w:sz w:val="30"/>
          <w:szCs w:val="30"/>
          <w:lang w:val="es-ES"/>
        </w:rPr>
        <w:t>(Reenumerado por el lit. e del Art. 91 de la Ley s/n, R.O. 249-S, 20-V-2014).- La publicidad, propagan</w:t>
      </w:r>
      <w:r>
        <w:rPr>
          <w:rFonts w:eastAsia="Times New Roman"/>
          <w:sz w:val="30"/>
          <w:szCs w:val="30"/>
          <w:lang w:val="es-ES"/>
        </w:rPr>
        <w:t>da o difusión que por cualquier medio hagan los emisores, intermediarios de valores, bolsas de valores y otras instituciones reguladas por esta Ley, no podrán contener declaraciones, alusiones o representaciones que puedan inducir a error, equívocos, o con</w:t>
      </w:r>
      <w:r>
        <w:rPr>
          <w:rFonts w:eastAsia="Times New Roman"/>
          <w:sz w:val="30"/>
          <w:szCs w:val="30"/>
          <w:lang w:val="es-ES"/>
        </w:rPr>
        <w:t>fusión al público sobre los valores de oferta pública o sus emisores.</w:t>
      </w:r>
    </w:p>
    <w:p w:rsidR="00000000" w:rsidRDefault="0018461E">
      <w:pPr>
        <w:divId w:val="532614135"/>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w:t>
      </w:r>
      <w:r>
        <w:rPr>
          <w:rFonts w:eastAsia="Times New Roman"/>
          <w:sz w:val="30"/>
          <w:szCs w:val="30"/>
          <w:lang w:val="es-ES"/>
        </w:rPr>
        <w:t>(Derogado por el Art. 89 de la Ley s/n, R.O. 249-S, 20-V-2014).-</w:t>
      </w:r>
    </w:p>
    <w:p w:rsidR="00000000" w:rsidRDefault="0018461E">
      <w:pPr>
        <w:divId w:val="500706815"/>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De las inversiones obligatorias de las compañías de seguros.-</w:t>
      </w:r>
      <w:r>
        <w:rPr>
          <w:rFonts w:eastAsia="Times New Roman"/>
          <w:sz w:val="30"/>
          <w:szCs w:val="30"/>
          <w:lang w:val="es-ES"/>
        </w:rPr>
        <w:t xml:space="preserve"> (Reenumerado por el lit. f del Art. 91</w:t>
      </w:r>
      <w:r>
        <w:rPr>
          <w:rFonts w:eastAsia="Times New Roman"/>
          <w:sz w:val="30"/>
          <w:szCs w:val="30"/>
          <w:lang w:val="es-ES"/>
        </w:rPr>
        <w:t xml:space="preserve"> de la Ley s/n, R.O. 249-S, 20-V-2014; y, reformado por la Disposición Reformatoria Décima Séptima, num. 1 del Código Orgánico Monetario y Financiero; R.O. 332-2S, 12-IX-2014).- Con excepción de las inversiones obligatorias en valores emitidos por entidade</w:t>
      </w:r>
      <w:r>
        <w:rPr>
          <w:rFonts w:eastAsia="Times New Roman"/>
          <w:sz w:val="30"/>
          <w:szCs w:val="30"/>
          <w:lang w:val="es-ES"/>
        </w:rPr>
        <w:t xml:space="preserve">s y organismos del sector público, las inversiones que realicen las compañías de seguros en instrumentos inscritos en el Catatsro Público </w:t>
      </w:r>
      <w:r>
        <w:rPr>
          <w:rFonts w:eastAsia="Times New Roman"/>
          <w:sz w:val="30"/>
          <w:szCs w:val="30"/>
          <w:lang w:val="es-ES"/>
        </w:rPr>
        <w:lastRenderedPageBreak/>
        <w:t>del Mercado de Valores y en al menos una de las bolsas de valores del país, deberán ser efectuadas en éstas.</w:t>
      </w:r>
    </w:p>
    <w:p w:rsidR="00000000" w:rsidRDefault="0018461E">
      <w:pPr>
        <w:divId w:val="822895696"/>
        <w:rPr>
          <w:rFonts w:eastAsia="Times New Roman"/>
          <w:sz w:val="30"/>
          <w:szCs w:val="30"/>
          <w:lang w:val="es-ES"/>
        </w:rPr>
      </w:pPr>
      <w:r>
        <w:rPr>
          <w:rFonts w:eastAsia="Times New Roman"/>
          <w:sz w:val="30"/>
          <w:szCs w:val="30"/>
          <w:lang w:val="es-ES"/>
        </w:rPr>
        <w:t xml:space="preserve">Octava.- </w:t>
      </w:r>
      <w:r>
        <w:rPr>
          <w:rFonts w:eastAsia="Times New Roman"/>
          <w:b/>
          <w:bCs/>
          <w:sz w:val="30"/>
          <w:szCs w:val="30"/>
          <w:lang w:val="es-ES"/>
        </w:rPr>
        <w:t>Del recurso administrativo.</w:t>
      </w:r>
      <w:r>
        <w:rPr>
          <w:rFonts w:eastAsia="Times New Roman"/>
          <w:sz w:val="30"/>
          <w:szCs w:val="30"/>
          <w:lang w:val="es-ES"/>
        </w:rPr>
        <w:t xml:space="preserve">- (Reformado por el Art. 90 de la Ley s/n, R.O. 249-S, 20-V-2014; reenumerado por el lit. g del Art. 91 de la Ley s/n, R.O. 249-S, 20-V-2014; y reformado por la Disposición Reformatoria Décima Séptima, num. 3 del Código Orgánico </w:t>
      </w:r>
      <w:r>
        <w:rPr>
          <w:rFonts w:eastAsia="Times New Roman"/>
          <w:sz w:val="30"/>
          <w:szCs w:val="30"/>
          <w:lang w:val="es-ES"/>
        </w:rPr>
        <w:t>Monetario y Financiero; R.O. 332-2S, 12-IX-2014).- La resolución del recurso de revisión de la Superintendencia de Compañías Valores y Seguros, causará ejecutoria en el ámbito administrativo y podrá ser impugnada ante el tribunal distrital de lo contencios</w:t>
      </w:r>
      <w:r>
        <w:rPr>
          <w:rFonts w:eastAsia="Times New Roman"/>
          <w:sz w:val="30"/>
          <w:szCs w:val="30"/>
          <w:lang w:val="es-ES"/>
        </w:rPr>
        <w:t>o administrativo, de conformidad con la ley.</w:t>
      </w:r>
    </w:p>
    <w:p w:rsidR="00000000" w:rsidRDefault="0018461E">
      <w:pPr>
        <w:divId w:val="2079159630"/>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De las normas de prudencia.</w:t>
      </w:r>
      <w:r>
        <w:rPr>
          <w:rFonts w:eastAsia="Times New Roman"/>
          <w:sz w:val="30"/>
          <w:szCs w:val="30"/>
          <w:lang w:val="es-ES"/>
        </w:rPr>
        <w:t>- (Reenumerado por el lit. h del Art. 91 de la Ley s/n, R.O. 249-S, 20-V-2014; y, reformado por la Disposición Reformatoria Décima Séptima, num. 1 del Código Orgánico Monetari</w:t>
      </w:r>
      <w:r>
        <w:rPr>
          <w:rFonts w:eastAsia="Times New Roman"/>
          <w:sz w:val="30"/>
          <w:szCs w:val="30"/>
          <w:lang w:val="es-ES"/>
        </w:rPr>
        <w:t>o y Financiero; R.O. 332-2S, 12-IX-2014).- Las bolsas de valores, las casas de valores, las administradoras de fondos de inversión y fideicomisos, los fondos de inversión, los depósitos centralizados de compensación y liquidación de valores, las calificado</w:t>
      </w:r>
      <w:r>
        <w:rPr>
          <w:rFonts w:eastAsia="Times New Roman"/>
          <w:sz w:val="30"/>
          <w:szCs w:val="30"/>
          <w:lang w:val="es-ES"/>
        </w:rPr>
        <w:t>ras de riesgo, así como las sociedades de auditoría externa que participen en el mercado y se encuentren registradas en el Catastro Público del Mercado de Valores, deberán observar los parámetros, índices, relaciones, normas de prudencia y control que dete</w:t>
      </w:r>
      <w:r>
        <w:rPr>
          <w:rFonts w:eastAsia="Times New Roman"/>
          <w:sz w:val="30"/>
          <w:szCs w:val="30"/>
          <w:lang w:val="es-ES"/>
        </w:rPr>
        <w:t>rmine el C.N.V.</w:t>
      </w:r>
    </w:p>
    <w:p w:rsidR="00000000" w:rsidRDefault="0018461E">
      <w:pPr>
        <w:divId w:val="1697996455"/>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De las facilidades que deben prestar los entes regulados por esta Ley para el control y fiscalización.</w:t>
      </w:r>
      <w:r>
        <w:rPr>
          <w:rFonts w:eastAsia="Times New Roman"/>
          <w:sz w:val="30"/>
          <w:szCs w:val="30"/>
          <w:lang w:val="es-ES"/>
        </w:rPr>
        <w:t>- (Reenumerado por el lit. i del Art. 91 de la Ley s/n, R.O. 249-S, 20-V-2014).- Todas las entidades sujetas a la presente Ley, d</w:t>
      </w:r>
      <w:r>
        <w:rPr>
          <w:rFonts w:eastAsia="Times New Roman"/>
          <w:sz w:val="30"/>
          <w:szCs w:val="30"/>
          <w:lang w:val="es-ES"/>
        </w:rPr>
        <w:t>eberán prestar las facilidades necesarias para que la Superintendencia de Compañías, pueda ejercer sus atribuciones de control y supervisión.</w:t>
      </w:r>
    </w:p>
    <w:p w:rsidR="00000000" w:rsidRDefault="0018461E">
      <w:pPr>
        <w:divId w:val="1453280819"/>
        <w:rPr>
          <w:rFonts w:eastAsia="Times New Roman"/>
          <w:sz w:val="30"/>
          <w:szCs w:val="30"/>
          <w:lang w:val="es-ES"/>
        </w:rPr>
      </w:pPr>
      <w:r>
        <w:rPr>
          <w:rFonts w:eastAsia="Times New Roman"/>
          <w:sz w:val="30"/>
          <w:szCs w:val="30"/>
          <w:lang w:val="es-ES"/>
        </w:rPr>
        <w:t>Décimo Primera.-</w:t>
      </w:r>
      <w:r>
        <w:rPr>
          <w:rFonts w:eastAsia="Times New Roman"/>
          <w:b/>
          <w:bCs/>
          <w:sz w:val="30"/>
          <w:szCs w:val="30"/>
          <w:lang w:val="es-ES"/>
        </w:rPr>
        <w:t xml:space="preserve"> De las características de los valores.</w:t>
      </w:r>
      <w:r>
        <w:rPr>
          <w:rFonts w:eastAsia="Times New Roman"/>
          <w:sz w:val="30"/>
          <w:szCs w:val="30"/>
          <w:lang w:val="es-ES"/>
        </w:rPr>
        <w:t>- (Reenumerado por el lit. j del Art. 91 de la Ley s/n, R.O</w:t>
      </w:r>
      <w:r>
        <w:rPr>
          <w:rFonts w:eastAsia="Times New Roman"/>
          <w:sz w:val="30"/>
          <w:szCs w:val="30"/>
          <w:lang w:val="es-ES"/>
        </w:rPr>
        <w:t xml:space="preserve">. 249-S, 20-V-2014; y, sustituido por el num. 1 de la Disposición Reformatoria Décima Tercera del Código s/n, R.O. 506-S, 22-V-2015).- Los valores a que se refiere el artículo 2 de esta Ley, tienen el carácter de títulos valor, en consecuencia, incorporan </w:t>
      </w:r>
      <w:r>
        <w:rPr>
          <w:rFonts w:eastAsia="Times New Roman"/>
          <w:sz w:val="30"/>
          <w:szCs w:val="30"/>
          <w:lang w:val="es-ES"/>
        </w:rPr>
        <w:t>un derecho literal y autónomo que se ejercita por su portador legitimado según la ley, constituyen títulos ejecutivos para los efectos previstos en el Código Orgánico General de Procesos. Se presume, salvo prueba en contrario, su autenticidad así como la l</w:t>
      </w:r>
      <w:r>
        <w:rPr>
          <w:rFonts w:eastAsia="Times New Roman"/>
          <w:sz w:val="30"/>
          <w:szCs w:val="30"/>
          <w:lang w:val="es-ES"/>
        </w:rPr>
        <w:t>icitud de su causa y la provisión de fondos.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valores pueden emitirse nominativos, a la orden o al portador, si son nominativos circularán por cesión cambiaria inscrita en el registro del emisor; si son a la orden por endoso; si son al portador, por la</w:t>
      </w:r>
      <w:r>
        <w:rPr>
          <w:rFonts w:eastAsia="Times New Roman"/>
          <w:sz w:val="30"/>
          <w:szCs w:val="30"/>
          <w:lang w:val="es-ES"/>
        </w:rPr>
        <w:t xml:space="preserve"> simple entrega.</w:t>
      </w:r>
    </w:p>
    <w:p w:rsidR="00000000" w:rsidRDefault="0018461E">
      <w:pPr>
        <w:divId w:val="242104969"/>
        <w:rPr>
          <w:rFonts w:eastAsia="Times New Roman"/>
          <w:sz w:val="30"/>
          <w:szCs w:val="30"/>
          <w:lang w:val="es-ES"/>
        </w:rPr>
      </w:pPr>
      <w:r>
        <w:rPr>
          <w:rFonts w:eastAsia="Times New Roman"/>
          <w:sz w:val="30"/>
          <w:szCs w:val="30"/>
          <w:lang w:val="es-ES"/>
        </w:rPr>
        <w:t xml:space="preserve">Décimo Segunda.- </w:t>
      </w:r>
      <w:r>
        <w:rPr>
          <w:rFonts w:eastAsia="Times New Roman"/>
          <w:b/>
          <w:bCs/>
          <w:sz w:val="30"/>
          <w:szCs w:val="30"/>
          <w:lang w:val="es-ES"/>
        </w:rPr>
        <w:t>De los gravámenes, limitaciones y transferencia.- (</w:t>
      </w:r>
      <w:r>
        <w:rPr>
          <w:rFonts w:eastAsia="Times New Roman"/>
          <w:sz w:val="30"/>
          <w:szCs w:val="30"/>
          <w:lang w:val="es-ES"/>
        </w:rPr>
        <w:t>Reenumerado por el lit. k del Art. 91 de la Ley s/n, R.O. 249-S, 20-V-2014).- La transmisión de los valores representados por anotaciones en cuenta tendrá lugar por transf</w:t>
      </w:r>
      <w:r>
        <w:rPr>
          <w:rFonts w:eastAsia="Times New Roman"/>
          <w:sz w:val="30"/>
          <w:szCs w:val="30"/>
          <w:lang w:val="es-ES"/>
        </w:rPr>
        <w:t>erencia contable; la inscripción de la transmisión a favor del adquirente producirá los mismos efectos que la tradición de los títulos.</w:t>
      </w:r>
      <w:r>
        <w:rPr>
          <w:rFonts w:eastAsia="Times New Roman"/>
          <w:sz w:val="30"/>
          <w:szCs w:val="30"/>
          <w:lang w:val="es-ES"/>
        </w:rPr>
        <w:br/>
      </w:r>
      <w:r>
        <w:rPr>
          <w:rFonts w:eastAsia="Times New Roman"/>
          <w:sz w:val="30"/>
          <w:szCs w:val="30"/>
          <w:lang w:val="es-ES"/>
        </w:rPr>
        <w:br/>
        <w:t>La constitución de gravámenes reales y de limitaciones al dominio igualmente tendrá lugar mediante inscripción en la cu</w:t>
      </w:r>
      <w:r>
        <w:rPr>
          <w:rFonts w:eastAsia="Times New Roman"/>
          <w:sz w:val="30"/>
          <w:szCs w:val="30"/>
          <w:lang w:val="es-ES"/>
        </w:rPr>
        <w:t xml:space="preserve">enta correspondiente, y para efectos de la constitución de prenda comercial ordinaria esta inscripción equivale al desplazamiento posesorio del título. Además, si los valores, sea que consten de títulos o de anotaciones en cuenta, se hallan depositados en </w:t>
      </w:r>
      <w:r>
        <w:rPr>
          <w:rFonts w:eastAsia="Times New Roman"/>
          <w:sz w:val="30"/>
          <w:szCs w:val="30"/>
          <w:lang w:val="es-ES"/>
        </w:rPr>
        <w:t>un depósito centralizado de valores, la transferencia se perfeccionará con la anotación en el registro del depósito en virtud de orden emitida mediante comunicación escrita o electrónica, dada por el portador legitimado de los mismos o por el representante</w:t>
      </w:r>
      <w:r>
        <w:rPr>
          <w:rFonts w:eastAsia="Times New Roman"/>
          <w:sz w:val="30"/>
          <w:szCs w:val="30"/>
          <w:lang w:val="es-ES"/>
        </w:rPr>
        <w:t xml:space="preserve"> autorizado de la casa de valores que lo representa, de conformidad con las normas de carácter general que dictará el C.N.V.</w:t>
      </w:r>
    </w:p>
    <w:p w:rsidR="00000000" w:rsidRDefault="0018461E">
      <w:pPr>
        <w:divId w:val="693654974"/>
        <w:rPr>
          <w:rFonts w:eastAsia="Times New Roman"/>
          <w:sz w:val="30"/>
          <w:szCs w:val="30"/>
          <w:lang w:val="es-ES"/>
        </w:rPr>
      </w:pPr>
      <w:r>
        <w:rPr>
          <w:rFonts w:eastAsia="Times New Roman"/>
          <w:sz w:val="30"/>
          <w:szCs w:val="30"/>
          <w:lang w:val="es-ES"/>
        </w:rPr>
        <w:t xml:space="preserve">Décimo Tercera.- </w:t>
      </w:r>
      <w:r>
        <w:rPr>
          <w:rFonts w:eastAsia="Times New Roman"/>
          <w:b/>
          <w:bCs/>
          <w:sz w:val="30"/>
          <w:szCs w:val="30"/>
          <w:lang w:val="es-ES"/>
        </w:rPr>
        <w:t>Arbitraje.</w:t>
      </w:r>
      <w:r>
        <w:rPr>
          <w:rFonts w:eastAsia="Times New Roman"/>
          <w:sz w:val="30"/>
          <w:szCs w:val="30"/>
          <w:lang w:val="es-ES"/>
        </w:rPr>
        <w:t xml:space="preserve">- (Reenumerado por el lit. l del Art. 91 de la Ley s/n, R.O. 249-S, 20-V-2014).- Cualquier controversia </w:t>
      </w:r>
      <w:r>
        <w:rPr>
          <w:rFonts w:eastAsia="Times New Roman"/>
          <w:sz w:val="30"/>
          <w:szCs w:val="30"/>
          <w:lang w:val="es-ES"/>
        </w:rPr>
        <w:t>o reclamo que existiere entre los participantes en el mercado de valores, relacionados con los derechos y obligaciones derivados de la presente Ley, podrán ser sometidos a arbitraje de conformidad con la Ley de Arbitraje y Mediación y reglamentos aplicable</w:t>
      </w:r>
      <w:r>
        <w:rPr>
          <w:rFonts w:eastAsia="Times New Roman"/>
          <w:sz w:val="30"/>
          <w:szCs w:val="30"/>
          <w:lang w:val="es-ES"/>
        </w:rPr>
        <w:t>s.</w:t>
      </w:r>
    </w:p>
    <w:p w:rsidR="00000000" w:rsidRDefault="0018461E">
      <w:pPr>
        <w:divId w:val="1812863395"/>
        <w:rPr>
          <w:rFonts w:eastAsia="Times New Roman"/>
          <w:sz w:val="30"/>
          <w:szCs w:val="30"/>
          <w:lang w:val="es-ES"/>
        </w:rPr>
      </w:pPr>
      <w:r>
        <w:rPr>
          <w:rFonts w:eastAsia="Times New Roman"/>
          <w:sz w:val="30"/>
          <w:szCs w:val="30"/>
          <w:lang w:val="es-ES"/>
        </w:rPr>
        <w:t xml:space="preserve">Décimo Cuarta.- </w:t>
      </w:r>
      <w:r>
        <w:rPr>
          <w:rFonts w:eastAsia="Times New Roman"/>
          <w:b/>
          <w:bCs/>
          <w:sz w:val="30"/>
          <w:szCs w:val="30"/>
          <w:lang w:val="es-ES"/>
        </w:rPr>
        <w:t>Prevalencia y supletoriedad de la ley.-</w:t>
      </w:r>
      <w:r>
        <w:rPr>
          <w:rFonts w:eastAsia="Times New Roman"/>
          <w:sz w:val="30"/>
          <w:szCs w:val="30"/>
          <w:lang w:val="es-ES"/>
        </w:rPr>
        <w:t xml:space="preserve"> (Sustituido y Reenumerado por el Art. 92 de la Ley s/n, R.O. 249-S, 20-V-2014).- Por su carácter de orgánica esta Ley prevalecerá sobre cualquier otra disposición que se le oponga.</w:t>
      </w:r>
      <w:r>
        <w:rPr>
          <w:rFonts w:eastAsia="Times New Roman"/>
          <w:sz w:val="30"/>
          <w:szCs w:val="30"/>
          <w:lang w:val="es-ES"/>
        </w:rPr>
        <w:br/>
      </w:r>
      <w:r>
        <w:rPr>
          <w:rFonts w:eastAsia="Times New Roman"/>
          <w:sz w:val="30"/>
          <w:szCs w:val="30"/>
          <w:lang w:val="es-ES"/>
        </w:rPr>
        <w:br/>
        <w:t>En lo no previs</w:t>
      </w:r>
      <w:r>
        <w:rPr>
          <w:rFonts w:eastAsia="Times New Roman"/>
          <w:sz w:val="30"/>
          <w:szCs w:val="30"/>
          <w:lang w:val="es-ES"/>
        </w:rPr>
        <w:t>to en esta Ley se estará a lo dispuesto en la Ley de Compañías, Ley General de Instituciones del Sistema Financiero, Código de Comercio, Código Civil, Código Orgánico de Planificación y Finanzas Públicas, Ley Orgánica de Regulación y Control del Poder de M</w:t>
      </w:r>
      <w:r>
        <w:rPr>
          <w:rFonts w:eastAsia="Times New Roman"/>
          <w:sz w:val="30"/>
          <w:szCs w:val="30"/>
          <w:lang w:val="es-ES"/>
        </w:rPr>
        <w:t xml:space="preserve">ercado, Ley para Reprimir el Lavado de Activos y Financiación del Terrorismo, Ley Orgánica de la Economía Popular y Solidaria y </w:t>
      </w:r>
      <w:r>
        <w:rPr>
          <w:rFonts w:eastAsia="Times New Roman"/>
          <w:sz w:val="30"/>
          <w:szCs w:val="30"/>
          <w:lang w:val="es-ES"/>
        </w:rPr>
        <w:lastRenderedPageBreak/>
        <w:t>del Sector Financiero Popular y Solidario, Ley Orgánica de Régimen Monetario y Banco del Estado y, las demás leyes que regulan l</w:t>
      </w:r>
      <w:r>
        <w:rPr>
          <w:rFonts w:eastAsia="Times New Roman"/>
          <w:sz w:val="30"/>
          <w:szCs w:val="30"/>
          <w:lang w:val="es-ES"/>
        </w:rPr>
        <w:t>as actividades de entes y partícipes del mercado de valores.</w:t>
      </w:r>
    </w:p>
    <w:p w:rsidR="00000000" w:rsidRDefault="0018461E">
      <w:pPr>
        <w:divId w:val="294027241"/>
        <w:rPr>
          <w:rFonts w:eastAsia="Times New Roman"/>
          <w:sz w:val="30"/>
          <w:szCs w:val="30"/>
          <w:lang w:val="es-ES"/>
        </w:rPr>
      </w:pPr>
      <w:r>
        <w:rPr>
          <w:rFonts w:eastAsia="Times New Roman"/>
          <w:sz w:val="30"/>
          <w:szCs w:val="30"/>
          <w:lang w:val="es-ES"/>
        </w:rPr>
        <w:t xml:space="preserve">Décimo quinta.- </w:t>
      </w:r>
      <w:r>
        <w:rPr>
          <w:rFonts w:eastAsia="Times New Roman"/>
          <w:b/>
          <w:bCs/>
          <w:sz w:val="30"/>
          <w:szCs w:val="30"/>
          <w:lang w:val="es-ES"/>
        </w:rPr>
        <w:t>Del Fideicomiso con participación del sector Público.-</w:t>
      </w:r>
      <w:r>
        <w:rPr>
          <w:rFonts w:eastAsia="Times New Roman"/>
          <w:sz w:val="30"/>
          <w:szCs w:val="30"/>
          <w:lang w:val="es-ES"/>
        </w:rPr>
        <w:t xml:space="preserve"> (Agregada por el Art. 93 de la Ley s/n, R.O. 249-S, 20-V-2014; y, reformado por la Disposición Reformatoria Décima Séptima, </w:t>
      </w:r>
      <w:r>
        <w:rPr>
          <w:rFonts w:eastAsia="Times New Roman"/>
          <w:sz w:val="30"/>
          <w:szCs w:val="30"/>
          <w:lang w:val="es-ES"/>
        </w:rPr>
        <w:t xml:space="preserve">num. 2 del Código Orgánico Monetario y Financiero; R.O. 332-2S, 12-IX-2014).- La Junta de Política y Regulación Monetaria y Financiera mediante disposición de carácter general normará el funcionamiento de los fideicomisos y los requisitos de los mismos en </w:t>
      </w:r>
      <w:r>
        <w:rPr>
          <w:rFonts w:eastAsia="Times New Roman"/>
          <w:sz w:val="30"/>
          <w:szCs w:val="30"/>
          <w:lang w:val="es-ES"/>
        </w:rPr>
        <w:t>los que participe el sector público.</w:t>
      </w:r>
    </w:p>
    <w:p w:rsidR="00000000" w:rsidRDefault="0018461E">
      <w:pPr>
        <w:divId w:val="1082992255"/>
        <w:rPr>
          <w:rFonts w:eastAsia="Times New Roman"/>
          <w:sz w:val="30"/>
          <w:szCs w:val="30"/>
          <w:lang w:val="es-ES"/>
        </w:rPr>
      </w:pPr>
      <w:r>
        <w:rPr>
          <w:rFonts w:eastAsia="Times New Roman"/>
          <w:sz w:val="30"/>
          <w:szCs w:val="30"/>
          <w:lang w:val="es-ES"/>
        </w:rPr>
        <w:t xml:space="preserve">Décima Sexta.- </w:t>
      </w:r>
      <w:r>
        <w:rPr>
          <w:rFonts w:eastAsia="Times New Roman"/>
          <w:b/>
          <w:bCs/>
          <w:sz w:val="30"/>
          <w:szCs w:val="30"/>
          <w:lang w:val="es-ES"/>
        </w:rPr>
        <w:t xml:space="preserve">Equivalencia funcional de los comprobantes electrónicos de venta.- </w:t>
      </w:r>
      <w:r>
        <w:rPr>
          <w:rFonts w:eastAsia="Times New Roman"/>
          <w:sz w:val="30"/>
          <w:szCs w:val="30"/>
          <w:lang w:val="es-ES"/>
        </w:rPr>
        <w:t>(Agregada por el Art. 93 de la Ley s/n, R.O. 249-S, 20-V-2014; y, reformado por la Disposición Reformatoria Décima Séptima, num. 2 del Có</w:t>
      </w:r>
      <w:r>
        <w:rPr>
          <w:rFonts w:eastAsia="Times New Roman"/>
          <w:sz w:val="30"/>
          <w:szCs w:val="30"/>
          <w:lang w:val="es-ES"/>
        </w:rPr>
        <w:t>digo Orgánico Monetario y Financiero; R.O. 332-2S, 12-IX-2014).- Los comprobantes electrónicos de venta emitidos en la forma autorizada por el Servicio de Rentas Internas, serán considerados como facturas comerciales. A efectos de que los referidos comprob</w:t>
      </w:r>
      <w:r>
        <w:rPr>
          <w:rFonts w:eastAsia="Times New Roman"/>
          <w:sz w:val="30"/>
          <w:szCs w:val="30"/>
          <w:lang w:val="es-ES"/>
        </w:rPr>
        <w:t>antes puedan ser negociados en el mercado de valores, deberán cumplir con los requisitos establecidos por la Junta de Política y Regulación Monetaria y Financiera, para el efecto.</w:t>
      </w:r>
    </w:p>
    <w:p w:rsidR="00000000" w:rsidRDefault="0018461E">
      <w:pPr>
        <w:divId w:val="1937596330"/>
        <w:rPr>
          <w:rFonts w:eastAsia="Times New Roman"/>
          <w:sz w:val="30"/>
          <w:szCs w:val="30"/>
          <w:lang w:val="es-ES"/>
        </w:rPr>
      </w:pPr>
      <w:r>
        <w:rPr>
          <w:rFonts w:eastAsia="Times New Roman"/>
          <w:sz w:val="30"/>
          <w:szCs w:val="30"/>
          <w:lang w:val="es-ES"/>
        </w:rPr>
        <w:t>Décima Séptima.-</w:t>
      </w:r>
      <w:r>
        <w:rPr>
          <w:rFonts w:eastAsia="Times New Roman"/>
          <w:b/>
          <w:bCs/>
          <w:sz w:val="30"/>
          <w:szCs w:val="30"/>
          <w:lang w:val="es-ES"/>
        </w:rPr>
        <w:t xml:space="preserve"> Prohibición para los participantes en fideicomisos mercanti</w:t>
      </w:r>
      <w:r>
        <w:rPr>
          <w:rFonts w:eastAsia="Times New Roman"/>
          <w:b/>
          <w:bCs/>
          <w:sz w:val="30"/>
          <w:szCs w:val="30"/>
          <w:lang w:val="es-ES"/>
        </w:rPr>
        <w:t xml:space="preserve">les.- </w:t>
      </w:r>
      <w:r>
        <w:rPr>
          <w:rFonts w:eastAsia="Times New Roman"/>
          <w:sz w:val="30"/>
          <w:szCs w:val="30"/>
          <w:lang w:val="es-ES"/>
        </w:rPr>
        <w:t>(Agregada por el Art. 93 de la Ley s/n, R.O. 249-S, 20-V-2014).- En ningún caso los participantes en un fideicomiso mercantil podrán realizar a través uno o varios fideicomisos mercantiles actos o contratos que directamente estén impedidos de realiza</w:t>
      </w:r>
      <w:r>
        <w:rPr>
          <w:rFonts w:eastAsia="Times New Roman"/>
          <w:sz w:val="30"/>
          <w:szCs w:val="30"/>
          <w:lang w:val="es-ES"/>
        </w:rPr>
        <w:t>r por sí mismos, ni podrán trasladar al fideicomiso mercantil las potestades que les son propias.</w:t>
      </w:r>
    </w:p>
    <w:p w:rsidR="00000000" w:rsidRDefault="0018461E">
      <w:pPr>
        <w:divId w:val="494760013"/>
        <w:rPr>
          <w:rFonts w:eastAsia="Times New Roman"/>
          <w:sz w:val="30"/>
          <w:szCs w:val="30"/>
          <w:lang w:val="es-ES"/>
        </w:rPr>
      </w:pPr>
      <w:r>
        <w:rPr>
          <w:rFonts w:eastAsia="Times New Roman"/>
          <w:sz w:val="30"/>
          <w:szCs w:val="30"/>
          <w:lang w:val="es-ES"/>
        </w:rPr>
        <w:t xml:space="preserve">Décima Octava.- </w:t>
      </w:r>
      <w:r>
        <w:rPr>
          <w:rFonts w:eastAsia="Times New Roman"/>
          <w:b/>
          <w:bCs/>
          <w:sz w:val="30"/>
          <w:szCs w:val="30"/>
          <w:lang w:val="es-ES"/>
        </w:rPr>
        <w:t>De la Bolsa Pública.-</w:t>
      </w:r>
      <w:r>
        <w:rPr>
          <w:rFonts w:eastAsia="Times New Roman"/>
          <w:sz w:val="30"/>
          <w:szCs w:val="30"/>
          <w:lang w:val="es-ES"/>
        </w:rPr>
        <w:t xml:space="preserve"> (Agregada por el Art. 93 de la Ley s/n, R.O. 249-S, 20-V-2014; y, reformado por la Disposición Reformatoria Décima Sépti</w:t>
      </w:r>
      <w:r>
        <w:rPr>
          <w:rFonts w:eastAsia="Times New Roman"/>
          <w:sz w:val="30"/>
          <w:szCs w:val="30"/>
          <w:lang w:val="es-ES"/>
        </w:rPr>
        <w:t>ma, num. 2 del Código Orgánico Monetario y Financiero; R.O. 332-2S, 12-IX-2014).- En caso que las Bolsas de Valores del país no cumplan con las facultades otorgadas por esta ley, será potestad de la Junta de Política y Regulación Monetaria y Financiera dis</w:t>
      </w:r>
      <w:r>
        <w:rPr>
          <w:rFonts w:eastAsia="Times New Roman"/>
          <w:sz w:val="30"/>
          <w:szCs w:val="30"/>
          <w:lang w:val="es-ES"/>
        </w:rPr>
        <w:t>poner la creación de una Bolsa de Valores Pública con el fin de satisfacer las necesidades generales o particulares que se presenten en el mercado de valores.</w:t>
      </w:r>
      <w:r>
        <w:rPr>
          <w:rFonts w:eastAsia="Times New Roman"/>
          <w:sz w:val="30"/>
          <w:szCs w:val="30"/>
          <w:lang w:val="es-ES"/>
        </w:rPr>
        <w:br/>
      </w:r>
      <w:r>
        <w:rPr>
          <w:rFonts w:eastAsia="Times New Roman"/>
          <w:sz w:val="30"/>
          <w:szCs w:val="30"/>
          <w:lang w:val="es-ES"/>
        </w:rPr>
        <w:br/>
        <w:t xml:space="preserve">En caso de ser creada, esta bolsa se constituirá como una persona </w:t>
      </w:r>
      <w:r>
        <w:rPr>
          <w:rFonts w:eastAsia="Times New Roman"/>
          <w:sz w:val="30"/>
          <w:szCs w:val="30"/>
          <w:lang w:val="es-ES"/>
        </w:rPr>
        <w:lastRenderedPageBreak/>
        <w:t>jurídica de derecho público co</w:t>
      </w:r>
      <w:r>
        <w:rPr>
          <w:rFonts w:eastAsia="Times New Roman"/>
          <w:sz w:val="30"/>
          <w:szCs w:val="30"/>
          <w:lang w:val="es-ES"/>
        </w:rPr>
        <w:t>n autonomía administrativa adscrita al ministerio encargado de las finanzas.</w:t>
      </w:r>
      <w:r>
        <w:rPr>
          <w:rFonts w:eastAsia="Times New Roman"/>
          <w:sz w:val="30"/>
          <w:szCs w:val="30"/>
          <w:lang w:val="es-ES"/>
        </w:rPr>
        <w:br/>
      </w:r>
      <w:r>
        <w:rPr>
          <w:rFonts w:eastAsia="Times New Roman"/>
          <w:sz w:val="30"/>
          <w:szCs w:val="30"/>
          <w:lang w:val="es-ES"/>
        </w:rPr>
        <w:br/>
        <w:t>Su funcionamiento, atribuciones y estructura lo establecerá la Junta de Política y Regulación Monetaria y Financiera mediante disposición de carácter general.</w:t>
      </w:r>
    </w:p>
    <w:p w:rsidR="00000000" w:rsidRDefault="0018461E">
      <w:pPr>
        <w:divId w:val="1431585002"/>
        <w:rPr>
          <w:rFonts w:eastAsia="Times New Roman"/>
          <w:sz w:val="30"/>
          <w:szCs w:val="30"/>
          <w:lang w:val="es-ES"/>
        </w:rPr>
      </w:pPr>
      <w:r>
        <w:rPr>
          <w:rFonts w:eastAsia="Times New Roman"/>
          <w:sz w:val="30"/>
          <w:szCs w:val="30"/>
          <w:lang w:val="es-ES"/>
        </w:rPr>
        <w:t xml:space="preserve">Décima Novena- </w:t>
      </w:r>
      <w:r>
        <w:rPr>
          <w:rFonts w:eastAsia="Times New Roman"/>
          <w:b/>
          <w:bCs/>
          <w:sz w:val="30"/>
          <w:szCs w:val="30"/>
          <w:lang w:val="es-ES"/>
        </w:rPr>
        <w:t xml:space="preserve">Sustitución de denominaciones.- </w:t>
      </w:r>
      <w:r>
        <w:rPr>
          <w:rFonts w:eastAsia="Times New Roman"/>
          <w:sz w:val="30"/>
          <w:szCs w:val="30"/>
          <w:lang w:val="es-ES"/>
        </w:rPr>
        <w:t>(Agregada por el Art. 93 de la Ley s/n, R.O. 249-S, 20-V-2014; y, reformado por la Disposición Reformatoria Décima Séptima, num. 3 del Código Orgánico Monetario y Financiero; R.O. 332-2S, 12-IX-2014).- Sustitúyase en todas l</w:t>
      </w:r>
      <w:r>
        <w:rPr>
          <w:rFonts w:eastAsia="Times New Roman"/>
          <w:sz w:val="30"/>
          <w:szCs w:val="30"/>
          <w:lang w:val="es-ES"/>
        </w:rPr>
        <w:t>as normas vigentes la denominación Consejo Nacional de Valores o C.N.V. por Junta de Regulación del Mercado de Valores o JUNTA DE REGULACIÓN DEL MERCADO DE VALORES de la misma manera en todas las normas vigentes sustitúyase la denominación Superintendencia</w:t>
      </w:r>
      <w:r>
        <w:rPr>
          <w:rFonts w:eastAsia="Times New Roman"/>
          <w:sz w:val="30"/>
          <w:szCs w:val="30"/>
          <w:lang w:val="es-ES"/>
        </w:rPr>
        <w:t xml:space="preserve"> de Compañías por Superintendencia de Compañías Valores y Seguros, sin que se modifique su naturaleza ni funciones.</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b/>
          <w:bCs/>
          <w:sz w:val="30"/>
          <w:szCs w:val="30"/>
          <w:lang w:val="es-ES"/>
        </w:rPr>
        <w:br/>
      </w:r>
      <w:r>
        <w:rPr>
          <w:rFonts w:eastAsia="Times New Roman"/>
          <w:i/>
          <w:iCs/>
          <w:sz w:val="30"/>
          <w:szCs w:val="30"/>
          <w:lang w:val="es-ES"/>
        </w:rPr>
        <w:t>La</w:t>
      </w:r>
      <w:r>
        <w:rPr>
          <w:rFonts w:eastAsia="Times New Roman"/>
          <w:b/>
          <w:bCs/>
          <w:i/>
          <w:iCs/>
          <w:sz w:val="30"/>
          <w:szCs w:val="30"/>
          <w:lang w:val="es-ES"/>
        </w:rPr>
        <w:t xml:space="preserve"> </w:t>
      </w:r>
      <w:r>
        <w:rPr>
          <w:rFonts w:eastAsia="Times New Roman"/>
          <w:i/>
          <w:iCs/>
          <w:sz w:val="30"/>
          <w:szCs w:val="30"/>
          <w:lang w:val="es-ES"/>
        </w:rPr>
        <w:t>Disposición Reformatoria Décima Séptima, num. 2 del Código Orgánico Monetario y Financiero; R.O. 332-2S, 12-IX-2014 sustituyo en t</w:t>
      </w:r>
      <w:r>
        <w:rPr>
          <w:rFonts w:eastAsia="Times New Roman"/>
          <w:i/>
          <w:iCs/>
          <w:sz w:val="30"/>
          <w:szCs w:val="30"/>
          <w:lang w:val="es-ES"/>
        </w:rPr>
        <w:t>odo el texto la denominación "Junta de Regulación del Mercado de Valores" por "Junta de Política y Regulación Monetaria y Financiera".</w:t>
      </w:r>
    </w:p>
    <w:p w:rsidR="00000000" w:rsidRDefault="0018461E">
      <w:pPr>
        <w:divId w:val="2070490134"/>
        <w:rPr>
          <w:rFonts w:eastAsia="Times New Roman"/>
          <w:sz w:val="30"/>
          <w:szCs w:val="30"/>
          <w:lang w:val="es-ES"/>
        </w:rPr>
      </w:pPr>
      <w:r>
        <w:rPr>
          <w:rFonts w:eastAsia="Times New Roman"/>
          <w:sz w:val="30"/>
          <w:szCs w:val="30"/>
          <w:lang w:val="es-ES"/>
        </w:rPr>
        <w:t xml:space="preserve">Vigésima.- </w:t>
      </w:r>
      <w:r>
        <w:rPr>
          <w:rFonts w:eastAsia="Times New Roman"/>
          <w:b/>
          <w:bCs/>
          <w:sz w:val="30"/>
          <w:szCs w:val="30"/>
          <w:lang w:val="es-ES"/>
        </w:rPr>
        <w:t xml:space="preserve">Del cobro por cesión de derechos.- </w:t>
      </w:r>
      <w:r>
        <w:rPr>
          <w:rFonts w:eastAsia="Times New Roman"/>
          <w:sz w:val="30"/>
          <w:szCs w:val="30"/>
          <w:lang w:val="es-ES"/>
        </w:rPr>
        <w:t>(Agregada por el Art. 93 de la Ley s/n, R.O. 249-S, 20-V-2014).- En el caso</w:t>
      </w:r>
      <w:r>
        <w:rPr>
          <w:rFonts w:eastAsia="Times New Roman"/>
          <w:sz w:val="30"/>
          <w:szCs w:val="30"/>
          <w:lang w:val="es-ES"/>
        </w:rPr>
        <w:t xml:space="preserve"> de anotación marginal de la cesión de hipotecas o de cualquier otra garantía real que asegure un derecho o crédito, los correspondientes registros, estén o no a cargo de los distintos Municipios, y sus correspondientes registradores, no podrán cobrar en c</w:t>
      </w:r>
      <w:r>
        <w:rPr>
          <w:rFonts w:eastAsia="Times New Roman"/>
          <w:sz w:val="30"/>
          <w:szCs w:val="30"/>
          <w:lang w:val="es-ES"/>
        </w:rPr>
        <w:t>oncepto de aranceles, derechos, tasas o tarifas, incluyendo cualquier tipo de costo adicional por gastos generales, más del 0.5% de una remuneración básica unificada y, cuando se trate de varias anotaciones marginales derivadas de cesiones de más de un cré</w:t>
      </w:r>
      <w:r>
        <w:rPr>
          <w:rFonts w:eastAsia="Times New Roman"/>
          <w:sz w:val="30"/>
          <w:szCs w:val="30"/>
          <w:lang w:val="es-ES"/>
        </w:rPr>
        <w:t>dito celebradas en una misma fecha entre el mismo cedente y el mismo cesionario, los correspondientes registros, estén o no a cargo de los distintos Municipios, y sus correspondientes registradores, no podrán cobrar en concepto de aranceles, derechos, tasa</w:t>
      </w:r>
      <w:r>
        <w:rPr>
          <w:rFonts w:eastAsia="Times New Roman"/>
          <w:sz w:val="30"/>
          <w:szCs w:val="30"/>
          <w:lang w:val="es-ES"/>
        </w:rPr>
        <w:t>s o tarifas, incluyendo cualquier tipo de costo adicional por gastos generales, más de 20 remuneraciones básicas unificadas.</w:t>
      </w:r>
    </w:p>
    <w:p w:rsidR="00000000" w:rsidRDefault="0018461E">
      <w:pPr>
        <w:divId w:val="1257209723"/>
        <w:rPr>
          <w:rFonts w:eastAsia="Times New Roman"/>
          <w:sz w:val="30"/>
          <w:szCs w:val="30"/>
          <w:lang w:val="es-ES"/>
        </w:rPr>
      </w:pPr>
      <w:r>
        <w:rPr>
          <w:rFonts w:eastAsia="Times New Roman"/>
          <w:b/>
          <w:bCs/>
          <w:sz w:val="30"/>
          <w:szCs w:val="30"/>
          <w:lang w:val="es-ES"/>
        </w:rPr>
        <w:lastRenderedPageBreak/>
        <w:t>Vigésima Primera.-</w:t>
      </w:r>
      <w:r>
        <w:rPr>
          <w:rFonts w:eastAsia="Times New Roman"/>
          <w:sz w:val="30"/>
          <w:szCs w:val="30"/>
          <w:lang w:val="es-ES"/>
        </w:rPr>
        <w:t xml:space="preserve"> (Agregada por el Art. 93 de la Ley s/n, R.O. 249-S, 20-V-2014; y, reformado por la Disposición Reformatoria Déci</w:t>
      </w:r>
      <w:r>
        <w:rPr>
          <w:rFonts w:eastAsia="Times New Roman"/>
          <w:sz w:val="30"/>
          <w:szCs w:val="30"/>
          <w:lang w:val="es-ES"/>
        </w:rPr>
        <w:t>ma Séptima, num. 3 del Código Orgánico Monetario y Financiero; R.O. 332-2S, 12-IX-2014) ).-La Superintendencia de Compañías Valores y Seguros semestralmente hará una evaluación a las calificadoras de riesgo, la cual se publicará en la página web institucio</w:t>
      </w:r>
      <w:r>
        <w:rPr>
          <w:rFonts w:eastAsia="Times New Roman"/>
          <w:sz w:val="30"/>
          <w:szCs w:val="30"/>
          <w:lang w:val="es-ES"/>
        </w:rPr>
        <w:t>nal.</w:t>
      </w:r>
      <w:r>
        <w:rPr>
          <w:rFonts w:eastAsia="Times New Roman"/>
          <w:sz w:val="30"/>
          <w:szCs w:val="30"/>
          <w:lang w:val="es-ES"/>
        </w:rPr>
        <w:br/>
      </w:r>
      <w:r>
        <w:rPr>
          <w:rFonts w:eastAsia="Times New Roman"/>
          <w:sz w:val="30"/>
          <w:szCs w:val="30"/>
          <w:lang w:val="es-ES"/>
        </w:rPr>
        <w:br/>
        <w:t>Siempre que existan dos calificaciones de riesgo con una significante variación respecto de una misma emisión, la Superintendencia de Compañías Valores y Seguros tendrá la obligación de auditar ambas calificaciones.</w:t>
      </w:r>
    </w:p>
    <w:p w:rsidR="00000000" w:rsidRDefault="0018461E">
      <w:pPr>
        <w:jc w:val="center"/>
        <w:rPr>
          <w:rFonts w:eastAsia="Times New Roman"/>
          <w:sz w:val="36"/>
          <w:szCs w:val="36"/>
          <w:lang w:val="es-ES"/>
        </w:rPr>
      </w:pPr>
      <w:r>
        <w:rPr>
          <w:rFonts w:eastAsia="Times New Roman"/>
          <w:b/>
          <w:bCs/>
          <w:sz w:val="36"/>
          <w:szCs w:val="36"/>
          <w:lang w:val="es-ES"/>
        </w:rPr>
        <w:br/>
        <w:t>Título XXV</w:t>
      </w:r>
      <w:r>
        <w:rPr>
          <w:rFonts w:eastAsia="Times New Roman"/>
          <w:b/>
          <w:bCs/>
          <w:sz w:val="36"/>
          <w:szCs w:val="36"/>
          <w:lang w:val="es-ES"/>
        </w:rPr>
        <w:br/>
        <w:t>DISPOSICIONES TRANSITO</w:t>
      </w:r>
      <w:r>
        <w:rPr>
          <w:rFonts w:eastAsia="Times New Roman"/>
          <w:b/>
          <w:bCs/>
          <w:sz w:val="36"/>
          <w:szCs w:val="36"/>
          <w:lang w:val="es-ES"/>
        </w:rPr>
        <w:t>RIAS</w:t>
      </w:r>
    </w:p>
    <w:p w:rsidR="00000000" w:rsidRDefault="0018461E">
      <w:pPr>
        <w:divId w:val="1055590546"/>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(Reformado por la Disposición Reformatoria Décima Séptima, num. 1 del Código Orgánico Monetario y Financiero; R.O. 332-2S, 12-IX-2014).- Se establece la obligatoriedad de que, los valores que se encuentren inscritos en el Catastro Público de</w:t>
      </w:r>
      <w:r>
        <w:rPr>
          <w:rFonts w:eastAsia="Times New Roman"/>
          <w:sz w:val="30"/>
          <w:szCs w:val="30"/>
          <w:lang w:val="es-ES"/>
        </w:rPr>
        <w:t>l Mercado de Valores deban ser depositados en un depósito centralizado de compensación y liquidación de valores por un período no inferior a dos años a partir de su autorización de funcionamiento.</w:t>
      </w:r>
    </w:p>
    <w:p w:rsidR="00000000" w:rsidRDefault="0018461E">
      <w:pPr>
        <w:divId w:val="1639727550"/>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(Reformado por la Disposición Reformatoria Décima</w:t>
      </w:r>
      <w:r>
        <w:rPr>
          <w:rFonts w:eastAsia="Times New Roman"/>
          <w:sz w:val="30"/>
          <w:szCs w:val="30"/>
          <w:lang w:val="es-ES"/>
        </w:rPr>
        <w:t xml:space="preserve"> Séptima, num. 1 del Código Orgánico Monetario y Financiero; R.O. 332-2S, 12-IX-2014).- Los ingresos obtenidos por auditoría externa que provengan de un mismo cliente o empresas vinculadas al que pertenezca éste, no podrán exceder al 20% de los ingresos an</w:t>
      </w:r>
      <w:r>
        <w:rPr>
          <w:rFonts w:eastAsia="Times New Roman"/>
          <w:sz w:val="30"/>
          <w:szCs w:val="30"/>
          <w:lang w:val="es-ES"/>
        </w:rPr>
        <w:t>uales de la firma auditora, desde el segundo año de inscrita en el Catastro Público del Mercado de Valores.</w:t>
      </w:r>
      <w:r>
        <w:rPr>
          <w:rFonts w:eastAsia="Times New Roman"/>
          <w:sz w:val="30"/>
          <w:szCs w:val="30"/>
          <w:lang w:val="es-ES"/>
        </w:rPr>
        <w:br/>
      </w:r>
      <w:r>
        <w:rPr>
          <w:rFonts w:eastAsia="Times New Roman"/>
          <w:sz w:val="30"/>
          <w:szCs w:val="30"/>
          <w:lang w:val="es-ES"/>
        </w:rPr>
        <w:br/>
        <w:t>De igual manera los ingresos obtenidos por calificación de riesgo que provengan de un mismo cliente no podrán exceder al 25% de los ingresos anuale</w:t>
      </w:r>
      <w:r>
        <w:rPr>
          <w:rFonts w:eastAsia="Times New Roman"/>
          <w:sz w:val="30"/>
          <w:szCs w:val="30"/>
          <w:lang w:val="es-ES"/>
        </w:rPr>
        <w:t>s de la sociedad calificadora luego de que hayan transcurrido dos años de la vigencia de la presente Ley.</w:t>
      </w:r>
    </w:p>
    <w:p w:rsidR="00000000" w:rsidRDefault="0018461E">
      <w:pPr>
        <w:jc w:val="center"/>
        <w:rPr>
          <w:rFonts w:eastAsia="Times New Roman"/>
          <w:sz w:val="36"/>
          <w:szCs w:val="36"/>
          <w:lang w:val="es-ES"/>
        </w:rPr>
      </w:pPr>
      <w:r>
        <w:rPr>
          <w:rFonts w:eastAsia="Times New Roman"/>
          <w:b/>
          <w:bCs/>
          <w:sz w:val="36"/>
          <w:szCs w:val="36"/>
          <w:lang w:val="es-ES"/>
        </w:rPr>
        <w:br/>
        <w:t>Título XXVI</w:t>
      </w:r>
      <w:r>
        <w:rPr>
          <w:rFonts w:eastAsia="Times New Roman"/>
          <w:b/>
          <w:bCs/>
          <w:sz w:val="36"/>
          <w:szCs w:val="36"/>
          <w:lang w:val="es-ES"/>
        </w:rPr>
        <w:br/>
        <w:t>DISPOSICIÓN FINAL</w:t>
      </w:r>
    </w:p>
    <w:p w:rsidR="00000000" w:rsidRDefault="0018461E">
      <w:pPr>
        <w:divId w:val="662973858"/>
        <w:rPr>
          <w:rFonts w:eastAsia="Times New Roman"/>
          <w:sz w:val="30"/>
          <w:szCs w:val="30"/>
          <w:lang w:val="es-ES"/>
        </w:rPr>
      </w:pPr>
      <w:r>
        <w:rPr>
          <w:rFonts w:eastAsia="Times New Roman"/>
          <w:sz w:val="30"/>
          <w:szCs w:val="30"/>
          <w:lang w:val="es-ES"/>
        </w:rPr>
        <w:t>En la codificación no se incluyen los artículos 237, 238 y 239 de la Ley vigente, cuyas disposiciones reforman y deroga</w:t>
      </w:r>
      <w:r>
        <w:rPr>
          <w:rFonts w:eastAsia="Times New Roman"/>
          <w:sz w:val="30"/>
          <w:szCs w:val="30"/>
          <w:lang w:val="es-ES"/>
        </w:rPr>
        <w:t xml:space="preserve">n varias leyes, al haber cumplido su finalidad. Las referidas derogatorias y reformas, </w:t>
      </w:r>
      <w:r>
        <w:rPr>
          <w:rFonts w:eastAsia="Times New Roman"/>
          <w:sz w:val="30"/>
          <w:szCs w:val="30"/>
          <w:lang w:val="es-ES"/>
        </w:rPr>
        <w:lastRenderedPageBreak/>
        <w:t>constan en el Registro Oficial No. 367, de 23 de julio de 1998.</w:t>
      </w:r>
      <w:r>
        <w:rPr>
          <w:rFonts w:eastAsia="Times New Roman"/>
          <w:sz w:val="30"/>
          <w:szCs w:val="30"/>
          <w:lang w:val="es-ES"/>
        </w:rPr>
        <w:br/>
      </w:r>
      <w:r>
        <w:rPr>
          <w:rFonts w:eastAsia="Times New Roman"/>
          <w:sz w:val="30"/>
          <w:szCs w:val="30"/>
          <w:lang w:val="es-ES"/>
        </w:rPr>
        <w:br/>
        <w:t>Las disposiciones de esta Ley, sus reformas y derogatorias, están en vigencia desde las fechas de las co</w:t>
      </w:r>
      <w:r>
        <w:rPr>
          <w:rFonts w:eastAsia="Times New Roman"/>
          <w:sz w:val="30"/>
          <w:szCs w:val="30"/>
          <w:lang w:val="es-ES"/>
        </w:rPr>
        <w:t>rrespondientes publicaciones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Esta Codificación fue elaborada por la Comisión de Legislación y Codificación, de acuerdo con lo dispuesto en el número 2 del Art. 139 (120, num. 6) de la Consti</w:t>
      </w:r>
      <w:r>
        <w:rPr>
          <w:rFonts w:eastAsia="Times New Roman"/>
          <w:sz w:val="30"/>
          <w:szCs w:val="30"/>
          <w:lang w:val="es-ES"/>
        </w:rPr>
        <w:t>tución Política de la República.</w:t>
      </w:r>
      <w:r>
        <w:rPr>
          <w:rFonts w:eastAsia="Times New Roman"/>
          <w:sz w:val="30"/>
          <w:szCs w:val="30"/>
          <w:lang w:val="es-ES"/>
        </w:rPr>
        <w:br/>
      </w:r>
      <w:r>
        <w:rPr>
          <w:rFonts w:eastAsia="Times New Roman"/>
          <w:sz w:val="30"/>
          <w:szCs w:val="30"/>
          <w:lang w:val="es-ES"/>
        </w:rPr>
        <w:br/>
        <w:t xml:space="preserve">Cumplidos los presupuestos del Art. 160 de la Constitución Política de la República, publíquese en el Registro Oficial. </w:t>
      </w:r>
      <w:r>
        <w:rPr>
          <w:rFonts w:eastAsia="Times New Roman"/>
          <w:sz w:val="30"/>
          <w:szCs w:val="30"/>
          <w:lang w:val="es-ES"/>
        </w:rPr>
        <w:br/>
      </w:r>
      <w:r>
        <w:rPr>
          <w:rFonts w:eastAsia="Times New Roman"/>
          <w:sz w:val="30"/>
          <w:szCs w:val="30"/>
          <w:lang w:val="es-ES"/>
        </w:rPr>
        <w:br/>
        <w:t>Quito, 24 de enero de 2006.</w:t>
      </w:r>
    </w:p>
    <w:p w:rsidR="00000000" w:rsidRDefault="0018461E">
      <w:pPr>
        <w:jc w:val="center"/>
        <w:rPr>
          <w:rFonts w:eastAsia="Times New Roman"/>
          <w:sz w:val="36"/>
          <w:szCs w:val="36"/>
          <w:lang w:val="es-ES"/>
        </w:rPr>
      </w:pPr>
      <w:r>
        <w:rPr>
          <w:rFonts w:eastAsia="Times New Roman"/>
          <w:b/>
          <w:bCs/>
          <w:sz w:val="36"/>
          <w:szCs w:val="36"/>
          <w:lang w:val="es-ES"/>
        </w:rPr>
        <w:br/>
        <w:t>DISPOSICIONES EN LEYES REFORMATORIAS</w:t>
      </w:r>
    </w:p>
    <w:p w:rsidR="00000000" w:rsidRDefault="0018461E">
      <w:pPr>
        <w:jc w:val="center"/>
        <w:rPr>
          <w:rFonts w:eastAsia="Times New Roman"/>
          <w:sz w:val="36"/>
          <w:szCs w:val="36"/>
          <w:lang w:val="es-ES"/>
        </w:rPr>
      </w:pPr>
      <w:r>
        <w:rPr>
          <w:rFonts w:eastAsia="Times New Roman"/>
          <w:b/>
          <w:bCs/>
          <w:sz w:val="36"/>
          <w:szCs w:val="36"/>
          <w:lang w:val="es-ES"/>
        </w:rPr>
        <w:br/>
        <w:t xml:space="preserve">LEY S/N </w:t>
      </w:r>
      <w:r>
        <w:rPr>
          <w:rFonts w:eastAsia="Times New Roman"/>
          <w:b/>
          <w:bCs/>
          <w:sz w:val="36"/>
          <w:szCs w:val="36"/>
          <w:lang w:val="es-ES"/>
        </w:rPr>
        <w:br/>
        <w:t>(R.O. 249-S, 20-V-2014)</w:t>
      </w:r>
    </w:p>
    <w:p w:rsidR="00000000" w:rsidRDefault="0018461E">
      <w:pPr>
        <w:divId w:val="714934521"/>
        <w:rPr>
          <w:rFonts w:eastAsia="Times New Roman"/>
          <w:sz w:val="30"/>
          <w:szCs w:val="30"/>
          <w:lang w:val="es-ES"/>
        </w:rPr>
      </w:pPr>
      <w:r>
        <w:rPr>
          <w:rFonts w:eastAsia="Times New Roman"/>
          <w:b/>
          <w:bCs/>
          <w:sz w:val="30"/>
          <w:szCs w:val="30"/>
          <w:lang w:val="es-ES"/>
        </w:rPr>
        <w:t xml:space="preserve">DISPOSICIÓN TRANSITORIA PRIMERA.- </w:t>
      </w:r>
      <w:r>
        <w:rPr>
          <w:rFonts w:eastAsia="Times New Roman"/>
          <w:sz w:val="30"/>
          <w:szCs w:val="30"/>
          <w:lang w:val="es-ES"/>
        </w:rPr>
        <w:t>(Reformado por la Disposición Reformatoria Décima Séptima, num. 2 del Código Orgánico Monetario y Financiero; R.O. 332-2S, 12-IX-2014).-</w:t>
      </w:r>
      <w:r>
        <w:rPr>
          <w:rFonts w:eastAsia="Times New Roman"/>
          <w:b/>
          <w:bCs/>
          <w:sz w:val="30"/>
          <w:szCs w:val="30"/>
          <w:lang w:val="es-ES"/>
        </w:rPr>
        <w:t xml:space="preserve"> </w:t>
      </w:r>
      <w:r>
        <w:rPr>
          <w:rFonts w:eastAsia="Times New Roman"/>
          <w:sz w:val="30"/>
          <w:szCs w:val="30"/>
          <w:lang w:val="es-ES"/>
        </w:rPr>
        <w:t>La Junta de Política y Regulación Monetaria y Financiera se integrará dentro de los t</w:t>
      </w:r>
      <w:r>
        <w:rPr>
          <w:rFonts w:eastAsia="Times New Roman"/>
          <w:sz w:val="30"/>
          <w:szCs w:val="30"/>
          <w:lang w:val="es-ES"/>
        </w:rPr>
        <w:t xml:space="preserve">reinta días siguientes a la publicación de esta Ley en el Registro Oficial. Las Resoluciones expedidas por el Consejo Nacional de Valores y sus reformas serán de aplicación obligatoria por los participantes del Mercado de Valores, en lo que no se oponga a </w:t>
      </w:r>
      <w:r>
        <w:rPr>
          <w:rFonts w:eastAsia="Times New Roman"/>
          <w:sz w:val="30"/>
          <w:szCs w:val="30"/>
          <w:lang w:val="es-ES"/>
        </w:rPr>
        <w:t>esta Ley.</w:t>
      </w:r>
    </w:p>
    <w:p w:rsidR="00000000" w:rsidRDefault="0018461E">
      <w:pPr>
        <w:divId w:val="1387334408"/>
        <w:rPr>
          <w:rFonts w:eastAsia="Times New Roman"/>
          <w:sz w:val="30"/>
          <w:szCs w:val="30"/>
          <w:lang w:val="es-ES"/>
        </w:rPr>
      </w:pPr>
      <w:r>
        <w:rPr>
          <w:rFonts w:eastAsia="Times New Roman"/>
          <w:b/>
          <w:bCs/>
          <w:sz w:val="30"/>
          <w:szCs w:val="30"/>
          <w:lang w:val="es-ES"/>
        </w:rPr>
        <w:t xml:space="preserve">DISPOSICIÓN TRANSITORIA SEGUNDA.- </w:t>
      </w:r>
      <w:r>
        <w:rPr>
          <w:rFonts w:eastAsia="Times New Roman"/>
          <w:sz w:val="30"/>
          <w:szCs w:val="30"/>
          <w:lang w:val="es-ES"/>
        </w:rPr>
        <w:t>(Reformado por la Disposición Reformatoria Décima Séptima, num. 2 del Código Orgánico Monetario y Financiero; R.O. 332-2S, 12-IX-2014).-</w:t>
      </w:r>
      <w:r>
        <w:rPr>
          <w:rFonts w:eastAsia="Times New Roman"/>
          <w:b/>
          <w:bCs/>
          <w:sz w:val="30"/>
          <w:szCs w:val="30"/>
          <w:lang w:val="es-ES"/>
        </w:rPr>
        <w:t xml:space="preserve"> </w:t>
      </w:r>
      <w:r>
        <w:rPr>
          <w:rFonts w:eastAsia="Times New Roman"/>
          <w:sz w:val="30"/>
          <w:szCs w:val="30"/>
          <w:lang w:val="es-ES"/>
        </w:rPr>
        <w:t>La Junta de Política y Regulación Monetaria y Financiera, en un plazo de ha</w:t>
      </w:r>
      <w:r>
        <w:rPr>
          <w:rFonts w:eastAsia="Times New Roman"/>
          <w:sz w:val="30"/>
          <w:szCs w:val="30"/>
          <w:lang w:val="es-ES"/>
        </w:rPr>
        <w:t>sta 180 días, deberá ratificar las normas expedidas por el Consejo Nacional de Valores en lo que no se oponga a esta reforma, y expedir las normas necesarias para la aplicación de la reforma a la Ley de Mercado de Valores.</w:t>
      </w:r>
    </w:p>
    <w:p w:rsidR="00000000" w:rsidRDefault="0018461E">
      <w:pPr>
        <w:divId w:val="837841578"/>
        <w:rPr>
          <w:rFonts w:eastAsia="Times New Roman"/>
          <w:sz w:val="30"/>
          <w:szCs w:val="30"/>
          <w:lang w:val="es-ES"/>
        </w:rPr>
      </w:pPr>
      <w:r>
        <w:rPr>
          <w:rFonts w:eastAsia="Times New Roman"/>
          <w:b/>
          <w:bCs/>
          <w:sz w:val="30"/>
          <w:szCs w:val="30"/>
          <w:lang w:val="es-ES"/>
        </w:rPr>
        <w:lastRenderedPageBreak/>
        <w:t>DISPOSICIÓN TRANSITORIA TERCERA.-</w:t>
      </w:r>
      <w:r>
        <w:rPr>
          <w:rFonts w:eastAsia="Times New Roman"/>
          <w:sz w:val="30"/>
          <w:szCs w:val="30"/>
          <w:lang w:val="es-ES"/>
        </w:rPr>
        <w:t xml:space="preserve"> (Reformado por la Disposición Reformatoria Décima Séptima, nums. 2 y 3 del Código Orgánico Monetario y Financiero; R.O. 332-2S, 12-IX-2014).-</w:t>
      </w:r>
      <w:r>
        <w:rPr>
          <w:rFonts w:eastAsia="Times New Roman"/>
          <w:b/>
          <w:bCs/>
          <w:sz w:val="30"/>
          <w:szCs w:val="30"/>
          <w:lang w:val="es-ES"/>
        </w:rPr>
        <w:t xml:space="preserve"> </w:t>
      </w:r>
      <w:r>
        <w:rPr>
          <w:rFonts w:eastAsia="Times New Roman"/>
          <w:sz w:val="30"/>
          <w:szCs w:val="30"/>
          <w:lang w:val="es-ES"/>
        </w:rPr>
        <w:t>Las bolsas de valores actualmente constituidas en el país podrán seguir funcionando pero deberán ajustar su estru</w:t>
      </w:r>
      <w:r>
        <w:rPr>
          <w:rFonts w:eastAsia="Times New Roman"/>
          <w:sz w:val="30"/>
          <w:szCs w:val="30"/>
          <w:lang w:val="es-ES"/>
        </w:rPr>
        <w:t>ctura a su nueva naturaleza de sociedades anónimas, con las características establecidas en esta Ley. Para este efecto la Junta de Política y Regulación Monetaria y Financiera emitirá la resolución necesaria que viabilice esa transición en el plazo de nove</w:t>
      </w:r>
      <w:r>
        <w:rPr>
          <w:rFonts w:eastAsia="Times New Roman"/>
          <w:sz w:val="30"/>
          <w:szCs w:val="30"/>
          <w:lang w:val="es-ES"/>
        </w:rPr>
        <w:t>nta días contados a partir de la expedición de la resolución indicada. La autorización de funcionamiento a las sociedades anónimas Bolsas de Valores se otorgará por parte de la Superintendencia de Compañías Valores y Seguros sólo en el caso de que se verif</w:t>
      </w:r>
      <w:r>
        <w:rPr>
          <w:rFonts w:eastAsia="Times New Roman"/>
          <w:sz w:val="30"/>
          <w:szCs w:val="30"/>
          <w:lang w:val="es-ES"/>
        </w:rPr>
        <w:t>ique que cumplen con todos los requisitos establecidos en esta ley y sus normas complementarias, y de manera especial que previamente al inicio de sus operaciones cuenten con un sistema único que integre transaccionalmente a todas las bolsas de valores, lo</w:t>
      </w:r>
      <w:r>
        <w:rPr>
          <w:rFonts w:eastAsia="Times New Roman"/>
          <w:sz w:val="30"/>
          <w:szCs w:val="30"/>
          <w:lang w:val="es-ES"/>
        </w:rPr>
        <w:t>s intermediarios de valores y la autoridad de control.</w:t>
      </w:r>
      <w:r>
        <w:rPr>
          <w:rFonts w:eastAsia="Times New Roman"/>
          <w:sz w:val="30"/>
          <w:szCs w:val="30"/>
          <w:lang w:val="es-ES"/>
        </w:rPr>
        <w:br/>
      </w:r>
      <w:r>
        <w:rPr>
          <w:rFonts w:eastAsia="Times New Roman"/>
          <w:sz w:val="30"/>
          <w:szCs w:val="30"/>
          <w:lang w:val="es-ES"/>
        </w:rPr>
        <w:br/>
        <w:t>Los límites para la participación accionarial contemplados en esta Ley para las bolsas de valores, no se aplicarán hasta que estas se hayan constituido como sociedades anónimas. En caso de que hubiere</w:t>
      </w:r>
      <w:r>
        <w:rPr>
          <w:rFonts w:eastAsia="Times New Roman"/>
          <w:sz w:val="30"/>
          <w:szCs w:val="30"/>
          <w:lang w:val="es-ES"/>
        </w:rPr>
        <w:t>n transcurrido noventa días desde la expedición de la resolución indicada en el inciso anterior y no se hubiere constituido ninguna sociedad anónima bolsa de valores, se podrá constituir una bolsa pública.</w:t>
      </w:r>
      <w:r>
        <w:rPr>
          <w:rFonts w:eastAsia="Times New Roman"/>
          <w:sz w:val="30"/>
          <w:szCs w:val="30"/>
          <w:lang w:val="es-ES"/>
        </w:rPr>
        <w:br/>
      </w:r>
      <w:r>
        <w:rPr>
          <w:rFonts w:eastAsia="Times New Roman"/>
          <w:sz w:val="30"/>
          <w:szCs w:val="30"/>
          <w:lang w:val="es-ES"/>
        </w:rPr>
        <w:br/>
        <w:t>Así mismo, una vez autorizada su constitución com</w:t>
      </w:r>
      <w:r>
        <w:rPr>
          <w:rFonts w:eastAsia="Times New Roman"/>
          <w:sz w:val="30"/>
          <w:szCs w:val="30"/>
          <w:lang w:val="es-ES"/>
        </w:rPr>
        <w:t>o sociedades anónimas, cada Bolsa de Valores deberá convocar a junta general para nombrar a los miembros de sus Directorios.</w:t>
      </w:r>
    </w:p>
    <w:p w:rsidR="00000000" w:rsidRDefault="0018461E">
      <w:pPr>
        <w:divId w:val="349065474"/>
        <w:rPr>
          <w:rFonts w:eastAsia="Times New Roman"/>
          <w:sz w:val="30"/>
          <w:szCs w:val="30"/>
          <w:lang w:val="es-ES"/>
        </w:rPr>
      </w:pPr>
      <w:r>
        <w:rPr>
          <w:rFonts w:eastAsia="Times New Roman"/>
          <w:b/>
          <w:bCs/>
          <w:sz w:val="30"/>
          <w:szCs w:val="30"/>
          <w:lang w:val="es-ES"/>
        </w:rPr>
        <w:t>DISPOSICIÓN TRANSITORIA CUARTA.-</w:t>
      </w:r>
      <w:r>
        <w:rPr>
          <w:rFonts w:eastAsia="Times New Roman"/>
          <w:sz w:val="30"/>
          <w:szCs w:val="30"/>
          <w:lang w:val="es-ES"/>
        </w:rPr>
        <w:t xml:space="preserve"> (Reformado por la Disposición Reformatoria Décima Séptima, num. 3 del Código Orgánico Monetario y </w:t>
      </w:r>
      <w:r>
        <w:rPr>
          <w:rFonts w:eastAsia="Times New Roman"/>
          <w:sz w:val="30"/>
          <w:szCs w:val="30"/>
          <w:lang w:val="es-ES"/>
        </w:rPr>
        <w:t>Financiero; R.O. 332-2S, 12-IX-2014; y, por la Disposición Reformatoria Quinta de la Ley s/n, R.O. 986-S, 18-IV-2017).- Se autoriza la transformación de las bolsas de valores actualmente existentes en el país de corporaciones civiles a sociedades anónimas,</w:t>
      </w:r>
      <w:r>
        <w:rPr>
          <w:rFonts w:eastAsia="Times New Roman"/>
          <w:sz w:val="30"/>
          <w:szCs w:val="30"/>
          <w:lang w:val="es-ES"/>
        </w:rPr>
        <w:t xml:space="preserve"> para tal efecto, las cuotas patrimoniales de propiedad de sus miembros serán el equivalente de sus aportes en acciones a la compañía anónima bolsa de valores, acorde a los criterios de valoración que establezca la asamblea general de cada bolsa de valores</w:t>
      </w:r>
      <w:r>
        <w:rPr>
          <w:rFonts w:eastAsia="Times New Roman"/>
          <w:sz w:val="30"/>
          <w:szCs w:val="30"/>
          <w:lang w:val="es-ES"/>
        </w:rPr>
        <w:t xml:space="preserve">, para lo cual deberán aplicar las Normas Internacionales de </w:t>
      </w:r>
      <w:r>
        <w:rPr>
          <w:rFonts w:eastAsia="Times New Roman"/>
          <w:sz w:val="30"/>
          <w:szCs w:val="30"/>
          <w:lang w:val="es-ES"/>
        </w:rPr>
        <w:lastRenderedPageBreak/>
        <w:t>Información Financiera (NIIF).</w:t>
      </w:r>
      <w:r>
        <w:rPr>
          <w:rFonts w:eastAsia="Times New Roman"/>
          <w:sz w:val="30"/>
          <w:szCs w:val="30"/>
          <w:lang w:val="es-ES"/>
        </w:rPr>
        <w:br/>
      </w:r>
      <w:r>
        <w:rPr>
          <w:rFonts w:eastAsia="Times New Roman"/>
          <w:sz w:val="30"/>
          <w:szCs w:val="30"/>
          <w:lang w:val="es-ES"/>
        </w:rPr>
        <w:br/>
        <w:t>En consecuencia, los actuales propietarios de las cuotas patrimoniales pasarán a ser accionistas de la bolsa a transformarse, pudiendo incorporarse nuevos accionis</w:t>
      </w:r>
      <w:r>
        <w:rPr>
          <w:rFonts w:eastAsia="Times New Roman"/>
          <w:sz w:val="30"/>
          <w:szCs w:val="30"/>
          <w:lang w:val="es-ES"/>
        </w:rPr>
        <w:t>tas acorde a lo dispuesto en esta Ley, respecto de la estructura del capital de las bolsas de valores.</w:t>
      </w:r>
    </w:p>
    <w:p w:rsidR="00000000" w:rsidRDefault="0018461E">
      <w:pPr>
        <w:divId w:val="1774931737"/>
        <w:rPr>
          <w:rFonts w:eastAsia="Times New Roman"/>
          <w:sz w:val="30"/>
          <w:szCs w:val="30"/>
          <w:lang w:val="es-ES"/>
        </w:rPr>
      </w:pPr>
      <w:r>
        <w:rPr>
          <w:rFonts w:eastAsia="Times New Roman"/>
          <w:b/>
          <w:bCs/>
          <w:sz w:val="30"/>
          <w:szCs w:val="30"/>
          <w:lang w:val="es-ES"/>
        </w:rPr>
        <w:t>DISPOSICIÓN TRANSITORIA QUINTA.-</w:t>
      </w:r>
      <w:r>
        <w:rPr>
          <w:rFonts w:eastAsia="Times New Roman"/>
          <w:sz w:val="30"/>
          <w:szCs w:val="30"/>
          <w:lang w:val="es-ES"/>
        </w:rPr>
        <w:t xml:space="preserve"> Una vez que las corporaciones civiles se trasformen en sociedades anónimas tendrán 90 días para solicitar su autorizació</w:t>
      </w:r>
      <w:r>
        <w:rPr>
          <w:rFonts w:eastAsia="Times New Roman"/>
          <w:sz w:val="30"/>
          <w:szCs w:val="30"/>
          <w:lang w:val="es-ES"/>
        </w:rPr>
        <w:t>n de funcionamiento a la Superintendencia de Compañías. Las bolsas de valores que no hubieren dado cumplimiento a lo establecido en esta disposición entrarán en estado de disolución y liquidación.</w:t>
      </w:r>
    </w:p>
    <w:p w:rsidR="00000000" w:rsidRDefault="0018461E">
      <w:pPr>
        <w:divId w:val="88283344"/>
        <w:rPr>
          <w:rFonts w:eastAsia="Times New Roman"/>
          <w:sz w:val="30"/>
          <w:szCs w:val="30"/>
          <w:lang w:val="es-ES"/>
        </w:rPr>
      </w:pPr>
      <w:r>
        <w:rPr>
          <w:rFonts w:eastAsia="Times New Roman"/>
          <w:b/>
          <w:bCs/>
          <w:sz w:val="30"/>
          <w:szCs w:val="30"/>
          <w:lang w:val="es-ES"/>
        </w:rPr>
        <w:t>DISPOSICIÓN TRANSITORIA SEXTA.-</w:t>
      </w:r>
      <w:r>
        <w:rPr>
          <w:rFonts w:eastAsia="Times New Roman"/>
          <w:sz w:val="30"/>
          <w:szCs w:val="30"/>
          <w:lang w:val="es-ES"/>
        </w:rPr>
        <w:t xml:space="preserve"> El actual fondo de garantía</w:t>
      </w:r>
      <w:r>
        <w:rPr>
          <w:rFonts w:eastAsia="Times New Roman"/>
          <w:sz w:val="30"/>
          <w:szCs w:val="30"/>
          <w:lang w:val="es-ES"/>
        </w:rPr>
        <w:t xml:space="preserve"> constituido por las casas de valores en su calidad de miembros de las bolsas de valores de Quito y de Guayaquil para respaldar sus operaciones en dichas bolsas y que actualmente es administrado por estas instituciones, deberá ser restituido a las casas de</w:t>
      </w:r>
      <w:r>
        <w:rPr>
          <w:rFonts w:eastAsia="Times New Roman"/>
          <w:sz w:val="30"/>
          <w:szCs w:val="30"/>
          <w:lang w:val="es-ES"/>
        </w:rPr>
        <w:t xml:space="preserve"> valores, para que las casas de valores puedan aportar dichas garantías al fideicomiso de administración de la garantía de compensación y liquidación constituido por los depósitos de compensación y liquidación como requisito previo al inicio de operaciones</w:t>
      </w:r>
      <w:r>
        <w:rPr>
          <w:rFonts w:eastAsia="Times New Roman"/>
          <w:sz w:val="30"/>
          <w:szCs w:val="30"/>
          <w:lang w:val="es-ES"/>
        </w:rPr>
        <w:t xml:space="preserve"> en el mercado de valores.</w:t>
      </w:r>
    </w:p>
    <w:p w:rsidR="00000000" w:rsidRDefault="0018461E">
      <w:pPr>
        <w:divId w:val="1686469804"/>
        <w:rPr>
          <w:rFonts w:eastAsia="Times New Roman"/>
          <w:sz w:val="30"/>
          <w:szCs w:val="30"/>
          <w:lang w:val="es-ES"/>
        </w:rPr>
      </w:pPr>
      <w:r>
        <w:rPr>
          <w:rFonts w:eastAsia="Times New Roman"/>
          <w:b/>
          <w:bCs/>
          <w:sz w:val="30"/>
          <w:szCs w:val="30"/>
          <w:lang w:val="es-ES"/>
        </w:rPr>
        <w:t>DISPOSICIÓN TRANSITORIA SÉPTIMA.-</w:t>
      </w:r>
      <w:r>
        <w:rPr>
          <w:rFonts w:eastAsia="Times New Roman"/>
          <w:sz w:val="30"/>
          <w:szCs w:val="30"/>
          <w:lang w:val="es-ES"/>
        </w:rPr>
        <w:t xml:space="preserve"> (Reformado por la Disposición Reformatoria Décima Séptima, num. 1 del Código Orgánico Monetario y Financiero; R.O. 332-2S, 12-IX-2014).- Los valores de renta fija inscritos en el Catastro Público</w:t>
      </w:r>
      <w:r>
        <w:rPr>
          <w:rFonts w:eastAsia="Times New Roman"/>
          <w:sz w:val="30"/>
          <w:szCs w:val="30"/>
          <w:lang w:val="es-ES"/>
        </w:rPr>
        <w:t xml:space="preserve"> del mercado de valores que actualmente se encuentran circulando y están representados de manera cartular, podrán desmaterializarse o mantener su representación cartular hasta su redención total, aplicándoseles las normas y requisitos para los títulos físi</w:t>
      </w:r>
      <w:r>
        <w:rPr>
          <w:rFonts w:eastAsia="Times New Roman"/>
          <w:sz w:val="30"/>
          <w:szCs w:val="30"/>
          <w:lang w:val="es-ES"/>
        </w:rPr>
        <w:t>cos establecidas en la Ley. Los valores de renta variable inscritos en el Catastro Público del mercado de valores deberán desmaterializarse en un plazo de ciento ochenta días a partir de la vigencia de la presente Ley.</w:t>
      </w:r>
    </w:p>
    <w:p w:rsidR="00000000" w:rsidRDefault="0018461E">
      <w:pPr>
        <w:divId w:val="1823547753"/>
        <w:rPr>
          <w:rFonts w:eastAsia="Times New Roman"/>
          <w:sz w:val="30"/>
          <w:szCs w:val="30"/>
          <w:lang w:val="es-ES"/>
        </w:rPr>
      </w:pPr>
      <w:r>
        <w:rPr>
          <w:rFonts w:eastAsia="Times New Roman"/>
          <w:b/>
          <w:bCs/>
          <w:sz w:val="30"/>
          <w:szCs w:val="30"/>
          <w:lang w:val="es-ES"/>
        </w:rPr>
        <w:t xml:space="preserve">DISPOSICIÓN TRANSITORIA OCTAVA.- </w:t>
      </w:r>
      <w:r>
        <w:rPr>
          <w:rFonts w:eastAsia="Times New Roman"/>
          <w:sz w:val="30"/>
          <w:szCs w:val="30"/>
          <w:lang w:val="es-ES"/>
        </w:rPr>
        <w:t>(Ref</w:t>
      </w:r>
      <w:r>
        <w:rPr>
          <w:rFonts w:eastAsia="Times New Roman"/>
          <w:sz w:val="30"/>
          <w:szCs w:val="30"/>
          <w:lang w:val="es-ES"/>
        </w:rPr>
        <w:t>ormado por la Disposición Reformatoria Décima Séptima, num. 3 del Código Orgánico Monetario y Financiero; R.O. 332-2S, 12-IX-2014).- Todas las autorizaciones que se encuentren en trámite ante la Superintendencia de Compañías Valores y Seguros deberán obser</w:t>
      </w:r>
      <w:r>
        <w:rPr>
          <w:rFonts w:eastAsia="Times New Roman"/>
          <w:sz w:val="30"/>
          <w:szCs w:val="30"/>
          <w:lang w:val="es-ES"/>
        </w:rPr>
        <w:t xml:space="preserve">var </w:t>
      </w:r>
      <w:r>
        <w:rPr>
          <w:rFonts w:eastAsia="Times New Roman"/>
          <w:sz w:val="30"/>
          <w:szCs w:val="30"/>
          <w:lang w:val="es-ES"/>
        </w:rPr>
        <w:lastRenderedPageBreak/>
        <w:t>las normas vigentes al momento de su presentación ante el órgano de control.</w:t>
      </w:r>
    </w:p>
    <w:p w:rsidR="00000000" w:rsidRDefault="0018461E">
      <w:pPr>
        <w:divId w:val="1567493459"/>
        <w:rPr>
          <w:rFonts w:eastAsia="Times New Roman"/>
          <w:sz w:val="30"/>
          <w:szCs w:val="30"/>
          <w:lang w:val="es-ES"/>
        </w:rPr>
      </w:pPr>
      <w:r>
        <w:rPr>
          <w:rFonts w:eastAsia="Times New Roman"/>
          <w:b/>
          <w:bCs/>
          <w:sz w:val="30"/>
          <w:szCs w:val="30"/>
          <w:lang w:val="es-ES"/>
        </w:rPr>
        <w:t xml:space="preserve">DISPOSICIÓN TRANSITORIA NOVENA.- </w:t>
      </w:r>
      <w:r>
        <w:rPr>
          <w:rFonts w:eastAsia="Times New Roman"/>
          <w:sz w:val="30"/>
          <w:szCs w:val="30"/>
          <w:lang w:val="es-ES"/>
        </w:rPr>
        <w:t>(Reformado por la Disposición Reformatoria Décima Séptima, num. 1 del Código Orgánico Monetario y Financiero; R.O. 332-2S, 12-IX-2014).- Duran</w:t>
      </w:r>
      <w:r>
        <w:rPr>
          <w:rFonts w:eastAsia="Times New Roman"/>
          <w:sz w:val="30"/>
          <w:szCs w:val="30"/>
          <w:lang w:val="es-ES"/>
        </w:rPr>
        <w:t>te un período máximo de dos años contados desde la fecha de expedición de la presente ley, los emisores de valores genéricos inscritos en el Catastro Público del mercado de valores podrán emitir estos valores en forma física o desmaterializada, y podrán ne</w:t>
      </w:r>
      <w:r>
        <w:rPr>
          <w:rFonts w:eastAsia="Times New Roman"/>
          <w:sz w:val="30"/>
          <w:szCs w:val="30"/>
          <w:lang w:val="es-ES"/>
        </w:rPr>
        <w:t>gociarse en forma secundaria en forma física o desmaterializada en el Mercado de Valores. Transcurrido ese plazo, estos valores deberán emitirse en forma desmaterializada.</w:t>
      </w:r>
    </w:p>
    <w:p w:rsidR="00000000" w:rsidRDefault="0018461E">
      <w:pPr>
        <w:divId w:val="1029254550"/>
        <w:rPr>
          <w:rFonts w:eastAsia="Times New Roman"/>
          <w:sz w:val="30"/>
          <w:szCs w:val="30"/>
          <w:lang w:val="es-ES"/>
        </w:rPr>
      </w:pPr>
      <w:r>
        <w:rPr>
          <w:rFonts w:eastAsia="Times New Roman"/>
          <w:b/>
          <w:bCs/>
          <w:sz w:val="30"/>
          <w:szCs w:val="30"/>
          <w:lang w:val="es-ES"/>
        </w:rPr>
        <w:t>DISPOSICIÓN TRANSITORIA DÉCIMA.-</w:t>
      </w:r>
      <w:r>
        <w:rPr>
          <w:rFonts w:eastAsia="Times New Roman"/>
          <w:sz w:val="30"/>
          <w:szCs w:val="30"/>
          <w:lang w:val="es-ES"/>
        </w:rPr>
        <w:t xml:space="preserve"> Las normas de autorregulación creadas al amparo de </w:t>
      </w:r>
      <w:r>
        <w:rPr>
          <w:rFonts w:eastAsia="Times New Roman"/>
          <w:sz w:val="30"/>
          <w:szCs w:val="30"/>
          <w:lang w:val="es-ES"/>
        </w:rPr>
        <w:t>la Ley del Mercado de Valores, vigentes a la fecha de publicación de esta Ley en el Registro Oficial, estarán vigentes hasta que las nuevas instituciones se adecúen a las disposiciones de esta Ley y dicten sus propias normas de autorregulación.</w:t>
      </w:r>
    </w:p>
    <w:p w:rsidR="00000000" w:rsidRDefault="0018461E">
      <w:pPr>
        <w:divId w:val="1932199176"/>
        <w:rPr>
          <w:rFonts w:eastAsia="Times New Roman"/>
          <w:sz w:val="30"/>
          <w:szCs w:val="30"/>
          <w:lang w:val="es-ES"/>
        </w:rPr>
      </w:pPr>
      <w:r>
        <w:rPr>
          <w:rFonts w:eastAsia="Times New Roman"/>
          <w:b/>
          <w:bCs/>
          <w:sz w:val="30"/>
          <w:szCs w:val="30"/>
          <w:lang w:val="es-ES"/>
        </w:rPr>
        <w:t>DISPOSICIÓN</w:t>
      </w:r>
      <w:r>
        <w:rPr>
          <w:rFonts w:eastAsia="Times New Roman"/>
          <w:b/>
          <w:bCs/>
          <w:sz w:val="30"/>
          <w:szCs w:val="30"/>
          <w:lang w:val="es-ES"/>
        </w:rPr>
        <w:t xml:space="preserve"> TRANSITORIA DÉCIMA PRIMERA.-</w:t>
      </w:r>
      <w:r>
        <w:rPr>
          <w:rFonts w:eastAsia="Times New Roman"/>
          <w:sz w:val="30"/>
          <w:szCs w:val="30"/>
          <w:lang w:val="es-ES"/>
        </w:rPr>
        <w:t xml:space="preserve"> (Reformado por la Disposición Reformatoria Décima Séptima, num. 2 del Código Orgánico Monetario y Financiero; R.O. 332-2S, 12-IX-2014).- Todos los participantes del mercado de valores dispondrán de 180 días a partir de la expe</w:t>
      </w:r>
      <w:r>
        <w:rPr>
          <w:rFonts w:eastAsia="Times New Roman"/>
          <w:sz w:val="30"/>
          <w:szCs w:val="30"/>
          <w:lang w:val="es-ES"/>
        </w:rPr>
        <w:t>dición de la respectiva resolución de la Junta de Política y Regulación Monetaria y Financiera con el fin de cumplir con lo establecido en el numeral 4 del art. 177.</w:t>
      </w:r>
    </w:p>
    <w:p w:rsidR="00000000" w:rsidRDefault="0018461E">
      <w:pPr>
        <w:divId w:val="399449377"/>
        <w:rPr>
          <w:rFonts w:eastAsia="Times New Roman"/>
          <w:sz w:val="30"/>
          <w:szCs w:val="30"/>
          <w:lang w:val="es-ES"/>
        </w:rPr>
      </w:pPr>
      <w:r>
        <w:rPr>
          <w:rFonts w:eastAsia="Times New Roman"/>
          <w:b/>
          <w:bCs/>
          <w:sz w:val="30"/>
          <w:szCs w:val="30"/>
          <w:lang w:val="es-ES"/>
        </w:rPr>
        <w:t>DISPOSICIÓN TRANSITORIA DÉCIMA SEGUNDA.- (</w:t>
      </w:r>
      <w:r>
        <w:rPr>
          <w:rFonts w:eastAsia="Times New Roman"/>
          <w:sz w:val="30"/>
          <w:szCs w:val="30"/>
          <w:lang w:val="es-ES"/>
        </w:rPr>
        <w:t>Reformado por la Disposición Reformatoria Décima</w:t>
      </w:r>
      <w:r>
        <w:rPr>
          <w:rFonts w:eastAsia="Times New Roman"/>
          <w:sz w:val="30"/>
          <w:szCs w:val="30"/>
          <w:lang w:val="es-ES"/>
        </w:rPr>
        <w:t xml:space="preserve"> Séptima, num. 3 del Código Orgánico Monetario y Financiero; R.O. 332-2S, 12-IX-2014).- Los procesos de constitución de compañías y los actos societarios que ya no requieran aprobación de la Superintendencia de Compañías Valores y Seguros, que se hubieren </w:t>
      </w:r>
      <w:r>
        <w:rPr>
          <w:rFonts w:eastAsia="Times New Roman"/>
          <w:sz w:val="30"/>
          <w:szCs w:val="30"/>
          <w:lang w:val="es-ES"/>
        </w:rPr>
        <w:t>iniciado con anterioridad a la publicación de la presente Ley, deberán concluirse al amparo de la Ley de Compañías vigente a la fecha de inicio de los mismos. Para tal efecto, se entenderá como fecha de inicio del proceso la fecha del otorgamiento de la es</w:t>
      </w:r>
      <w:r>
        <w:rPr>
          <w:rFonts w:eastAsia="Times New Roman"/>
          <w:sz w:val="30"/>
          <w:szCs w:val="30"/>
          <w:lang w:val="es-ES"/>
        </w:rPr>
        <w:t>critura pública respectiva.</w:t>
      </w:r>
    </w:p>
    <w:p w:rsidR="00000000" w:rsidRDefault="0018461E">
      <w:pPr>
        <w:divId w:val="472721431"/>
        <w:rPr>
          <w:rFonts w:eastAsia="Times New Roman"/>
          <w:sz w:val="30"/>
          <w:szCs w:val="30"/>
          <w:lang w:val="es-ES"/>
        </w:rPr>
      </w:pPr>
      <w:r>
        <w:rPr>
          <w:rFonts w:eastAsia="Times New Roman"/>
          <w:b/>
          <w:bCs/>
          <w:sz w:val="30"/>
          <w:szCs w:val="30"/>
          <w:lang w:val="es-ES"/>
        </w:rPr>
        <w:t xml:space="preserve">DISPOSICIÓN TRANSITORIA DÉCIMA TERCERA.- </w:t>
      </w:r>
      <w:r>
        <w:rPr>
          <w:rFonts w:eastAsia="Times New Roman"/>
          <w:sz w:val="30"/>
          <w:szCs w:val="30"/>
          <w:lang w:val="es-ES"/>
        </w:rPr>
        <w:t>(Reformado por la Disposición Reformatoria Décima Séptima, num. 3 del Código Orgánico Monetario y Financiero; R.O. 332-2S, 12-IX-2014).- La Superintendencia de Compañías Valores y Seguros</w:t>
      </w:r>
      <w:r>
        <w:rPr>
          <w:rFonts w:eastAsia="Times New Roman"/>
          <w:sz w:val="30"/>
          <w:szCs w:val="30"/>
          <w:lang w:val="es-ES"/>
        </w:rPr>
        <w:t xml:space="preserve">, en el plazo de treinta días, contados a partir de la publicación de la presente </w:t>
      </w:r>
      <w:r>
        <w:rPr>
          <w:rFonts w:eastAsia="Times New Roman"/>
          <w:sz w:val="30"/>
          <w:szCs w:val="30"/>
          <w:lang w:val="es-ES"/>
        </w:rPr>
        <w:lastRenderedPageBreak/>
        <w:t>Ley en el Registro Oficial, emitirá la Resolución que reglamente el proceso simplificado de constitución y registro de compañías.</w:t>
      </w:r>
    </w:p>
    <w:p w:rsidR="00000000" w:rsidRDefault="0018461E">
      <w:pPr>
        <w:divId w:val="206913704"/>
        <w:rPr>
          <w:rFonts w:eastAsia="Times New Roman"/>
          <w:sz w:val="30"/>
          <w:szCs w:val="30"/>
          <w:lang w:val="es-ES"/>
        </w:rPr>
      </w:pPr>
      <w:r>
        <w:rPr>
          <w:rFonts w:eastAsia="Times New Roman"/>
          <w:b/>
          <w:bCs/>
          <w:sz w:val="30"/>
          <w:szCs w:val="30"/>
          <w:lang w:val="es-ES"/>
        </w:rPr>
        <w:t xml:space="preserve">DISPOSICIÓN TRANSITORIA DÉCIMA CUARTA.- </w:t>
      </w:r>
      <w:r>
        <w:rPr>
          <w:rFonts w:eastAsia="Times New Roman"/>
          <w:sz w:val="30"/>
          <w:szCs w:val="30"/>
          <w:lang w:val="es-ES"/>
        </w:rPr>
        <w:t>(Ref</w:t>
      </w:r>
      <w:r>
        <w:rPr>
          <w:rFonts w:eastAsia="Times New Roman"/>
          <w:sz w:val="30"/>
          <w:szCs w:val="30"/>
          <w:lang w:val="es-ES"/>
        </w:rPr>
        <w:t>ormado por la Disposición Reformatoria Décima Séptima, num. 3 del Código Orgánico Monetario y Financiero; R.O. 332-2S, 12-IX-2014).- La Superintendencia de Compañías Valores y Seguros, en un plazo no mayor a seis meses, contado a partir de la publicación d</w:t>
      </w:r>
      <w:r>
        <w:rPr>
          <w:rFonts w:eastAsia="Times New Roman"/>
          <w:sz w:val="30"/>
          <w:szCs w:val="30"/>
          <w:lang w:val="es-ES"/>
        </w:rPr>
        <w:t>e la presente Ley en el Registro Oficial, implementará y operativizará el proceso simplificado de constitución y registro de compañías.</w:t>
      </w:r>
    </w:p>
    <w:p w:rsidR="00000000" w:rsidRDefault="0018461E">
      <w:pPr>
        <w:divId w:val="1978878431"/>
        <w:rPr>
          <w:rFonts w:eastAsia="Times New Roman"/>
          <w:sz w:val="30"/>
          <w:szCs w:val="30"/>
          <w:lang w:val="es-ES"/>
        </w:rPr>
      </w:pPr>
      <w:r>
        <w:rPr>
          <w:rFonts w:eastAsia="Times New Roman"/>
          <w:b/>
          <w:bCs/>
          <w:sz w:val="30"/>
          <w:szCs w:val="30"/>
          <w:lang w:val="es-ES"/>
        </w:rPr>
        <w:t>DISPOSICIÓN TRANSITORIA DÉCIMA QUINTA.-</w:t>
      </w:r>
      <w:r>
        <w:rPr>
          <w:rFonts w:eastAsia="Times New Roman"/>
          <w:sz w:val="30"/>
          <w:szCs w:val="30"/>
          <w:lang w:val="es-ES"/>
        </w:rPr>
        <w:t xml:space="preserve"> (Reformado por la Disposición Reformatoria Décima Séptima, num. 3 del Código Org</w:t>
      </w:r>
      <w:r>
        <w:rPr>
          <w:rFonts w:eastAsia="Times New Roman"/>
          <w:sz w:val="30"/>
          <w:szCs w:val="30"/>
          <w:lang w:val="es-ES"/>
        </w:rPr>
        <w:t>ánico Monetario y Financiero; R.O. 332-2S, 12-IX-2014).- Los extractos de los actos societarios se publicarán de manera gratuita en el portal web institucional de la Superintendencia de Compañías Valores y Seguros, para cuyo efecto el referido organismo de</w:t>
      </w:r>
      <w:r>
        <w:rPr>
          <w:rFonts w:eastAsia="Times New Roman"/>
          <w:sz w:val="30"/>
          <w:szCs w:val="30"/>
          <w:lang w:val="es-ES"/>
        </w:rPr>
        <w:t xml:space="preserve"> control, dentro del plazo improrrogable de 30 días, contados a partir de la publicación de esta Ley, deberá adecuar su sistema informático.</w:t>
      </w:r>
    </w:p>
    <w:p w:rsidR="00000000" w:rsidRDefault="0018461E">
      <w:pPr>
        <w:divId w:val="439305007"/>
        <w:rPr>
          <w:rFonts w:eastAsia="Times New Roman"/>
          <w:sz w:val="30"/>
          <w:szCs w:val="30"/>
          <w:lang w:val="es-ES"/>
        </w:rPr>
      </w:pPr>
      <w:r>
        <w:rPr>
          <w:rFonts w:eastAsia="Times New Roman"/>
          <w:b/>
          <w:bCs/>
          <w:sz w:val="30"/>
          <w:szCs w:val="30"/>
          <w:lang w:val="es-ES"/>
        </w:rPr>
        <w:t>DISPOSICIÓN TRANSITORIA DÉCIMA SEXTA.-</w:t>
      </w:r>
      <w:r>
        <w:rPr>
          <w:rFonts w:eastAsia="Times New Roman"/>
          <w:sz w:val="30"/>
          <w:szCs w:val="30"/>
          <w:lang w:val="es-ES"/>
        </w:rPr>
        <w:t xml:space="preserve"> Establécense los siguientes beneficios tributarios, mismos que serán aplicab</w:t>
      </w:r>
      <w:r>
        <w:rPr>
          <w:rFonts w:eastAsia="Times New Roman"/>
          <w:sz w:val="30"/>
          <w:szCs w:val="30"/>
          <w:lang w:val="es-ES"/>
        </w:rPr>
        <w:t>les durante cinco ejercicios fiscales anuales, contados a partir de la vigencia de la Ley Orgánica de Fortalecimiento y Optimización del Sector Societario y Bursátil, en concordancia con lo establecido en el artículo 11 del Código Tributario:</w:t>
      </w:r>
      <w:r>
        <w:rPr>
          <w:rFonts w:eastAsia="Times New Roman"/>
          <w:sz w:val="30"/>
          <w:szCs w:val="30"/>
          <w:lang w:val="es-ES"/>
        </w:rPr>
        <w:br/>
      </w:r>
      <w:r>
        <w:rPr>
          <w:rFonts w:eastAsia="Times New Roman"/>
          <w:sz w:val="30"/>
          <w:szCs w:val="30"/>
          <w:lang w:val="es-ES"/>
        </w:rPr>
        <w:br/>
        <w:t>1.- Para fin</w:t>
      </w:r>
      <w:r>
        <w:rPr>
          <w:rFonts w:eastAsia="Times New Roman"/>
          <w:sz w:val="30"/>
          <w:szCs w:val="30"/>
          <w:lang w:val="es-ES"/>
        </w:rPr>
        <w:t>es de la determinación y liquidación del Impuesto a la Renta, estarán exonerados las ganancias de capital obtenidas por personas naturales y sociedades, distribuidos por fideicomisos mercantiles de inversión, fondos de inversión y fondos complementarios, s</w:t>
      </w:r>
      <w:r>
        <w:rPr>
          <w:rFonts w:eastAsia="Times New Roman"/>
          <w:sz w:val="30"/>
          <w:szCs w:val="30"/>
          <w:lang w:val="es-ES"/>
        </w:rPr>
        <w:t>iempre que la inversión realizada sea en valores de renta variable, negociados en bolsa de valores legalmente constituidas en el país o en el Registro Especial Bursátil (REB). De igual manera, estarán exoneradas las ganancias de capital obtenidas por perso</w:t>
      </w:r>
      <w:r>
        <w:rPr>
          <w:rFonts w:eastAsia="Times New Roman"/>
          <w:sz w:val="30"/>
          <w:szCs w:val="30"/>
          <w:lang w:val="es-ES"/>
        </w:rPr>
        <w:t>nas naturales o sociedades, por las inversiones en acciones que se efectúen a través de las bolsas de valores del país o en el Registro Especial Bursátil (REB). Esta exención no aplicará en el caso de compraventas realizadas entre partes relacionadas o con</w:t>
      </w:r>
      <w:r>
        <w:rPr>
          <w:rFonts w:eastAsia="Times New Roman"/>
          <w:sz w:val="30"/>
          <w:szCs w:val="30"/>
          <w:lang w:val="es-ES"/>
        </w:rPr>
        <w:t xml:space="preserve"> sociedades domiciliadas en paraísos fiscales o regímenes fiscales preferentes. La inobservancia de esta disposición será sancionada conforme lo previsto en la ley.</w:t>
      </w:r>
      <w:r>
        <w:rPr>
          <w:rFonts w:eastAsia="Times New Roman"/>
          <w:sz w:val="30"/>
          <w:szCs w:val="30"/>
          <w:lang w:val="es-ES"/>
        </w:rPr>
        <w:br/>
      </w:r>
      <w:r>
        <w:rPr>
          <w:rFonts w:eastAsia="Times New Roman"/>
          <w:sz w:val="30"/>
          <w:szCs w:val="30"/>
          <w:lang w:val="es-ES"/>
        </w:rPr>
        <w:br/>
        <w:t xml:space="preserve">2.- Para el cálculo del anticipo de impuesto a la renta, en el caso de </w:t>
      </w:r>
      <w:r>
        <w:rPr>
          <w:rFonts w:eastAsia="Times New Roman"/>
          <w:sz w:val="30"/>
          <w:szCs w:val="30"/>
          <w:lang w:val="es-ES"/>
        </w:rPr>
        <w:lastRenderedPageBreak/>
        <w:t>empresas del sector</w:t>
      </w:r>
      <w:r>
        <w:rPr>
          <w:rFonts w:eastAsia="Times New Roman"/>
          <w:sz w:val="30"/>
          <w:szCs w:val="30"/>
          <w:lang w:val="es-ES"/>
        </w:rPr>
        <w:t xml:space="preserve"> no financiero, en la parte correspondiente al patrimonio no se considerará el monto correspondiente a aumentos de capital efectuados por suscripción pública de acciones a través del mercado bursátil o del Registro Especial Bursátil del país, realizados en</w:t>
      </w:r>
      <w:r>
        <w:rPr>
          <w:rFonts w:eastAsia="Times New Roman"/>
          <w:sz w:val="30"/>
          <w:szCs w:val="30"/>
          <w:lang w:val="es-ES"/>
        </w:rPr>
        <w:t xml:space="preserve"> el mismo ejercicio económico que se declara. Esta disposición no será aplicable en caso de que las acciones sean adquiridas por el mismo emisor o sus partes relacionadas o personas domiciliadas en paraísos fiscales o regímenes fiscales preferentes.</w:t>
      </w:r>
      <w:r>
        <w:rPr>
          <w:rFonts w:eastAsia="Times New Roman"/>
          <w:sz w:val="30"/>
          <w:szCs w:val="30"/>
          <w:lang w:val="es-ES"/>
        </w:rPr>
        <w:br/>
      </w:r>
      <w:r>
        <w:rPr>
          <w:rFonts w:eastAsia="Times New Roman"/>
          <w:sz w:val="30"/>
          <w:szCs w:val="30"/>
          <w:lang w:val="es-ES"/>
        </w:rPr>
        <w:br/>
        <w:t>3.- C</w:t>
      </w:r>
      <w:r>
        <w:rPr>
          <w:rFonts w:eastAsia="Times New Roman"/>
          <w:sz w:val="30"/>
          <w:szCs w:val="30"/>
          <w:lang w:val="es-ES"/>
        </w:rPr>
        <w:t>on el propósito de determinar la base imponible sujeta a Impuesto a la Renta, las empresas del sector no financiero que dentro del giro de su negocio hayan aceptado, en un mismo ejercicio económico facturas comerciales negociables, en la forma y plazos est</w:t>
      </w:r>
      <w:r>
        <w:rPr>
          <w:rFonts w:eastAsia="Times New Roman"/>
          <w:sz w:val="30"/>
          <w:szCs w:val="30"/>
          <w:lang w:val="es-ES"/>
        </w:rPr>
        <w:t>ablecidos en la norma correspondiente, y que las mismas hayan sido negociadas a través de las Bolsas de Valores del país y del Registro Especial Bursátil (REB), tendrán derecho a la deducción del 0.5% adicional del monto total de facturas negociadas durant</w:t>
      </w:r>
      <w:r>
        <w:rPr>
          <w:rFonts w:eastAsia="Times New Roman"/>
          <w:sz w:val="30"/>
          <w:szCs w:val="30"/>
          <w:lang w:val="es-ES"/>
        </w:rPr>
        <w:t>e un mismo ejercicio económico. Esta deducción adicional no tendrá efecto si existen facturas negociadas, directa o indirectamente, con partes relacionadas o personas domiciliadas en paraísos fiscales o regímenes fiscales preferentes. Tampoco se beneficiar</w:t>
      </w:r>
      <w:r>
        <w:rPr>
          <w:rFonts w:eastAsia="Times New Roman"/>
          <w:sz w:val="30"/>
          <w:szCs w:val="30"/>
          <w:lang w:val="es-ES"/>
        </w:rPr>
        <w:t xml:space="preserve">án de esta deducción los aceptantes que incurran en mora en el pago de las facturas comerciales negociables. Las Bolsas de Valores legalmente constituidas en el país mensualmente informarán a la Administración Tributaria un detalle de las negociaciones en </w:t>
      </w:r>
      <w:r>
        <w:rPr>
          <w:rFonts w:eastAsia="Times New Roman"/>
          <w:sz w:val="30"/>
          <w:szCs w:val="30"/>
          <w:lang w:val="es-ES"/>
        </w:rPr>
        <w:t>forma, plazo y cumplimiento que por efecto de este mecanismo se han realizado. Para tal efecto la Administración Tributaria normará la forma y esquema de entrega de esta información.</w:t>
      </w:r>
      <w:r>
        <w:rPr>
          <w:rFonts w:eastAsia="Times New Roman"/>
          <w:sz w:val="30"/>
          <w:szCs w:val="30"/>
          <w:lang w:val="es-ES"/>
        </w:rPr>
        <w:br/>
      </w:r>
      <w:r>
        <w:rPr>
          <w:rFonts w:eastAsia="Times New Roman"/>
          <w:sz w:val="30"/>
          <w:szCs w:val="30"/>
          <w:lang w:val="es-ES"/>
        </w:rPr>
        <w:br/>
        <w:t>4.- Con el propósito de determinar la base imponible sujeta a Impuesto a</w:t>
      </w:r>
      <w:r>
        <w:rPr>
          <w:rFonts w:eastAsia="Times New Roman"/>
          <w:sz w:val="30"/>
          <w:szCs w:val="30"/>
          <w:lang w:val="es-ES"/>
        </w:rPr>
        <w:t xml:space="preserve"> la Renta, las empresas del sector no financiero tendrán derecho a la deducción del 50% adicional de los costos y gastos incurridos en la emisión de deuda y/o que actúen como originadores en proceso de titularización de activos, conforme lo establezca el r</w:t>
      </w:r>
      <w:r>
        <w:rPr>
          <w:rFonts w:eastAsia="Times New Roman"/>
          <w:sz w:val="30"/>
          <w:szCs w:val="30"/>
          <w:lang w:val="es-ES"/>
        </w:rPr>
        <w:t>eglamento correspondiente, colocados a través de las Bolsas de Valores del país o en el Registro Especial Bursátil (REB), siempre y cuando no hayan sido colocados, directa o indirectamente, en partes relacionadas o en personas domiciliadas en paraísos fisc</w:t>
      </w:r>
      <w:r>
        <w:rPr>
          <w:rFonts w:eastAsia="Times New Roman"/>
          <w:sz w:val="30"/>
          <w:szCs w:val="30"/>
          <w:lang w:val="es-ES"/>
        </w:rPr>
        <w:t>ales o regímenes fiscales preferentes. En ningún caso, esta deducción adicional, podrá superar un valor equivalente a cinco (5) fracciones básicas desgravadas.</w:t>
      </w:r>
      <w:r>
        <w:rPr>
          <w:rFonts w:eastAsia="Times New Roman"/>
          <w:sz w:val="30"/>
          <w:szCs w:val="30"/>
          <w:lang w:val="es-ES"/>
        </w:rPr>
        <w:br/>
      </w:r>
      <w:r>
        <w:rPr>
          <w:rFonts w:eastAsia="Times New Roman"/>
          <w:sz w:val="30"/>
          <w:szCs w:val="30"/>
          <w:lang w:val="es-ES"/>
        </w:rPr>
        <w:lastRenderedPageBreak/>
        <w:br/>
        <w:t>5.- Tendrán tarifa 0% del Impuesto al Valor Agregado las comisiones por concepto de servicios b</w:t>
      </w:r>
      <w:r>
        <w:rPr>
          <w:rFonts w:eastAsia="Times New Roman"/>
          <w:sz w:val="30"/>
          <w:szCs w:val="30"/>
          <w:lang w:val="es-ES"/>
        </w:rPr>
        <w:t xml:space="preserve">ursátiles, definidas por resolución del Servicio de Rentas Internas, prestados por Bolsas de Valores, Casa de Valores, Depósitos en Compensación y Liquidación, y Administradores de Fondos y Fideicomisos, en este último caso, en la administración de fondos </w:t>
      </w:r>
      <w:r>
        <w:rPr>
          <w:rFonts w:eastAsia="Times New Roman"/>
          <w:sz w:val="30"/>
          <w:szCs w:val="30"/>
          <w:lang w:val="es-ES"/>
        </w:rPr>
        <w:t>de inversión y fideicomisos de titularización y de inversión que participen en el mercado de valores.</w:t>
      </w:r>
    </w:p>
    <w:p w:rsidR="00000000" w:rsidRDefault="0018461E">
      <w:pPr>
        <w:divId w:val="2001228840"/>
        <w:rPr>
          <w:rFonts w:eastAsia="Times New Roman"/>
          <w:sz w:val="30"/>
          <w:szCs w:val="30"/>
          <w:lang w:val="es-ES"/>
        </w:rPr>
      </w:pPr>
      <w:r>
        <w:rPr>
          <w:rFonts w:eastAsia="Times New Roman"/>
          <w:b/>
          <w:bCs/>
          <w:sz w:val="30"/>
          <w:szCs w:val="30"/>
          <w:lang w:val="es-ES"/>
        </w:rPr>
        <w:t xml:space="preserve">DISPOSICIÓN TRANSITORIA DÉCIMA SÉPTIMA: </w:t>
      </w:r>
      <w:r>
        <w:rPr>
          <w:rFonts w:eastAsia="Times New Roman"/>
          <w:sz w:val="30"/>
          <w:szCs w:val="30"/>
          <w:lang w:val="es-ES"/>
        </w:rPr>
        <w:t>Los fideicomisos de garantía vigentes a la fecha de publicación de esta ley en el Registro Oficial, y que no se aj</w:t>
      </w:r>
      <w:r>
        <w:rPr>
          <w:rFonts w:eastAsia="Times New Roman"/>
          <w:sz w:val="30"/>
          <w:szCs w:val="30"/>
          <w:lang w:val="es-ES"/>
        </w:rPr>
        <w:t>usten a lo dispuesto en el artículo 53 de esta ley, no podrán adquirir, sustituir ni recibir más aportes de activos de ninguna especie, ni incrementar su patrimonio, y permanecerán vigentes solamente por el plazo para el cual fueron originalmente constitui</w:t>
      </w:r>
      <w:r>
        <w:rPr>
          <w:rFonts w:eastAsia="Times New Roman"/>
          <w:sz w:val="30"/>
          <w:szCs w:val="30"/>
          <w:lang w:val="es-ES"/>
        </w:rPr>
        <w:t>dos.</w:t>
      </w:r>
    </w:p>
    <w:p w:rsidR="00000000" w:rsidRDefault="0018461E">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FUENTES DE LA CODIFICACIÓN DE LA LEY DE MERCADO DE VALORES</w:t>
      </w:r>
    </w:p>
    <w:p w:rsidR="00000000" w:rsidRDefault="0018461E">
      <w:pPr>
        <w:divId w:val="891841157"/>
        <w:rPr>
          <w:rFonts w:eastAsia="Times New Roman"/>
          <w:sz w:val="30"/>
          <w:szCs w:val="30"/>
          <w:lang w:val="es-ES"/>
        </w:rPr>
      </w:pPr>
      <w:r>
        <w:rPr>
          <w:rFonts w:eastAsia="Times New Roman"/>
          <w:sz w:val="30"/>
          <w:szCs w:val="30"/>
          <w:lang w:val="es-ES"/>
        </w:rPr>
        <w:br/>
        <w:t>1.- Constitución Política de la República.</w:t>
      </w:r>
      <w:r>
        <w:rPr>
          <w:rFonts w:eastAsia="Times New Roman"/>
          <w:sz w:val="30"/>
          <w:szCs w:val="30"/>
          <w:lang w:val="es-ES"/>
        </w:rPr>
        <w:br/>
      </w:r>
      <w:r>
        <w:rPr>
          <w:rFonts w:eastAsia="Times New Roman"/>
          <w:sz w:val="30"/>
          <w:szCs w:val="30"/>
          <w:lang w:val="es-ES"/>
        </w:rPr>
        <w:br/>
        <w:t>2.- Ley No. 6, publicada en el Suplemento del Registro Oficial No. 32 de 27 de marzo de 1997.</w:t>
      </w:r>
      <w:r>
        <w:rPr>
          <w:rFonts w:eastAsia="Times New Roman"/>
          <w:sz w:val="30"/>
          <w:szCs w:val="30"/>
          <w:lang w:val="es-ES"/>
        </w:rPr>
        <w:br/>
      </w:r>
      <w:r>
        <w:rPr>
          <w:rFonts w:eastAsia="Times New Roman"/>
          <w:sz w:val="30"/>
          <w:szCs w:val="30"/>
          <w:lang w:val="es-ES"/>
        </w:rPr>
        <w:br/>
      </w:r>
      <w:r>
        <w:rPr>
          <w:rFonts w:eastAsia="Times New Roman"/>
          <w:sz w:val="30"/>
          <w:szCs w:val="30"/>
          <w:lang w:val="es-ES"/>
        </w:rPr>
        <w:t>3.- Ley No. 107, publicada en el Registro Oficial No. 367 de 23 de julio de 1998.</w:t>
      </w:r>
      <w:r>
        <w:rPr>
          <w:rFonts w:eastAsia="Times New Roman"/>
          <w:sz w:val="30"/>
          <w:szCs w:val="30"/>
          <w:lang w:val="es-ES"/>
        </w:rPr>
        <w:br/>
      </w:r>
      <w:r>
        <w:rPr>
          <w:rFonts w:eastAsia="Times New Roman"/>
          <w:sz w:val="30"/>
          <w:szCs w:val="30"/>
          <w:lang w:val="es-ES"/>
        </w:rPr>
        <w:br/>
        <w:t>4.- Ley No. 124, publicada en el Registro Oficial No. 379 de 8 de agosto de 1998.</w:t>
      </w:r>
      <w:r>
        <w:rPr>
          <w:rFonts w:eastAsia="Times New Roman"/>
          <w:sz w:val="30"/>
          <w:szCs w:val="30"/>
          <w:lang w:val="es-ES"/>
        </w:rPr>
        <w:br/>
      </w:r>
      <w:r>
        <w:rPr>
          <w:rFonts w:eastAsia="Times New Roman"/>
          <w:sz w:val="30"/>
          <w:szCs w:val="30"/>
          <w:lang w:val="es-ES"/>
        </w:rPr>
        <w:br/>
        <w:t>5.- Ley No. 98-12, publicada en el Suplemento del Registro Oficial No. 20 de 7 de septiemb</w:t>
      </w:r>
      <w:r>
        <w:rPr>
          <w:rFonts w:eastAsia="Times New Roman"/>
          <w:sz w:val="30"/>
          <w:szCs w:val="30"/>
          <w:lang w:val="es-ES"/>
        </w:rPr>
        <w:t>re de 1998.</w:t>
      </w:r>
      <w:r>
        <w:rPr>
          <w:rFonts w:eastAsia="Times New Roman"/>
          <w:sz w:val="30"/>
          <w:szCs w:val="30"/>
          <w:lang w:val="es-ES"/>
        </w:rPr>
        <w:br/>
      </w:r>
      <w:r>
        <w:rPr>
          <w:rFonts w:eastAsia="Times New Roman"/>
          <w:sz w:val="30"/>
          <w:szCs w:val="30"/>
          <w:lang w:val="es-ES"/>
        </w:rPr>
        <w:br/>
        <w:t>6.- Ley No. 99-24, publicada en el Suplemento del Registro Oficial No. 181 de 30 de abril de 1999.</w:t>
      </w:r>
      <w:r>
        <w:rPr>
          <w:rFonts w:eastAsia="Times New Roman"/>
          <w:sz w:val="30"/>
          <w:szCs w:val="30"/>
          <w:lang w:val="es-ES"/>
        </w:rPr>
        <w:br/>
      </w:r>
      <w:r>
        <w:rPr>
          <w:rFonts w:eastAsia="Times New Roman"/>
          <w:sz w:val="30"/>
          <w:szCs w:val="30"/>
          <w:lang w:val="es-ES"/>
        </w:rPr>
        <w:br/>
        <w:t>7.- Ley No. 99-34, publicada en el Registro Oficial No. 224 de 1 de julio de 1999.</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Ley No. 2000-4, publicada en el Registro Oficial No. 34</w:t>
      </w:r>
      <w:r>
        <w:rPr>
          <w:rFonts w:eastAsia="Times New Roman"/>
          <w:sz w:val="30"/>
          <w:szCs w:val="30"/>
          <w:lang w:val="es-ES"/>
        </w:rPr>
        <w:t xml:space="preserve"> de 13 de marzo del 2000.</w:t>
      </w:r>
      <w:r>
        <w:rPr>
          <w:rFonts w:eastAsia="Times New Roman"/>
          <w:sz w:val="30"/>
          <w:szCs w:val="30"/>
          <w:lang w:val="es-ES"/>
        </w:rPr>
        <w:br/>
      </w:r>
      <w:r>
        <w:rPr>
          <w:rFonts w:eastAsia="Times New Roman"/>
          <w:sz w:val="30"/>
          <w:szCs w:val="30"/>
          <w:lang w:val="es-ES"/>
        </w:rPr>
        <w:br/>
        <w:t>9.- Decreto Ley No. 2000-1, publicado en el Suplemento del Registro Oficial No. 144 de 18 de agosto del 2000.</w:t>
      </w:r>
      <w:r>
        <w:rPr>
          <w:rFonts w:eastAsia="Times New Roman"/>
          <w:sz w:val="30"/>
          <w:szCs w:val="30"/>
          <w:lang w:val="es-ES"/>
        </w:rPr>
        <w:br/>
      </w:r>
      <w:r>
        <w:rPr>
          <w:rFonts w:eastAsia="Times New Roman"/>
          <w:sz w:val="30"/>
          <w:szCs w:val="30"/>
          <w:lang w:val="es-ES"/>
        </w:rPr>
        <w:br/>
        <w:t>10.- Ley No. 2001-55, publicada en el Registro Oficial No. 465 de 30 de noviembre del 2001.</w:t>
      </w:r>
      <w:r>
        <w:rPr>
          <w:rFonts w:eastAsia="Times New Roman"/>
          <w:sz w:val="30"/>
          <w:szCs w:val="30"/>
          <w:lang w:val="es-ES"/>
        </w:rPr>
        <w:br/>
      </w:r>
      <w:r>
        <w:rPr>
          <w:rFonts w:eastAsia="Times New Roman"/>
          <w:sz w:val="30"/>
          <w:szCs w:val="30"/>
          <w:lang w:val="es-ES"/>
        </w:rPr>
        <w:br/>
        <w:t>11.- Ley No. 2002-61, pub</w:t>
      </w:r>
      <w:r>
        <w:rPr>
          <w:rFonts w:eastAsia="Times New Roman"/>
          <w:sz w:val="30"/>
          <w:szCs w:val="30"/>
          <w:lang w:val="es-ES"/>
        </w:rPr>
        <w:t>licada en el Registro Oficial No. 511 de 7 de febrero del 2002.</w:t>
      </w:r>
    </w:p>
    <w:p w:rsidR="00000000" w:rsidRDefault="0018461E">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CONCORDANCIAS DE LA CODIFICACIÓN DE LA LEY DE MERCADO DE VALORES</w:t>
      </w:r>
    </w:p>
    <w:p w:rsidR="00000000" w:rsidRDefault="0018461E">
      <w:pPr>
        <w:divId w:val="521549097"/>
        <w:rPr>
          <w:rFonts w:eastAsia="Times New Roman"/>
          <w:sz w:val="30"/>
          <w:szCs w:val="30"/>
          <w:lang w:val="es-ES"/>
        </w:rPr>
      </w:pPr>
    </w:p>
    <w:p w:rsidR="00000000" w:rsidRDefault="0018461E">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9"/>
        <w:gridCol w:w="1012"/>
      </w:tblGrid>
      <w:tr w:rsidR="00000000">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rPr>
                <w:rFonts w:eastAsia="Times New Roman"/>
              </w:rPr>
            </w:pPr>
            <w:r>
              <w:rPr>
                <w:rFonts w:eastAsia="Times New Roman"/>
              </w:rPr>
              <w:t>&lt;td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39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49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59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69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79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89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lastRenderedPageBreak/>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99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109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119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129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lastRenderedPageBreak/>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139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149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159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169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lastRenderedPageBreak/>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179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189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199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209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lastRenderedPageBreak/>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219*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222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1ra.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2da.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3ra.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4ta.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1ra.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5ta.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6ta.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2da.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7ma.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8va.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D.T. 9na.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D.F.</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461E">
            <w:pPr>
              <w:jc w:val="center"/>
              <w:rPr>
                <w:rFonts w:eastAsia="Times New Roman"/>
              </w:rPr>
            </w:pPr>
            <w:r>
              <w:rPr>
                <w:rFonts w:eastAsia="Times New Roman"/>
              </w:rPr>
              <w:t>D.F.</w:t>
            </w:r>
          </w:p>
        </w:tc>
      </w:tr>
    </w:tbl>
    <w:p w:rsidR="00000000" w:rsidRDefault="0018461E">
      <w:pPr>
        <w:divId w:val="1693677558"/>
        <w:rPr>
          <w:rFonts w:eastAsia="Times New Roman"/>
          <w:sz w:val="30"/>
          <w:szCs w:val="30"/>
          <w:lang w:val="es-ES"/>
        </w:rPr>
      </w:pPr>
      <w:r>
        <w:rPr>
          <w:rFonts w:eastAsia="Times New Roman"/>
          <w:b/>
          <w:bCs/>
          <w:sz w:val="30"/>
          <w:szCs w:val="30"/>
          <w:lang w:val="es-ES"/>
        </w:rPr>
        <w:lastRenderedPageBreak/>
        <w:t>*</w:t>
      </w:r>
      <w:r>
        <w:rPr>
          <w:rFonts w:eastAsia="Times New Roman"/>
          <w:sz w:val="30"/>
          <w:szCs w:val="30"/>
          <w:lang w:val="es-ES"/>
        </w:rPr>
        <w:t xml:space="preserve"> </w:t>
      </w:r>
      <w:r>
        <w:rPr>
          <w:rFonts w:eastAsia="Times New Roman"/>
          <w:sz w:val="30"/>
          <w:szCs w:val="30"/>
          <w:lang w:val="es-ES"/>
        </w:rPr>
        <w:t>El Título XXIV, por sistematización se reubica antes del Título XXIII de las Disposiciones Generales.</w:t>
      </w:r>
    </w:p>
    <w:p w:rsidR="00000000"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MERCADO DE VALORES</w:t>
      </w:r>
    </w:p>
    <w:p w:rsidR="00000000" w:rsidRDefault="0018461E">
      <w:pPr>
        <w:divId w:val="1169760282"/>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Codificación 2006-001 (Suplemento del Registro Oficial 215, 22-II-2006)</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(Tercer Suplemento del Registro Oficial 498, 31-XII-2008)</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Código Orgánico Integral Penal (Suplemento del Registro Oficial, 10-II-2014)</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(Suplemento del Registro Oficial 249, 20-V-2014).</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Código Orgánico Monetario y Financiero (</w:t>
      </w:r>
      <w:r>
        <w:rPr>
          <w:rFonts w:eastAsia="Times New Roman"/>
          <w:sz w:val="30"/>
          <w:szCs w:val="30"/>
          <w:lang w:val="es-ES"/>
        </w:rPr>
        <w:t>Segundo Suplemento del Registro Oficial 332, 12-IX-2014)</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Código s/n (Suplemento del Registro Oficial 509, 22-V-2015).</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Ley s/n (Suplemento del Registro Oficial 986, 18-IV-2017).</w:t>
      </w:r>
    </w:p>
    <w:p w:rsidR="00000000"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LIBRO III</w:t>
      </w:r>
      <w:r>
        <w:rPr>
          <w:rFonts w:eastAsia="Times New Roman"/>
          <w:b/>
          <w:bCs/>
          <w:sz w:val="36"/>
          <w:szCs w:val="36"/>
          <w:lang w:val="es-ES"/>
        </w:rPr>
        <w:br/>
      </w:r>
      <w:r>
        <w:rPr>
          <w:rFonts w:eastAsia="Times New Roman"/>
          <w:b/>
          <w:bCs/>
          <w:sz w:val="36"/>
          <w:szCs w:val="36"/>
          <w:lang w:val="es-ES"/>
        </w:rPr>
        <w:br/>
        <w:t>LEY GENERAL DE SEGUROS</w:t>
      </w:r>
      <w:r>
        <w:rPr>
          <w:rFonts w:eastAsia="Times New Roman"/>
          <w:b/>
          <w:bCs/>
          <w:sz w:val="36"/>
          <w:szCs w:val="36"/>
          <w:lang w:val="es-ES"/>
        </w:rPr>
        <w:br/>
        <w:t>(Codificación No. 2006-010)</w:t>
      </w:r>
    </w:p>
    <w:p w:rsidR="00000000" w:rsidRDefault="0018461E">
      <w:pPr>
        <w:divId w:val="272978780"/>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u w:val="single"/>
          <w:lang w:val="es-ES"/>
        </w:rPr>
        <w:t>:</w:t>
      </w:r>
      <w:r>
        <w:rPr>
          <w:rFonts w:eastAsia="Times New Roman"/>
          <w:b/>
          <w:bCs/>
          <w:sz w:val="30"/>
          <w:szCs w:val="30"/>
          <w:lang w:val="es-ES"/>
        </w:rPr>
        <w:br/>
        <w:t xml:space="preserve">- </w:t>
      </w:r>
      <w:r>
        <w:rPr>
          <w:rFonts w:eastAsia="Times New Roman"/>
          <w:i/>
          <w:iCs/>
          <w:sz w:val="30"/>
          <w:szCs w:val="30"/>
          <w:lang w:val="es-ES"/>
        </w:rPr>
        <w:t>La versión de esta Ley previa a su codificación puede ser consultada en la sección</w:t>
      </w:r>
      <w:r>
        <w:rPr>
          <w:rFonts w:eastAsia="Times New Roman"/>
          <w:i/>
          <w:iCs/>
          <w:sz w:val="30"/>
          <w:szCs w:val="30"/>
          <w:lang w:val="es-ES"/>
        </w:rPr>
        <w:t xml:space="preserve"> </w:t>
      </w:r>
      <w:r>
        <w:rPr>
          <w:rFonts w:eastAsia="Times New Roman"/>
          <w:i/>
          <w:iCs/>
          <w:sz w:val="30"/>
          <w:szCs w:val="30"/>
          <w:lang w:val="es-ES"/>
        </w:rPr>
        <w:t>histórica</w:t>
      </w:r>
      <w:r>
        <w:rPr>
          <w:rFonts w:eastAsia="Times New Roman"/>
          <w:sz w:val="30"/>
          <w:szCs w:val="30"/>
          <w:lang w:val="es-ES"/>
        </w:rPr>
        <w:t>.</w:t>
      </w:r>
      <w:r>
        <w:rPr>
          <w:rFonts w:eastAsia="Times New Roman"/>
          <w:sz w:val="30"/>
          <w:szCs w:val="30"/>
          <w:lang w:val="es-ES"/>
        </w:rPr>
        <w:br/>
        <w:t>-</w:t>
      </w:r>
      <w:r>
        <w:rPr>
          <w:rFonts w:eastAsia="Times New Roman"/>
          <w:i/>
          <w:iCs/>
          <w:sz w:val="30"/>
          <w:szCs w:val="30"/>
          <w:lang w:val="es-ES"/>
        </w:rPr>
        <w:t xml:space="preserve"> En aplicación a la reforma establecida en la Disposición General Décima Novena de la LEY DE MERCADO DE VALORES (R.O. 215-S, 22-II-2006) y la Disposición Gen</w:t>
      </w:r>
      <w:r>
        <w:rPr>
          <w:rFonts w:eastAsia="Times New Roman"/>
          <w:i/>
          <w:iCs/>
          <w:sz w:val="30"/>
          <w:szCs w:val="30"/>
          <w:lang w:val="es-ES"/>
        </w:rPr>
        <w:t xml:space="preserve">eral Décima Segunda de la LEY DE COMPAÑÍAS (R.O. 312, 5-XI-1999), la denominación "Superintendencia de Compañías" fue sustituida por </w:t>
      </w:r>
      <w:r>
        <w:rPr>
          <w:rFonts w:eastAsia="Times New Roman"/>
          <w:i/>
          <w:iCs/>
          <w:sz w:val="30"/>
          <w:szCs w:val="30"/>
          <w:lang w:val="es-ES"/>
        </w:rPr>
        <w:lastRenderedPageBreak/>
        <w:t>"Superintendencia de Compañías y Valores".</w:t>
      </w:r>
      <w:r>
        <w:rPr>
          <w:rFonts w:eastAsia="Times New Roman"/>
          <w:sz w:val="30"/>
          <w:szCs w:val="30"/>
          <w:lang w:val="es-ES"/>
        </w:rPr>
        <w:br/>
      </w:r>
      <w:r>
        <w:rPr>
          <w:rFonts w:eastAsia="Times New Roman"/>
          <w:i/>
          <w:iCs/>
          <w:sz w:val="30"/>
          <w:szCs w:val="30"/>
          <w:lang w:val="es-ES"/>
        </w:rPr>
        <w:t>- En aplicación a la reforma establecida en la Disposición General Décima Segund</w:t>
      </w:r>
      <w:r>
        <w:rPr>
          <w:rFonts w:eastAsia="Times New Roman"/>
          <w:i/>
          <w:iCs/>
          <w:sz w:val="30"/>
          <w:szCs w:val="30"/>
          <w:lang w:val="es-ES"/>
        </w:rPr>
        <w:t>a de la LEY DE COMPAÑÍAS (R.O. 312, 5-XI-1999), la denominación "Superintendente de Compañías" fue sustituida por "Superintendente de Compañías y Valores".</w:t>
      </w:r>
      <w:r>
        <w:rPr>
          <w:rFonts w:eastAsia="Times New Roman"/>
          <w:b/>
          <w:bCs/>
          <w:sz w:val="30"/>
          <w:szCs w:val="30"/>
          <w:u w:val="single"/>
          <w:lang w:val="es-ES"/>
        </w:rPr>
        <w:br/>
      </w:r>
      <w:r>
        <w:rPr>
          <w:rFonts w:eastAsia="Times New Roman"/>
          <w:i/>
          <w:iCs/>
          <w:sz w:val="30"/>
          <w:szCs w:val="30"/>
          <w:lang w:val="es-ES"/>
        </w:rPr>
        <w:t xml:space="preserve">- En aplicación a la reforma establecida en la Disposición Reformatoria Primera del Código Orgánico </w:t>
      </w:r>
      <w:r>
        <w:rPr>
          <w:rFonts w:eastAsia="Times New Roman"/>
          <w:i/>
          <w:iCs/>
          <w:sz w:val="30"/>
          <w:szCs w:val="30"/>
          <w:lang w:val="es-ES"/>
        </w:rPr>
        <w:t>Integral Penal (R.O. 180-S, 10-II-2014), la denominación del "Código Penal" fue sustituida por "Código Orgánico Integral Penal".</w:t>
      </w:r>
      <w:r>
        <w:rPr>
          <w:rFonts w:eastAsia="Times New Roman"/>
          <w:i/>
          <w:iCs/>
          <w:sz w:val="30"/>
          <w:szCs w:val="30"/>
          <w:lang w:val="es-ES"/>
        </w:rPr>
        <w:br/>
      </w:r>
      <w:r>
        <w:rPr>
          <w:rFonts w:eastAsia="Times New Roman"/>
          <w:b/>
          <w:bCs/>
          <w:sz w:val="30"/>
          <w:szCs w:val="30"/>
          <w:lang w:val="es-ES"/>
        </w:rPr>
        <w:t xml:space="preserve">- </w:t>
      </w:r>
      <w:r>
        <w:rPr>
          <w:rFonts w:eastAsia="Times New Roman"/>
          <w:i/>
          <w:iCs/>
          <w:sz w:val="30"/>
          <w:szCs w:val="30"/>
          <w:lang w:val="es-ES"/>
        </w:rPr>
        <w:t>De conformidad con la Disposición General Décima Octava del</w:t>
      </w:r>
      <w:r>
        <w:rPr>
          <w:rFonts w:eastAsia="Times New Roman"/>
          <w:i/>
          <w:iCs/>
          <w:sz w:val="30"/>
          <w:szCs w:val="30"/>
          <w:lang w:val="es-ES"/>
        </w:rPr>
        <w:t xml:space="preserve"> </w:t>
      </w:r>
      <w:r>
        <w:rPr>
          <w:rFonts w:eastAsia="Times New Roman"/>
          <w:i/>
          <w:iCs/>
          <w:sz w:val="30"/>
          <w:szCs w:val="30"/>
          <w:lang w:val="es-ES"/>
        </w:rPr>
        <w:t>Código Orgánico Monetario y Financiero,</w:t>
      </w:r>
      <w:r>
        <w:rPr>
          <w:rFonts w:eastAsia="Times New Roman"/>
          <w:b/>
          <w:bCs/>
          <w:i/>
          <w:iCs/>
          <w:sz w:val="30"/>
          <w:szCs w:val="30"/>
          <w:lang w:val="es-ES"/>
        </w:rPr>
        <w:t xml:space="preserve"> </w:t>
      </w:r>
      <w:r>
        <w:rPr>
          <w:rFonts w:eastAsia="Times New Roman"/>
          <w:i/>
          <w:iCs/>
          <w:sz w:val="30"/>
          <w:szCs w:val="30"/>
          <w:lang w:val="es-ES"/>
        </w:rPr>
        <w:t>las disposiciones corresp</w:t>
      </w:r>
      <w:r>
        <w:rPr>
          <w:rFonts w:eastAsia="Times New Roman"/>
          <w:i/>
          <w:iCs/>
          <w:sz w:val="30"/>
          <w:szCs w:val="30"/>
          <w:lang w:val="es-ES"/>
        </w:rPr>
        <w:t>ondientes al Sistema Monetario y Financiero contenidos en los Títulos I, II y III constituyen el Libro I, la Ley de Mercado de Valores con sus reformas se incorpora como Libro II y la Ley General de Seguros con sus reformas se agrega como Libro III del Cód</w:t>
      </w:r>
      <w:r>
        <w:rPr>
          <w:rFonts w:eastAsia="Times New Roman"/>
          <w:i/>
          <w:iCs/>
          <w:sz w:val="30"/>
          <w:szCs w:val="30"/>
          <w:lang w:val="es-ES"/>
        </w:rPr>
        <w:t>igo Orgánico Monetario y Financiero.</w:t>
      </w:r>
    </w:p>
    <w:p w:rsidR="00000000" w:rsidRDefault="0018461E">
      <w:pPr>
        <w:divId w:val="29425970"/>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H. CONGRESO NACIONAL</w:t>
      </w:r>
      <w:r>
        <w:rPr>
          <w:rFonts w:eastAsia="Times New Roman"/>
          <w:sz w:val="30"/>
          <w:szCs w:val="30"/>
          <w:lang w:val="es-ES"/>
        </w:rPr>
        <w:br/>
      </w:r>
      <w:r>
        <w:rPr>
          <w:rFonts w:eastAsia="Times New Roman"/>
          <w:sz w:val="30"/>
          <w:szCs w:val="30"/>
          <w:lang w:val="es-ES"/>
        </w:rPr>
        <w:br/>
        <w:t>LA COMISIÓN DE LEGISLACIÓN Y CODIFICACIÓN</w:t>
      </w:r>
    </w:p>
    <w:p w:rsidR="00000000" w:rsidRDefault="0018461E">
      <w:pPr>
        <w:jc w:val="center"/>
        <w:rPr>
          <w:rFonts w:eastAsia="Times New Roman"/>
          <w:sz w:val="36"/>
          <w:szCs w:val="36"/>
          <w:lang w:val="es-ES"/>
        </w:rPr>
      </w:pPr>
      <w:r>
        <w:rPr>
          <w:rFonts w:eastAsia="Times New Roman"/>
          <w:b/>
          <w:bCs/>
          <w:sz w:val="36"/>
          <w:szCs w:val="36"/>
          <w:lang w:val="es-ES"/>
        </w:rPr>
        <w:br/>
        <w:t>INTRODUCCIÓN A LA CODIFICACIÓN DE LA LEY GENERAL DE SEGUROS</w:t>
      </w:r>
    </w:p>
    <w:p w:rsidR="00000000" w:rsidRDefault="0018461E">
      <w:pPr>
        <w:divId w:val="1634554400"/>
        <w:rPr>
          <w:rFonts w:eastAsia="Times New Roman"/>
          <w:sz w:val="30"/>
          <w:szCs w:val="30"/>
          <w:lang w:val="es-ES"/>
        </w:rPr>
      </w:pPr>
      <w:r>
        <w:rPr>
          <w:rFonts w:eastAsia="Times New Roman"/>
          <w:sz w:val="30"/>
          <w:szCs w:val="30"/>
          <w:lang w:val="es-ES"/>
        </w:rPr>
        <w:t>La Comisión de Legislación y Codificación del H. Congreso Nacional de conformidad con lo dis</w:t>
      </w:r>
      <w:r>
        <w:rPr>
          <w:rFonts w:eastAsia="Times New Roman"/>
          <w:sz w:val="30"/>
          <w:szCs w:val="30"/>
          <w:lang w:val="es-ES"/>
        </w:rPr>
        <w:t>puesto en el Art. 160 de la Constitución Política de la República, realiza la presente Codificación de la Ley General de Seguros, considerando las disposiciones de la Constitución Política de la República; leyes reformatorias y derogatorias expresas y táci</w:t>
      </w:r>
      <w:r>
        <w:rPr>
          <w:rFonts w:eastAsia="Times New Roman"/>
          <w:sz w:val="30"/>
          <w:szCs w:val="30"/>
          <w:lang w:val="es-ES"/>
        </w:rPr>
        <w:t>tas; Ley para la Transformación Económica del Ecuador; Ley de Contratación Pública; Ley Reformatoria a la Ley de Régimen Monetario y Banco del Estado; Código de Procedimiento Penal; Ley General de Instituciones del Sistema Financiero; Ley de Régimen Tribut</w:t>
      </w:r>
      <w:r>
        <w:rPr>
          <w:rFonts w:eastAsia="Times New Roman"/>
          <w:sz w:val="30"/>
          <w:szCs w:val="30"/>
          <w:lang w:val="es-ES"/>
        </w:rPr>
        <w:t>ario Interno; y, Resolución No. 211-98-TC del Tribunal Constitucional.</w:t>
      </w:r>
      <w:r>
        <w:rPr>
          <w:rFonts w:eastAsia="Times New Roman"/>
          <w:sz w:val="30"/>
          <w:szCs w:val="30"/>
          <w:lang w:val="es-ES"/>
        </w:rPr>
        <w:br/>
      </w:r>
      <w:r>
        <w:rPr>
          <w:rFonts w:eastAsia="Times New Roman"/>
          <w:sz w:val="30"/>
          <w:szCs w:val="30"/>
          <w:lang w:val="es-ES"/>
        </w:rPr>
        <w:br/>
        <w:t>Con estos antecedentes, se codifican las disposiciones de esta Ley, destacando la sustitución en todo el texto de las referencias que se hacen de "Superintendencia de Bancos"; y, "Supe</w:t>
      </w:r>
      <w:r>
        <w:rPr>
          <w:rFonts w:eastAsia="Times New Roman"/>
          <w:sz w:val="30"/>
          <w:szCs w:val="30"/>
          <w:lang w:val="es-ES"/>
        </w:rPr>
        <w:t xml:space="preserve">rintendente de </w:t>
      </w:r>
      <w:r>
        <w:rPr>
          <w:rFonts w:eastAsia="Times New Roman"/>
          <w:sz w:val="30"/>
          <w:szCs w:val="30"/>
          <w:lang w:val="es-ES"/>
        </w:rPr>
        <w:lastRenderedPageBreak/>
        <w:t>Bancos" por "Superintendencia de Bancos y Seguros"; y, "Superintendente de Bancos y Seguros", respectivamente, de conformidad a lo dispuesto en el quinto inciso de la Primera Disposición de Reformas y Derogatorias, de la Ley de Seguridad Soc</w:t>
      </w:r>
      <w:r>
        <w:rPr>
          <w:rFonts w:eastAsia="Times New Roman"/>
          <w:sz w:val="30"/>
          <w:szCs w:val="30"/>
          <w:lang w:val="es-ES"/>
        </w:rPr>
        <w:t xml:space="preserve">ial, publicada en el Suplemento del Registro Oficial No. 465 del 30 de noviembre del 2001. </w:t>
      </w:r>
      <w:r>
        <w:rPr>
          <w:rFonts w:eastAsia="Times New Roman"/>
          <w:sz w:val="30"/>
          <w:szCs w:val="30"/>
          <w:lang w:val="es-ES"/>
        </w:rPr>
        <w:br/>
      </w:r>
      <w:r>
        <w:rPr>
          <w:rFonts w:eastAsia="Times New Roman"/>
          <w:sz w:val="30"/>
          <w:szCs w:val="30"/>
          <w:lang w:val="es-ES"/>
        </w:rPr>
        <w:br/>
        <w:t xml:space="preserve">Los textos en los que se hace referencia a "sucres" o "moneda nacional", han sido reemplazados por "moneda de curso legal", puesto que el Art. 1 de la Ley para la </w:t>
      </w:r>
      <w:r>
        <w:rPr>
          <w:rFonts w:eastAsia="Times New Roman"/>
          <w:sz w:val="30"/>
          <w:szCs w:val="30"/>
          <w:lang w:val="es-ES"/>
        </w:rPr>
        <w:t>Transformación Económica del Ecuador manda que a partir de la vigencia de dicha ley, circularán en adelante dólares de los Estados Unidos de América, que no constituye moneda nacional sino moneda de curso legal o de circulación legal, criterio compartido y</w:t>
      </w:r>
      <w:r>
        <w:rPr>
          <w:rFonts w:eastAsia="Times New Roman"/>
          <w:sz w:val="30"/>
          <w:szCs w:val="30"/>
          <w:lang w:val="es-ES"/>
        </w:rPr>
        <w:t xml:space="preserve"> recogido por el H. Congreso Nacional y que ha sido incorporado, por ejemplo, en las siguientes disposiciones: Art. 42 de la Ley para la Transformación Económica del Ecuador, que sustituye el texto del Art. 449 del Código de Comercio; en el Art. 20 de la L</w:t>
      </w:r>
      <w:r>
        <w:rPr>
          <w:rFonts w:eastAsia="Times New Roman"/>
          <w:sz w:val="30"/>
          <w:szCs w:val="30"/>
          <w:lang w:val="es-ES"/>
        </w:rPr>
        <w:t>ey de Empresas Unipersonales de Responsabilidad Limitada, publicada en el Registro Oficial No. 196 del 26 de enero del 2006; en el Art. 71 de la Ley de Educación Superior, publicada en el Registro Oficial No. 77 del 15 de mayo del 2000; en el primer inciso</w:t>
      </w:r>
      <w:r>
        <w:rPr>
          <w:rFonts w:eastAsia="Times New Roman"/>
          <w:sz w:val="30"/>
          <w:szCs w:val="30"/>
          <w:lang w:val="es-ES"/>
        </w:rPr>
        <w:t xml:space="preserve"> del Art. 24 de la Ley Orgánica de la Corporación Financiera Nacional, sustituido por el Art. 13 de la Ley 2005-17, Reformatoria a la Ley en referencia, publicada en el Registro Oficial No. 143, del 11 de noviembre del 2005; y, en el segundo inciso del Art</w:t>
      </w:r>
      <w:r>
        <w:rPr>
          <w:rFonts w:eastAsia="Times New Roman"/>
          <w:sz w:val="30"/>
          <w:szCs w:val="30"/>
          <w:lang w:val="es-ES"/>
        </w:rPr>
        <w:t>. 24 de la Ley para Reprimir el Lavado de Activos, publicada en el Registro Oficial No. 127 del 18 de octubre del 2005, entre otras.</w:t>
      </w:r>
      <w:r>
        <w:rPr>
          <w:rFonts w:eastAsia="Times New Roman"/>
          <w:sz w:val="30"/>
          <w:szCs w:val="30"/>
          <w:lang w:val="es-ES"/>
        </w:rPr>
        <w:br/>
      </w:r>
      <w:r>
        <w:rPr>
          <w:rFonts w:eastAsia="Times New Roman"/>
          <w:sz w:val="30"/>
          <w:szCs w:val="30"/>
          <w:lang w:val="es-ES"/>
        </w:rPr>
        <w:br/>
        <w:t>El segundo inciso del Art. 3, se redacta considerando la fecha de vigencia de la presente Ley, esto es, el Registro Oficia</w:t>
      </w:r>
      <w:r>
        <w:rPr>
          <w:rFonts w:eastAsia="Times New Roman"/>
          <w:sz w:val="30"/>
          <w:szCs w:val="30"/>
          <w:lang w:val="es-ES"/>
        </w:rPr>
        <w:t>l No. 74 del 3 de abril de 1998, por lo que el texto dirá: "Las empresas de seguros son: de seguros generales, de seguros de vida y las que operaban al 3 de abril de 1998 en conjunto en las dos actividades. Las empresas de seguros que se constituyeron a pa</w:t>
      </w:r>
      <w:r>
        <w:rPr>
          <w:rFonts w:eastAsia="Times New Roman"/>
          <w:sz w:val="30"/>
          <w:szCs w:val="30"/>
          <w:lang w:val="es-ES"/>
        </w:rPr>
        <w:t>rtir del 3 de abril de 1998, sólo podrán operar en seguros generales o en seguros de vida".</w:t>
      </w:r>
      <w:r>
        <w:rPr>
          <w:rFonts w:eastAsia="Times New Roman"/>
          <w:sz w:val="30"/>
          <w:szCs w:val="30"/>
          <w:lang w:val="es-ES"/>
        </w:rPr>
        <w:br/>
      </w:r>
      <w:r>
        <w:rPr>
          <w:rFonts w:eastAsia="Times New Roman"/>
          <w:sz w:val="30"/>
          <w:szCs w:val="30"/>
          <w:lang w:val="es-ES"/>
        </w:rPr>
        <w:br/>
        <w:t>Conforme dispone el Art. 12 de la Ley para la Transformación Económica del Ecuador, las referencias y valores en unidades de valor constante se sustituyen por su e</w:t>
      </w:r>
      <w:r>
        <w:rPr>
          <w:rFonts w:eastAsia="Times New Roman"/>
          <w:sz w:val="30"/>
          <w:szCs w:val="30"/>
          <w:lang w:val="es-ES"/>
        </w:rPr>
        <w:t xml:space="preserve">quivalente en 2,6289 dólares de los Estados Unidos de América por cada UVC; con similar antecedente </w:t>
      </w:r>
      <w:r>
        <w:rPr>
          <w:rFonts w:eastAsia="Times New Roman"/>
          <w:sz w:val="30"/>
          <w:szCs w:val="30"/>
          <w:lang w:val="es-ES"/>
        </w:rPr>
        <w:lastRenderedPageBreak/>
        <w:t>no se incluye el inciso sexto del Art. 14 que decía: "El valor de los UVC se liquidará en los términos previstos en la Ley de Régimen Monetario".</w:t>
      </w:r>
      <w:r>
        <w:rPr>
          <w:rFonts w:eastAsia="Times New Roman"/>
          <w:sz w:val="30"/>
          <w:szCs w:val="30"/>
          <w:lang w:val="es-ES"/>
        </w:rPr>
        <w:br/>
      </w:r>
      <w:r>
        <w:rPr>
          <w:rFonts w:eastAsia="Times New Roman"/>
          <w:sz w:val="30"/>
          <w:szCs w:val="30"/>
          <w:lang w:val="es-ES"/>
        </w:rPr>
        <w:br/>
        <w:t>El inciso</w:t>
      </w:r>
      <w:r>
        <w:rPr>
          <w:rFonts w:eastAsia="Times New Roman"/>
          <w:sz w:val="30"/>
          <w:szCs w:val="30"/>
          <w:lang w:val="es-ES"/>
        </w:rPr>
        <w:t xml:space="preserve"> final del Art. 12 de la Ley para la Transformación Económica del Ecuador, dispone que cada salario mínimo vital general tiene un valor fijo e invariable equivalente a cuatro dólares de los Estados Unidos de América, por lo cual, en el primer inciso del Ar</w:t>
      </w:r>
      <w:r>
        <w:rPr>
          <w:rFonts w:eastAsia="Times New Roman"/>
          <w:sz w:val="30"/>
          <w:szCs w:val="30"/>
          <w:lang w:val="es-ES"/>
        </w:rPr>
        <w:t>t. 76 se sustituye el texto: "diez a mil salarios mínimos vitales generales" por "cuarenta a cuatro mil dólares de los Estados Unidos de América", y, en el primer inciso del Art. 77 se reemplaza "dos a doscientos salarios mínimos vitales", por "ocho a ocho</w:t>
      </w:r>
      <w:r>
        <w:rPr>
          <w:rFonts w:eastAsia="Times New Roman"/>
          <w:sz w:val="30"/>
          <w:szCs w:val="30"/>
          <w:lang w:val="es-ES"/>
        </w:rPr>
        <w:t xml:space="preserve">cientos dólares de los Estados Unidos de América". </w:t>
      </w:r>
      <w:r>
        <w:rPr>
          <w:rFonts w:eastAsia="Times New Roman"/>
          <w:sz w:val="30"/>
          <w:szCs w:val="30"/>
          <w:lang w:val="es-ES"/>
        </w:rPr>
        <w:br/>
      </w:r>
      <w:r>
        <w:rPr>
          <w:rFonts w:eastAsia="Times New Roman"/>
          <w:sz w:val="30"/>
          <w:szCs w:val="30"/>
          <w:lang w:val="es-ES"/>
        </w:rPr>
        <w:br/>
        <w:t>No se incluye el quinto inciso del Art. 14, en razón de que fue declarado inconstitucional por el fondo y suspendidos todos sus efectos, mediante Resolución del Tribunal Constitucional No. 211-98-TC, pub</w:t>
      </w:r>
      <w:r>
        <w:rPr>
          <w:rFonts w:eastAsia="Times New Roman"/>
          <w:sz w:val="30"/>
          <w:szCs w:val="30"/>
          <w:lang w:val="es-ES"/>
        </w:rPr>
        <w:t>licada en el Registro Oficial No. 7 del 19 de agosto de 1998; y, con igual antecedente no se incluye el segundo inciso del Art. 67.</w:t>
      </w:r>
      <w:r>
        <w:rPr>
          <w:rFonts w:eastAsia="Times New Roman"/>
          <w:sz w:val="30"/>
          <w:szCs w:val="30"/>
          <w:lang w:val="es-ES"/>
        </w:rPr>
        <w:br/>
      </w:r>
      <w:r>
        <w:rPr>
          <w:rFonts w:eastAsia="Times New Roman"/>
          <w:sz w:val="30"/>
          <w:szCs w:val="30"/>
          <w:lang w:val="es-ES"/>
        </w:rPr>
        <w:br/>
        <w:t>No se agrega el literal h) del Art. 25, que fue derogado por lo dispuesto en el literal g) del Art. 100 de la Ley para la T</w:t>
      </w:r>
      <w:r>
        <w:rPr>
          <w:rFonts w:eastAsia="Times New Roman"/>
          <w:sz w:val="30"/>
          <w:szCs w:val="30"/>
          <w:lang w:val="es-ES"/>
        </w:rPr>
        <w:t>ransformación Económica del Ecuador.</w:t>
      </w:r>
      <w:r>
        <w:rPr>
          <w:rFonts w:eastAsia="Times New Roman"/>
          <w:sz w:val="30"/>
          <w:szCs w:val="30"/>
          <w:lang w:val="es-ES"/>
        </w:rPr>
        <w:br/>
      </w:r>
      <w:r>
        <w:rPr>
          <w:rFonts w:eastAsia="Times New Roman"/>
          <w:sz w:val="30"/>
          <w:szCs w:val="30"/>
          <w:lang w:val="es-ES"/>
        </w:rPr>
        <w:br/>
        <w:t>En el literal a) del Art. 23 se sustituye la referencia de "Tesorería General del Estado" por "Tesorería General de la Nación", para guardar concordancia con lo dispuesto en el literal e) del Art. 73 de la Ley de Contr</w:t>
      </w:r>
      <w:r>
        <w:rPr>
          <w:rFonts w:eastAsia="Times New Roman"/>
          <w:sz w:val="30"/>
          <w:szCs w:val="30"/>
          <w:lang w:val="es-ES"/>
        </w:rPr>
        <w:t>atación Pública, codificación publicada en el Registro Oficial No. 272 del 22 de febrero del 2001, y, en el Art. 268 de la Ley de Seguridad Social, publicada en el Suplemento del Registro Oficial No. 465 del 30 de noviembre del 2001; y, en el literal g) se</w:t>
      </w:r>
      <w:r>
        <w:rPr>
          <w:rFonts w:eastAsia="Times New Roman"/>
          <w:sz w:val="30"/>
          <w:szCs w:val="30"/>
          <w:lang w:val="es-ES"/>
        </w:rPr>
        <w:t xml:space="preserve"> reemplaza el texto: "a la Junta Monetaria" por "al Directorio del Banco Central del Ecuador", conforme consta en la Disposición General de la Ley Reformatoria a la Ley de Régimen Monetario y Banco del Estado, publicada en el Suplemento del Registro Oficia</w:t>
      </w:r>
      <w:r>
        <w:rPr>
          <w:rFonts w:eastAsia="Times New Roman"/>
          <w:sz w:val="30"/>
          <w:szCs w:val="30"/>
          <w:lang w:val="es-ES"/>
        </w:rPr>
        <w:t>l No. 20 del 7 de septiembre de 1998, que ha sido declarada con el carácter de orgánica.</w:t>
      </w:r>
      <w:r>
        <w:rPr>
          <w:rFonts w:eastAsia="Times New Roman"/>
          <w:sz w:val="30"/>
          <w:szCs w:val="30"/>
          <w:lang w:val="es-ES"/>
        </w:rPr>
        <w:br/>
      </w:r>
      <w:r>
        <w:rPr>
          <w:rFonts w:eastAsia="Times New Roman"/>
          <w:sz w:val="30"/>
          <w:szCs w:val="30"/>
          <w:lang w:val="es-ES"/>
        </w:rPr>
        <w:br/>
        <w:t>En el segundo inciso del Art. 33, el segundo inciso del Art. 38 y el inciso final del Art. 58 se reemplaza el texto: "el juez penal competente" por "del fiscal o de l</w:t>
      </w:r>
      <w:r>
        <w:rPr>
          <w:rFonts w:eastAsia="Times New Roman"/>
          <w:sz w:val="30"/>
          <w:szCs w:val="30"/>
          <w:lang w:val="es-ES"/>
        </w:rPr>
        <w:t xml:space="preserve">a policía judicial", para guardar </w:t>
      </w:r>
      <w:r>
        <w:rPr>
          <w:rFonts w:eastAsia="Times New Roman"/>
          <w:sz w:val="30"/>
          <w:szCs w:val="30"/>
          <w:lang w:val="es-ES"/>
        </w:rPr>
        <w:lastRenderedPageBreak/>
        <w:t>concordancia con las disposiciones contenidas en el Código de Procedimiento Penal vigente, publicado en el Suplemento del Registro Oficial No. 360 del 13 de enero del 2000.</w:t>
      </w:r>
      <w:r>
        <w:rPr>
          <w:rFonts w:eastAsia="Times New Roman"/>
          <w:sz w:val="30"/>
          <w:szCs w:val="30"/>
          <w:lang w:val="es-ES"/>
        </w:rPr>
        <w:br/>
      </w:r>
      <w:r>
        <w:rPr>
          <w:rFonts w:eastAsia="Times New Roman"/>
          <w:sz w:val="30"/>
          <w:szCs w:val="30"/>
          <w:lang w:val="es-ES"/>
        </w:rPr>
        <w:br/>
        <w:t>Por sistematización en el Art. 45, se agregan li</w:t>
      </w:r>
      <w:r>
        <w:rPr>
          <w:rFonts w:eastAsia="Times New Roman"/>
          <w:sz w:val="30"/>
          <w:szCs w:val="30"/>
          <w:lang w:val="es-ES"/>
        </w:rPr>
        <w:t>terales a los motivos por los cuales termina la responsabilidad de una empresa de seguros.</w:t>
      </w:r>
      <w:r>
        <w:rPr>
          <w:rFonts w:eastAsia="Times New Roman"/>
          <w:sz w:val="30"/>
          <w:szCs w:val="30"/>
          <w:lang w:val="es-ES"/>
        </w:rPr>
        <w:br/>
      </w:r>
      <w:r>
        <w:rPr>
          <w:rFonts w:eastAsia="Times New Roman"/>
          <w:sz w:val="30"/>
          <w:szCs w:val="30"/>
          <w:lang w:val="es-ES"/>
        </w:rPr>
        <w:br/>
        <w:t>En el texto inicial del Art. 52, se sustituye el texto: "en la Ley de Compañías" por "la Junta Bancaria", puesto que la fusión y escisión de las entidades sujetas a</w:t>
      </w:r>
      <w:r>
        <w:rPr>
          <w:rFonts w:eastAsia="Times New Roman"/>
          <w:sz w:val="30"/>
          <w:szCs w:val="30"/>
          <w:lang w:val="es-ES"/>
        </w:rPr>
        <w:t>l control de la Superintendencia de Bancos y Seguros se someterán a las normas que para el efecto dicte la Junta Bancaria, conforme dispone el Art. 207 de la Ley General de Instituciones del Sistema Financiero, codificación publicada en el Registro Oficial</w:t>
      </w:r>
      <w:r>
        <w:rPr>
          <w:rFonts w:eastAsia="Times New Roman"/>
          <w:sz w:val="30"/>
          <w:szCs w:val="30"/>
          <w:lang w:val="es-ES"/>
        </w:rPr>
        <w:t xml:space="preserve"> No. 250 del 23 de enero del 2001.</w:t>
      </w:r>
      <w:r>
        <w:rPr>
          <w:rFonts w:eastAsia="Times New Roman"/>
          <w:sz w:val="30"/>
          <w:szCs w:val="30"/>
          <w:lang w:val="es-ES"/>
        </w:rPr>
        <w:br/>
      </w:r>
      <w:r>
        <w:rPr>
          <w:rFonts w:eastAsia="Times New Roman"/>
          <w:sz w:val="30"/>
          <w:szCs w:val="30"/>
          <w:lang w:val="es-ES"/>
        </w:rPr>
        <w:br/>
        <w:t>En el Art. 70, la referencia al "Ministerio de Finanzas y Crédito Público", se sustituye por: "Junta Bancaria", conforme consta en la reforma expresa prevista en el Art. 20 de la Ley Reformatoria a la Ley para la Transfo</w:t>
      </w:r>
      <w:r>
        <w:rPr>
          <w:rFonts w:eastAsia="Times New Roman"/>
          <w:sz w:val="30"/>
          <w:szCs w:val="30"/>
          <w:lang w:val="es-ES"/>
        </w:rPr>
        <w:t>rmación Económica del Ecuador, publicada en el Suplemento del Registro Oficial No. 48 del 31 de marzo del 2000.</w:t>
      </w:r>
      <w:r>
        <w:rPr>
          <w:rFonts w:eastAsia="Times New Roman"/>
          <w:sz w:val="30"/>
          <w:szCs w:val="30"/>
          <w:lang w:val="es-ES"/>
        </w:rPr>
        <w:br/>
      </w:r>
      <w:r>
        <w:rPr>
          <w:rFonts w:eastAsia="Times New Roman"/>
          <w:sz w:val="30"/>
          <w:szCs w:val="30"/>
          <w:lang w:val="es-ES"/>
        </w:rPr>
        <w:br/>
        <w:t xml:space="preserve">No se incluye el Art. 79, correspondiente al Capítulo III subtitulado "Reformas", del Título III, puesto que la reforma al numeral 19 del Art. </w:t>
      </w:r>
      <w:r>
        <w:rPr>
          <w:rFonts w:eastAsia="Times New Roman"/>
          <w:sz w:val="30"/>
          <w:szCs w:val="30"/>
          <w:lang w:val="es-ES"/>
        </w:rPr>
        <w:t>55 de la Ley de Régimen Tributario Interno, ya fue incorporada en la codificación publicada en el Suplemento del Registro Oficial No. 463 del 17 de noviembre del 2004, por lo que, en igual sentido, en el texto del Título III, "Disposiciones Generales, Refo</w:t>
      </w:r>
      <w:r>
        <w:rPr>
          <w:rFonts w:eastAsia="Times New Roman"/>
          <w:sz w:val="30"/>
          <w:szCs w:val="30"/>
          <w:lang w:val="es-ES"/>
        </w:rPr>
        <w:t xml:space="preserve">rmas, Derogatorias y Transitorias" no se incluye la referencia a las "Reformas". </w:t>
      </w:r>
      <w:r>
        <w:rPr>
          <w:rFonts w:eastAsia="Times New Roman"/>
          <w:sz w:val="30"/>
          <w:szCs w:val="30"/>
          <w:lang w:val="es-ES"/>
        </w:rPr>
        <w:br/>
      </w:r>
      <w:r>
        <w:rPr>
          <w:rFonts w:eastAsia="Times New Roman"/>
          <w:sz w:val="30"/>
          <w:szCs w:val="30"/>
          <w:lang w:val="es-ES"/>
        </w:rPr>
        <w:br/>
        <w:t>En la codificación, se excluyen las Disposiciones Transitorias Primera, Segunda, Quinta, Séptima, Octava y Novena, porque han perdido vigencia en atención a que han sido eje</w:t>
      </w:r>
      <w:r>
        <w:rPr>
          <w:rFonts w:eastAsia="Times New Roman"/>
          <w:sz w:val="30"/>
          <w:szCs w:val="30"/>
          <w:lang w:val="es-ES"/>
        </w:rPr>
        <w:t xml:space="preserve">cutadas. La Tercera Disposición Transitoria, que en la codificación consta como Primera, se redacta en pretérito ya que el sistema de cálculo para las reservas de riesgo, se encuentra vigente desde el año 1998, y su texto dice: "El sistema de cálculo para </w:t>
      </w:r>
      <w:r>
        <w:rPr>
          <w:rFonts w:eastAsia="Times New Roman"/>
          <w:sz w:val="30"/>
          <w:szCs w:val="30"/>
          <w:lang w:val="es-ES"/>
        </w:rPr>
        <w:t xml:space="preserve">las reservas de riesgos en curso está en vigencia desde el 1 de enero de 1998"; en igual forma, la Cuarta Disposición Transitoria que consta como Segunda, se redacta haciendo constar que se refiere a reclamos administrativos que se presentaron antes de la </w:t>
      </w:r>
      <w:r>
        <w:rPr>
          <w:rFonts w:eastAsia="Times New Roman"/>
          <w:sz w:val="30"/>
          <w:szCs w:val="30"/>
          <w:lang w:val="es-ES"/>
        </w:rPr>
        <w:t>vigencia de esta Ley, el 3 de abril de 1998.</w:t>
      </w:r>
      <w:r>
        <w:rPr>
          <w:rFonts w:eastAsia="Times New Roman"/>
          <w:sz w:val="30"/>
          <w:szCs w:val="30"/>
          <w:lang w:val="es-ES"/>
        </w:rPr>
        <w:br/>
      </w:r>
      <w:r>
        <w:rPr>
          <w:rFonts w:eastAsia="Times New Roman"/>
          <w:sz w:val="30"/>
          <w:szCs w:val="30"/>
          <w:lang w:val="es-ES"/>
        </w:rPr>
        <w:lastRenderedPageBreak/>
        <w:br/>
        <w:t>El artículo final, se redacta en pretérito haciendo referencia a que esta Ley está vigente desde su publicación en el Registro Oficial No. 290 del 3 de abril del año 1998; además que, en adelante, rige la nueva</w:t>
      </w:r>
      <w:r>
        <w:rPr>
          <w:rFonts w:eastAsia="Times New Roman"/>
          <w:sz w:val="30"/>
          <w:szCs w:val="30"/>
          <w:lang w:val="es-ES"/>
        </w:rPr>
        <w:t xml:space="preserve"> numeración del articulado correspondiente a esta codificación.</w:t>
      </w:r>
    </w:p>
    <w:p w:rsidR="00000000" w:rsidRDefault="0018461E">
      <w:pPr>
        <w:divId w:val="1095706747"/>
        <w:rPr>
          <w:rFonts w:eastAsia="Times New Roman"/>
          <w:sz w:val="30"/>
          <w:szCs w:val="30"/>
          <w:lang w:val="es-ES"/>
        </w:rPr>
      </w:pPr>
      <w:r>
        <w:rPr>
          <w:rFonts w:eastAsia="Times New Roman"/>
          <w:sz w:val="30"/>
          <w:szCs w:val="30"/>
          <w:lang w:val="es-ES"/>
        </w:rPr>
        <w:br/>
      </w:r>
      <w:r>
        <w:rPr>
          <w:rFonts w:eastAsia="Times New Roman"/>
          <w:sz w:val="30"/>
          <w:szCs w:val="30"/>
          <w:lang w:val="es-ES"/>
        </w:rPr>
        <w:br/>
        <w:t>H. CONGRESO NACIONAL</w:t>
      </w:r>
      <w:r>
        <w:rPr>
          <w:rFonts w:eastAsia="Times New Roman"/>
          <w:sz w:val="30"/>
          <w:szCs w:val="30"/>
          <w:lang w:val="es-ES"/>
        </w:rPr>
        <w:br/>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CODIFICACIÓN DE LA LEY GENERAL DE SEGUROS</w:t>
      </w:r>
    </w:p>
    <w:p w:rsidR="00000000" w:rsidRDefault="0018461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ÁMBITO DE LA LEY</w:t>
      </w:r>
    </w:p>
    <w:p w:rsidR="00000000" w:rsidRDefault="0018461E">
      <w:pPr>
        <w:divId w:val="2904228"/>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(Reformado </w:t>
      </w:r>
      <w:r>
        <w:rPr>
          <w:rFonts w:eastAsia="Times New Roman"/>
          <w:sz w:val="30"/>
          <w:szCs w:val="30"/>
          <w:lang w:val="es-ES"/>
        </w:rPr>
        <w:t xml:space="preserve">por la Disposición Reformatoria Décima Sexta, num. 1 del Código Orgánico Monetario y Financiero; R.O. 332-2S, 12-IX-2014) .- Esta Ley regula la constitución, organización, actividades, funcionamiento y extinción de las personas jurídicas y las operaciones </w:t>
      </w:r>
      <w:r>
        <w:rPr>
          <w:rFonts w:eastAsia="Times New Roman"/>
          <w:sz w:val="30"/>
          <w:szCs w:val="30"/>
          <w:lang w:val="es-ES"/>
        </w:rPr>
        <w:t>y actividades de las personas naturales que integran el sistema de seguro privado; las cuales se someterán a las leyes de la República y a la vigilancia y control de la Superintendencia de Compañías, Valores y Seguros.</w:t>
      </w:r>
    </w:p>
    <w:p w:rsidR="00000000" w:rsidRDefault="0018461E">
      <w:pPr>
        <w:divId w:val="1360156161"/>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Integran el sistema de segur</w:t>
      </w:r>
      <w:r>
        <w:rPr>
          <w:rFonts w:eastAsia="Times New Roman"/>
          <w:sz w:val="30"/>
          <w:szCs w:val="30"/>
          <w:lang w:val="es-ES"/>
        </w:rPr>
        <w:t>o privado:</w:t>
      </w:r>
      <w:r>
        <w:rPr>
          <w:rFonts w:eastAsia="Times New Roman"/>
          <w:sz w:val="30"/>
          <w:szCs w:val="30"/>
          <w:lang w:val="es-ES"/>
        </w:rPr>
        <w:br/>
      </w:r>
      <w:r>
        <w:rPr>
          <w:rFonts w:eastAsia="Times New Roman"/>
          <w:sz w:val="30"/>
          <w:szCs w:val="30"/>
          <w:lang w:val="es-ES"/>
        </w:rPr>
        <w:br/>
        <w:t>a) Todas las empresas que realicen operaciones de seguros;</w:t>
      </w:r>
      <w:r>
        <w:rPr>
          <w:rFonts w:eastAsia="Times New Roman"/>
          <w:sz w:val="30"/>
          <w:szCs w:val="30"/>
          <w:lang w:val="es-ES"/>
        </w:rPr>
        <w:br/>
      </w:r>
      <w:r>
        <w:rPr>
          <w:rFonts w:eastAsia="Times New Roman"/>
          <w:sz w:val="30"/>
          <w:szCs w:val="30"/>
          <w:lang w:val="es-ES"/>
        </w:rPr>
        <w:br/>
        <w:t>b) Las compañías de reaseguros;</w:t>
      </w:r>
      <w:r>
        <w:rPr>
          <w:rFonts w:eastAsia="Times New Roman"/>
          <w:sz w:val="30"/>
          <w:szCs w:val="30"/>
          <w:lang w:val="es-ES"/>
        </w:rPr>
        <w:br/>
      </w:r>
      <w:r>
        <w:rPr>
          <w:rFonts w:eastAsia="Times New Roman"/>
          <w:sz w:val="30"/>
          <w:szCs w:val="30"/>
          <w:lang w:val="es-ES"/>
        </w:rPr>
        <w:br/>
        <w:t>c) Los intermediarios de reaseguros;</w:t>
      </w:r>
      <w:r>
        <w:rPr>
          <w:rFonts w:eastAsia="Times New Roman"/>
          <w:sz w:val="30"/>
          <w:szCs w:val="30"/>
          <w:lang w:val="es-ES"/>
        </w:rPr>
        <w:br/>
      </w:r>
      <w:r>
        <w:rPr>
          <w:rFonts w:eastAsia="Times New Roman"/>
          <w:sz w:val="30"/>
          <w:szCs w:val="30"/>
          <w:lang w:val="es-ES"/>
        </w:rPr>
        <w:br/>
        <w:t>d) Los peritos de seguros; y,</w:t>
      </w:r>
      <w:r>
        <w:rPr>
          <w:rFonts w:eastAsia="Times New Roman"/>
          <w:sz w:val="30"/>
          <w:szCs w:val="30"/>
          <w:lang w:val="es-ES"/>
        </w:rPr>
        <w:br/>
      </w:r>
      <w:r>
        <w:rPr>
          <w:rFonts w:eastAsia="Times New Roman"/>
          <w:sz w:val="30"/>
          <w:szCs w:val="30"/>
          <w:lang w:val="es-ES"/>
        </w:rPr>
        <w:br/>
        <w:t>e) Los asesores productores de seguros.</w:t>
      </w:r>
    </w:p>
    <w:p w:rsidR="00000000" w:rsidRDefault="0018461E">
      <w:pPr>
        <w:divId w:val="2064718400"/>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(Reformado por la Disposición Ref</w:t>
      </w:r>
      <w:r>
        <w:rPr>
          <w:rFonts w:eastAsia="Times New Roman"/>
          <w:sz w:val="30"/>
          <w:szCs w:val="30"/>
          <w:lang w:val="es-ES"/>
        </w:rPr>
        <w:t xml:space="preserve">ormatoria Décima Sexta, num. 1 del Código Orgánico Monetario y Financiero; R.O. 332-2S, </w:t>
      </w:r>
      <w:r>
        <w:rPr>
          <w:rFonts w:eastAsia="Times New Roman"/>
          <w:sz w:val="30"/>
          <w:szCs w:val="30"/>
          <w:lang w:val="es-ES"/>
        </w:rPr>
        <w:lastRenderedPageBreak/>
        <w:t>12-IX-2014) Son empresas que realicen operaciones de seguros las compañías anónimas constituidas en el territorio nacional y las sucursales de empresas extranjeras, est</w:t>
      </w:r>
      <w:r>
        <w:rPr>
          <w:rFonts w:eastAsia="Times New Roman"/>
          <w:sz w:val="30"/>
          <w:szCs w:val="30"/>
          <w:lang w:val="es-ES"/>
        </w:rPr>
        <w:t>ablecidas en el país, en concordancia con lo dispuesto en la presente Ley y cuyo objeto exclusivo es el negocio de asumir directa o indirectamente o aceptar y ceder riesgos en base a primas. Las empresas de seguros podrán desarrollar otras actividades afin</w:t>
      </w:r>
      <w:r>
        <w:rPr>
          <w:rFonts w:eastAsia="Times New Roman"/>
          <w:sz w:val="30"/>
          <w:szCs w:val="30"/>
          <w:lang w:val="es-ES"/>
        </w:rPr>
        <w:t>es o complementarias con el giro normal de sus negocios, excepto aquellas que tengan relación con los asesores productores de seguros, intermediarios de seguros y peritos de seguros con previa autorización de la Superintendencia de Compañías, Valores y Seg</w:t>
      </w:r>
      <w:r>
        <w:rPr>
          <w:rFonts w:eastAsia="Times New Roman"/>
          <w:sz w:val="30"/>
          <w:szCs w:val="30"/>
          <w:lang w:val="es-ES"/>
        </w:rPr>
        <w:t>uros.</w:t>
      </w:r>
      <w:r>
        <w:rPr>
          <w:rFonts w:eastAsia="Times New Roman"/>
          <w:sz w:val="30"/>
          <w:szCs w:val="30"/>
          <w:lang w:val="es-ES"/>
        </w:rPr>
        <w:br/>
      </w:r>
      <w:r>
        <w:rPr>
          <w:rFonts w:eastAsia="Times New Roman"/>
          <w:sz w:val="30"/>
          <w:szCs w:val="30"/>
          <w:lang w:val="es-ES"/>
        </w:rPr>
        <w:br/>
        <w:t>Las empresas de seguros son: de seguros generales, de seguros de vida y las que operaban al 3 de abril de 1998 en conjunto en las dos actividades. Las empresas de seguros que se constituyeron a partir del 3 de abril de 1998, sólo podrán operar en se</w:t>
      </w:r>
      <w:r>
        <w:rPr>
          <w:rFonts w:eastAsia="Times New Roman"/>
          <w:sz w:val="30"/>
          <w:szCs w:val="30"/>
          <w:lang w:val="es-ES"/>
        </w:rPr>
        <w:t>guros generales o en seguros de vida.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Las de seguros generales.-</w:t>
      </w:r>
      <w:r>
        <w:rPr>
          <w:rFonts w:eastAsia="Times New Roman"/>
          <w:sz w:val="30"/>
          <w:szCs w:val="30"/>
          <w:lang w:val="es-ES"/>
        </w:rPr>
        <w:t xml:space="preserve"> Son aquellas que aseguren los riesgos causados por afecciones, pérdidas o daños de la salud, de los bienes o del patrimonio y los riesgos de fianza o garantías.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Las de seguros de vida.-</w:t>
      </w:r>
      <w:r>
        <w:rPr>
          <w:rFonts w:eastAsia="Times New Roman"/>
          <w:sz w:val="30"/>
          <w:szCs w:val="30"/>
          <w:lang w:val="es-ES"/>
        </w:rPr>
        <w:t xml:space="preserve"> Son</w:t>
      </w:r>
      <w:r>
        <w:rPr>
          <w:rFonts w:eastAsia="Times New Roman"/>
          <w:sz w:val="30"/>
          <w:szCs w:val="30"/>
          <w:lang w:val="es-ES"/>
        </w:rPr>
        <w:t xml:space="preserve"> aquellas que cubren los riesgos de las personas o que garanticen a éstas dentro o al término de un plazo, un capital o una renta periódica para el asegurado y sus beneficiarios. Las empresas de seguros de vida, tendrán objeto exclusivo y deberán constitui</w:t>
      </w:r>
      <w:r>
        <w:rPr>
          <w:rFonts w:eastAsia="Times New Roman"/>
          <w:sz w:val="30"/>
          <w:szCs w:val="30"/>
          <w:lang w:val="es-ES"/>
        </w:rPr>
        <w:t>rse con capital, administración y contabilidad propias. Las empresas de seguros que operen conjuntamente en los ramos de seguros generales y en el ramo de seguros de vida, continuarán manteniendo contabilidades separadas.</w:t>
      </w:r>
    </w:p>
    <w:p w:rsidR="00000000" w:rsidRDefault="0018461E">
      <w:pPr>
        <w:divId w:val="100802336"/>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Son compañías de reasegur</w:t>
      </w:r>
      <w:r>
        <w:rPr>
          <w:rFonts w:eastAsia="Times New Roman"/>
          <w:sz w:val="30"/>
          <w:szCs w:val="30"/>
          <w:lang w:val="es-ES"/>
        </w:rPr>
        <w:t>os las compañías anónimas constituidas en el territorio nacional y las sucursales de empresas extranjeras establecidas en el país de conformidad con la ley; y cuyo objeto es el de otorgar coberturas a una o más empresas de seguros por los riesgos que éstas</w:t>
      </w:r>
      <w:r>
        <w:rPr>
          <w:rFonts w:eastAsia="Times New Roman"/>
          <w:sz w:val="30"/>
          <w:szCs w:val="30"/>
          <w:lang w:val="es-ES"/>
        </w:rPr>
        <w:t xml:space="preserve"> hayan asumido, así como el realizar operaciones de retrocesión.</w:t>
      </w:r>
      <w:r>
        <w:rPr>
          <w:rFonts w:eastAsia="Times New Roman"/>
          <w:sz w:val="30"/>
          <w:szCs w:val="30"/>
          <w:lang w:val="es-ES"/>
        </w:rPr>
        <w:br/>
      </w:r>
      <w:r>
        <w:rPr>
          <w:rFonts w:eastAsia="Times New Roman"/>
          <w:sz w:val="30"/>
          <w:szCs w:val="30"/>
          <w:lang w:val="es-ES"/>
        </w:rPr>
        <w:br/>
        <w:t>Las compañías de reaseguros se sujetarán a las disposiciones de esta Ley, relativas a las empresas de seguros, en lo que les fuere aplicable.</w:t>
      </w:r>
    </w:p>
    <w:p w:rsidR="00000000" w:rsidRDefault="0018461E">
      <w:pPr>
        <w:divId w:val="400567575"/>
        <w:rPr>
          <w:rFonts w:eastAsia="Times New Roman"/>
          <w:sz w:val="30"/>
          <w:szCs w:val="30"/>
          <w:lang w:val="es-ES"/>
        </w:rPr>
      </w:pPr>
      <w:r>
        <w:rPr>
          <w:rFonts w:eastAsia="Times New Roman"/>
          <w:b/>
          <w:bCs/>
          <w:sz w:val="30"/>
          <w:szCs w:val="30"/>
          <w:lang w:val="es-ES"/>
        </w:rPr>
        <w:lastRenderedPageBreak/>
        <w:t>Art. 5.-</w:t>
      </w:r>
      <w:r>
        <w:rPr>
          <w:rFonts w:eastAsia="Times New Roman"/>
          <w:sz w:val="30"/>
          <w:szCs w:val="30"/>
          <w:lang w:val="es-ES"/>
        </w:rPr>
        <w:t xml:space="preserve"> Los intermediarios de reaseguros, son p</w:t>
      </w:r>
      <w:r>
        <w:rPr>
          <w:rFonts w:eastAsia="Times New Roman"/>
          <w:sz w:val="30"/>
          <w:szCs w:val="30"/>
          <w:lang w:val="es-ES"/>
        </w:rPr>
        <w:t>ersonas jurídicas, cuya única actividad es la de gestionar y colocar reaseguros y retrocesiones para una o varias empresas de seguros o compañías de reaseguros.</w:t>
      </w:r>
    </w:p>
    <w:p w:rsidR="00000000" w:rsidRDefault="0018461E">
      <w:pPr>
        <w:divId w:val="1897549589"/>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Son peritos de seguros:</w:t>
      </w:r>
      <w:r>
        <w:rPr>
          <w:rFonts w:eastAsia="Times New Roman"/>
          <w:sz w:val="30"/>
          <w:szCs w:val="30"/>
          <w:lang w:val="es-ES"/>
        </w:rPr>
        <w:br/>
      </w:r>
      <w:r>
        <w:rPr>
          <w:rFonts w:eastAsia="Times New Roman"/>
          <w:sz w:val="30"/>
          <w:szCs w:val="30"/>
          <w:lang w:val="es-ES"/>
        </w:rPr>
        <w:br/>
        <w:t>a) Los inspectores de riesgos, personas naturales o jurídicas</w:t>
      </w:r>
      <w:r>
        <w:rPr>
          <w:rFonts w:eastAsia="Times New Roman"/>
          <w:sz w:val="30"/>
          <w:szCs w:val="30"/>
          <w:lang w:val="es-ES"/>
        </w:rPr>
        <w:t xml:space="preserve"> cuya actividad es la de examinar y calificar los riesgos en forma previa a la contratación del seguro y durante la vigencia del contrato; y,</w:t>
      </w:r>
      <w:r>
        <w:rPr>
          <w:rFonts w:eastAsia="Times New Roman"/>
          <w:sz w:val="30"/>
          <w:szCs w:val="30"/>
          <w:lang w:val="es-ES"/>
        </w:rPr>
        <w:br/>
      </w:r>
      <w:r>
        <w:rPr>
          <w:rFonts w:eastAsia="Times New Roman"/>
          <w:sz w:val="30"/>
          <w:szCs w:val="30"/>
          <w:lang w:val="es-ES"/>
        </w:rPr>
        <w:br/>
        <w:t>b) Los ajustadores de siniestros, personas naturales o jurídicas, cuya actividad profesional es la de examinar la</w:t>
      </w:r>
      <w:r>
        <w:rPr>
          <w:rFonts w:eastAsia="Times New Roman"/>
          <w:sz w:val="30"/>
          <w:szCs w:val="30"/>
          <w:lang w:val="es-ES"/>
        </w:rPr>
        <w:t>s causas de los siniestros y valorar la cuantía de las pérdidas en forma equitativa y justa, de acuerdo con las cláusulas de la respectiva póliza. El ajustador tendrá derecho a solicitar al asegurado la presentación de libros y documentos que estime necesa</w:t>
      </w:r>
      <w:r>
        <w:rPr>
          <w:rFonts w:eastAsia="Times New Roman"/>
          <w:sz w:val="30"/>
          <w:szCs w:val="30"/>
          <w:lang w:val="es-ES"/>
        </w:rPr>
        <w:t>rios para el ejercicio de su actividad.</w:t>
      </w:r>
    </w:p>
    <w:p w:rsidR="00000000" w:rsidRDefault="0018461E">
      <w:pPr>
        <w:divId w:val="1707097609"/>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Son asesores productores de seguros:</w:t>
      </w:r>
      <w:r>
        <w:rPr>
          <w:rFonts w:eastAsia="Times New Roman"/>
          <w:sz w:val="30"/>
          <w:szCs w:val="30"/>
          <w:lang w:val="es-ES"/>
        </w:rPr>
        <w:br/>
      </w:r>
      <w:r>
        <w:rPr>
          <w:rFonts w:eastAsia="Times New Roman"/>
          <w:sz w:val="30"/>
          <w:szCs w:val="30"/>
          <w:lang w:val="es-ES"/>
        </w:rPr>
        <w:br/>
        <w:t>a) Los agentes de seguros, personas naturales que a nombre de una empresa de seguros se dedican a gestionar y obtener contratos de seguros, se regirán por el contrato de</w:t>
      </w:r>
      <w:r>
        <w:rPr>
          <w:rFonts w:eastAsia="Times New Roman"/>
          <w:sz w:val="30"/>
          <w:szCs w:val="30"/>
          <w:lang w:val="es-ES"/>
        </w:rPr>
        <w:t xml:space="preserve"> trabajo suscrito entre las partes y no podrán prestar tales servicios en más de una entidad aseguradora por clase de seguros; y, los agentes de seguros, personas naturales que a nombre de una o varias empresas de seguros se dedican a obtener contratos de </w:t>
      </w:r>
      <w:r>
        <w:rPr>
          <w:rFonts w:eastAsia="Times New Roman"/>
          <w:sz w:val="30"/>
          <w:szCs w:val="30"/>
          <w:lang w:val="es-ES"/>
        </w:rPr>
        <w:t>seguros, se regirán por el contrato mercantil de agenciamientos suscrito entre las partes;</w:t>
      </w:r>
      <w:r>
        <w:rPr>
          <w:rFonts w:eastAsia="Times New Roman"/>
          <w:sz w:val="30"/>
          <w:szCs w:val="30"/>
          <w:lang w:val="es-ES"/>
        </w:rPr>
        <w:br/>
      </w:r>
      <w:r>
        <w:rPr>
          <w:rFonts w:eastAsia="Times New Roman"/>
          <w:sz w:val="30"/>
          <w:szCs w:val="30"/>
          <w:lang w:val="es-ES"/>
        </w:rPr>
        <w:br/>
        <w:t>b) Las agencias asesoras productoras de seguros, personas jurídicas con organización cuya única actividad es la de gestionar y obtener contratos de seguros para una</w:t>
      </w:r>
      <w:r>
        <w:rPr>
          <w:rFonts w:eastAsia="Times New Roman"/>
          <w:sz w:val="30"/>
          <w:szCs w:val="30"/>
          <w:lang w:val="es-ES"/>
        </w:rPr>
        <w:t xml:space="preserve"> o varias empresas de seguros o de medicina prepagada autorizada a operar en el país.</w:t>
      </w:r>
      <w:r>
        <w:rPr>
          <w:rFonts w:eastAsia="Times New Roman"/>
          <w:sz w:val="30"/>
          <w:szCs w:val="30"/>
          <w:lang w:val="es-ES"/>
        </w:rPr>
        <w:br/>
      </w:r>
      <w:r>
        <w:rPr>
          <w:rFonts w:eastAsia="Times New Roman"/>
          <w:sz w:val="30"/>
          <w:szCs w:val="30"/>
          <w:lang w:val="es-ES"/>
        </w:rPr>
        <w:br/>
        <w:t xml:space="preserve">Las empresas de seguros serán solidariamente responsables por los actos ordenados o ejecutados por los agentes de seguros y las agencias asesoras productoras de seguros </w:t>
      </w:r>
      <w:r>
        <w:rPr>
          <w:rFonts w:eastAsia="Times New Roman"/>
          <w:sz w:val="30"/>
          <w:szCs w:val="30"/>
          <w:lang w:val="es-ES"/>
        </w:rPr>
        <w:t>dentro de las facultades contenidas en los respectivos contratos.</w:t>
      </w:r>
    </w:p>
    <w:p w:rsidR="00000000" w:rsidRDefault="0018461E">
      <w:pPr>
        <w:divId w:val="2066295193"/>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 Los asesores productores de seguros, intermediarios de reaseguros y peritos de seguros, deben tener intachables anteceden</w:t>
      </w:r>
      <w:r>
        <w:rPr>
          <w:rFonts w:eastAsia="Times New Roman"/>
          <w:sz w:val="30"/>
          <w:szCs w:val="30"/>
          <w:lang w:val="es-ES"/>
        </w:rPr>
        <w:t xml:space="preserve">tes, poseer los conocimientos necesarios por cada rama de seguros, para el </w:t>
      </w:r>
      <w:r>
        <w:rPr>
          <w:rFonts w:eastAsia="Times New Roman"/>
          <w:sz w:val="30"/>
          <w:szCs w:val="30"/>
          <w:lang w:val="es-ES"/>
        </w:rPr>
        <w:lastRenderedPageBreak/>
        <w:t>correcto desempeño de sus funciones, obtener, mantener su credencial y registro ante la Superintendencia de Compañías, Valores y Seguros.</w:t>
      </w:r>
      <w:r>
        <w:rPr>
          <w:rFonts w:eastAsia="Times New Roman"/>
          <w:sz w:val="30"/>
          <w:szCs w:val="30"/>
          <w:lang w:val="es-ES"/>
        </w:rPr>
        <w:br/>
      </w:r>
      <w:r>
        <w:rPr>
          <w:rFonts w:eastAsia="Times New Roman"/>
          <w:sz w:val="30"/>
          <w:szCs w:val="30"/>
          <w:lang w:val="es-ES"/>
        </w:rPr>
        <w:br/>
        <w:t>El Superintendente de Compañías, Valores y</w:t>
      </w:r>
      <w:r>
        <w:rPr>
          <w:rFonts w:eastAsia="Times New Roman"/>
          <w:sz w:val="30"/>
          <w:szCs w:val="30"/>
          <w:lang w:val="es-ES"/>
        </w:rPr>
        <w:t xml:space="preserve"> Seguros normará el ejercicio de las actividades de los asesores productores de seguros, señalando sus derechos y obligaciones como intermediarios entre el público y las empresas de seguros.</w:t>
      </w:r>
    </w:p>
    <w:p w:rsidR="00000000" w:rsidRDefault="0018461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CONSTITUCIÓN, ORGANIZACIÓN, ACTIVIDADES Y FUNCIO</w:t>
      </w:r>
      <w:r>
        <w:rPr>
          <w:rFonts w:eastAsia="Times New Roman"/>
          <w:b/>
          <w:bCs/>
          <w:sz w:val="36"/>
          <w:szCs w:val="36"/>
          <w:lang w:val="es-ES"/>
        </w:rPr>
        <w:t>NAMIENTO</w:t>
      </w:r>
    </w:p>
    <w:p w:rsidR="00000000"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SISTEMA DE SEGURO PRIVADO</w:t>
      </w:r>
    </w:p>
    <w:p w:rsidR="00000000" w:rsidRDefault="0018461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CONSTITUCIÓN Y AUTORIZACIÓN</w:t>
      </w:r>
    </w:p>
    <w:p w:rsidR="00000000" w:rsidRDefault="0018461E">
      <w:pPr>
        <w:divId w:val="1926185294"/>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(Reformado por la Disposición Reformatoria Décima Sexta, num. 1 del Código Orgánico Monetario y Financiero; R.O. 332-2S, 12-IX-2014) .-Las personas jur</w:t>
      </w:r>
      <w:r>
        <w:rPr>
          <w:rFonts w:eastAsia="Times New Roman"/>
          <w:sz w:val="30"/>
          <w:szCs w:val="30"/>
          <w:lang w:val="es-ES"/>
        </w:rPr>
        <w:t>ídicas que integran el sistema de seguro privado, para su constitución, organización y funcionamiento se sujetarán a las disposiciones de esta Ley, al Código de Comercio, a la Ley de Compañías, en forma supletoria, y a las normas que para el efecto dicte l</w:t>
      </w:r>
      <w:r>
        <w:rPr>
          <w:rFonts w:eastAsia="Times New Roman"/>
          <w:sz w:val="30"/>
          <w:szCs w:val="30"/>
          <w:lang w:val="es-ES"/>
        </w:rPr>
        <w:t>a Superintendencia de Compañías, Valores y Seguros.</w:t>
      </w:r>
      <w:r>
        <w:rPr>
          <w:rFonts w:eastAsia="Times New Roman"/>
          <w:sz w:val="30"/>
          <w:szCs w:val="30"/>
          <w:lang w:val="es-ES"/>
        </w:rPr>
        <w:br/>
      </w:r>
      <w:r>
        <w:rPr>
          <w:rFonts w:eastAsia="Times New Roman"/>
          <w:sz w:val="30"/>
          <w:szCs w:val="30"/>
          <w:lang w:val="es-ES"/>
        </w:rPr>
        <w:br/>
        <w:t>Las personas naturales que integran el sistema de seguro privado, para ejercer las actividades previstas en esta Ley, requieren de la autorización previa de la Superintendencia de Compañías, Valores, y S</w:t>
      </w:r>
      <w:r>
        <w:rPr>
          <w:rFonts w:eastAsia="Times New Roman"/>
          <w:sz w:val="30"/>
          <w:szCs w:val="30"/>
          <w:lang w:val="es-ES"/>
        </w:rPr>
        <w:t>eguros, la que se conferirá de acuerdo a las normas que expida el Superintendente de Compañías, Valores y Seguros para el ejercicio de dichas actividades.</w:t>
      </w:r>
    </w:p>
    <w:p w:rsidR="00000000" w:rsidRDefault="0018461E">
      <w:pPr>
        <w:divId w:val="1874884128"/>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(Reformado por la Disposición Reformatoria Décima Sexta, num. 1 del Código Orgánico Monetar</w:t>
      </w:r>
      <w:r>
        <w:rPr>
          <w:rFonts w:eastAsia="Times New Roman"/>
          <w:sz w:val="30"/>
          <w:szCs w:val="30"/>
          <w:lang w:val="es-ES"/>
        </w:rPr>
        <w:t>io y Financiero; R.O. 332-2S, 12-IX-2014) El Superintendente de Compañías, Valores y Seguros, en un plazo no mayor de sesenta días, admitirá o rechazará las solicitudes presentadas para la constitución o establecimiento de las personas jurídicas que integr</w:t>
      </w:r>
      <w:r>
        <w:rPr>
          <w:rFonts w:eastAsia="Times New Roman"/>
          <w:sz w:val="30"/>
          <w:szCs w:val="30"/>
          <w:lang w:val="es-ES"/>
        </w:rPr>
        <w:t xml:space="preserve">an el sistema de seguro privado, en base a los informes técnico, económico y legal de la Superintendencia de </w:t>
      </w:r>
      <w:r>
        <w:rPr>
          <w:rFonts w:eastAsia="Times New Roman"/>
          <w:sz w:val="30"/>
          <w:szCs w:val="30"/>
          <w:lang w:val="es-ES"/>
        </w:rPr>
        <w:lastRenderedPageBreak/>
        <w:t xml:space="preserve">Compañías, Valores y Seguros, los que se elaborarán en función de los estudios de factibilidad y demás documentos presentados por los promotores o </w:t>
      </w:r>
      <w:r>
        <w:rPr>
          <w:rFonts w:eastAsia="Times New Roman"/>
          <w:sz w:val="30"/>
          <w:szCs w:val="30"/>
          <w:lang w:val="es-ES"/>
        </w:rPr>
        <w:t>fundadores. En dichos informes se evaluará la solvencia, probidad y responsabilidad de los promotores, fundadores o solicitantes.</w:t>
      </w:r>
      <w:r>
        <w:rPr>
          <w:rFonts w:eastAsia="Times New Roman"/>
          <w:sz w:val="30"/>
          <w:szCs w:val="30"/>
          <w:lang w:val="es-ES"/>
        </w:rPr>
        <w:br/>
      </w:r>
      <w:r>
        <w:rPr>
          <w:rFonts w:eastAsia="Times New Roman"/>
          <w:sz w:val="30"/>
          <w:szCs w:val="30"/>
          <w:lang w:val="es-ES"/>
        </w:rPr>
        <w:br/>
        <w:t xml:space="preserve">Una vez cumplidos los requisitos legales y efectuadas las investigaciones correspondientes, el Superintendente de Compañías, </w:t>
      </w:r>
      <w:r>
        <w:rPr>
          <w:rFonts w:eastAsia="Times New Roman"/>
          <w:sz w:val="30"/>
          <w:szCs w:val="30"/>
          <w:lang w:val="es-ES"/>
        </w:rPr>
        <w:t>Valores y Seguros aprobará, mediante resolución, la constitución de la compañía, en un plazo no mayor de sesenta días, dispondrá su inscripción en el registro mercantil de su domicilio principal y extenderá el certificado de autorización, que estará a la v</w:t>
      </w:r>
      <w:r>
        <w:rPr>
          <w:rFonts w:eastAsia="Times New Roman"/>
          <w:sz w:val="30"/>
          <w:szCs w:val="30"/>
          <w:lang w:val="es-ES"/>
        </w:rPr>
        <w:t>ista del público.</w:t>
      </w:r>
    </w:p>
    <w:p w:rsidR="00000000" w:rsidRDefault="0018461E">
      <w:pPr>
        <w:divId w:val="1556116076"/>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(Reformado por la Disposición Reformatoria Décima Sexta, num. 1 del Código Orgánico Monetario y Financiero; R.O. 332-2S, 12-IX-2014).- El certificado de autorización no habilita, por sí solo, a las empresas de seguros para asumi</w:t>
      </w:r>
      <w:r>
        <w:rPr>
          <w:rFonts w:eastAsia="Times New Roman"/>
          <w:sz w:val="30"/>
          <w:szCs w:val="30"/>
          <w:lang w:val="es-ES"/>
        </w:rPr>
        <w:t xml:space="preserve">r riesgos y otorgar coberturas, a cuyo efecto deben obtener del Superintendente de Compañías, Valores y Seguros, un certificado específico para cada ramo, de acuerdo a las normas que al respecto expida la Superintendencia de Compañías y Seguros y Seguros. </w:t>
      </w:r>
      <w:r>
        <w:rPr>
          <w:rFonts w:eastAsia="Times New Roman"/>
          <w:sz w:val="30"/>
          <w:szCs w:val="30"/>
          <w:lang w:val="es-ES"/>
        </w:rPr>
        <w:t>Para otorgar el referido certificado, el Superintendente de Compañías, Valores y Seguros exigirá que a la documentación pertinente, se agregue, el o los respectivos contratos de reaseguros.</w:t>
      </w:r>
    </w:p>
    <w:p w:rsidR="00000000" w:rsidRDefault="0018461E">
      <w:pPr>
        <w:divId w:val="1270623383"/>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La empresa de seguros, deberá iniciar sus operaciones en</w:t>
      </w:r>
      <w:r>
        <w:rPr>
          <w:rFonts w:eastAsia="Times New Roman"/>
          <w:sz w:val="30"/>
          <w:szCs w:val="30"/>
          <w:lang w:val="es-ES"/>
        </w:rPr>
        <w:t xml:space="preserve"> el transcurso de seis meses, contados a partir de la fecha de otorgamiento del certificado de autorización; caso contrario éste quedará sin valor y efecto, y ello será causal de liquidación de la sociedad.</w:t>
      </w:r>
    </w:p>
    <w:p w:rsidR="00000000" w:rsidRDefault="0018461E">
      <w:pPr>
        <w:divId w:val="852963536"/>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(Reformado por la Disposición Reformato</w:t>
      </w:r>
      <w:r>
        <w:rPr>
          <w:rFonts w:eastAsia="Times New Roman"/>
          <w:sz w:val="30"/>
          <w:szCs w:val="30"/>
          <w:lang w:val="es-ES"/>
        </w:rPr>
        <w:t>ria Décima Sexta, num. 1 del Código Orgánico Monetario y Financiero; R.O. 332-2S, 12-IX-2014).- Las personas jurídicas que integran el sistema de seguro privado, podrán abrir sucursales y agencias en el país y en el exterior. El establecimiento de sucursal</w:t>
      </w:r>
      <w:r>
        <w:rPr>
          <w:rFonts w:eastAsia="Times New Roman"/>
          <w:sz w:val="30"/>
          <w:szCs w:val="30"/>
          <w:lang w:val="es-ES"/>
        </w:rPr>
        <w:t>es y agencias en el exterior requerirá de autorización previa del Superintendente de Comapñías, Valores y Seguros.</w:t>
      </w:r>
      <w:r>
        <w:rPr>
          <w:rFonts w:eastAsia="Times New Roman"/>
          <w:sz w:val="30"/>
          <w:szCs w:val="30"/>
          <w:lang w:val="es-ES"/>
        </w:rPr>
        <w:br/>
      </w:r>
      <w:r>
        <w:rPr>
          <w:rFonts w:eastAsia="Times New Roman"/>
          <w:sz w:val="30"/>
          <w:szCs w:val="30"/>
          <w:lang w:val="es-ES"/>
        </w:rPr>
        <w:br/>
        <w:t xml:space="preserve">El Superintendente de Compañías, Valores y Seguros aprobará sin más trámite a petición de parte el establecimiento de sucursales en el país </w:t>
      </w:r>
      <w:r>
        <w:rPr>
          <w:rFonts w:eastAsia="Times New Roman"/>
          <w:sz w:val="30"/>
          <w:szCs w:val="30"/>
          <w:lang w:val="es-ES"/>
        </w:rPr>
        <w:t xml:space="preserve">y en el exterior. La apertura de agencias se efectuará sin otro </w:t>
      </w:r>
      <w:r>
        <w:rPr>
          <w:rFonts w:eastAsia="Times New Roman"/>
          <w:sz w:val="30"/>
          <w:szCs w:val="30"/>
          <w:lang w:val="es-ES"/>
        </w:rPr>
        <w:lastRenderedPageBreak/>
        <w:t>requisito que la notificación a la Superintendencia de Compañías y Seguros.</w:t>
      </w:r>
    </w:p>
    <w:p w:rsidR="00000000" w:rsidRDefault="0018461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CAPITAL Y RESERVA LEGAL</w:t>
      </w:r>
    </w:p>
    <w:p w:rsidR="00000000" w:rsidRDefault="0018461E">
      <w:pPr>
        <w:divId w:val="613633521"/>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w:t>
      </w:r>
      <w:r>
        <w:rPr>
          <w:rFonts w:eastAsia="Times New Roman"/>
          <w:sz w:val="30"/>
          <w:szCs w:val="30"/>
          <w:lang w:val="es-ES"/>
        </w:rPr>
        <w:t>(Reformado por la Disposición Reformatoria Décima Sexta, num. 1; y, sustituido por la Disposición Reformatoria Décima Sexta, num. 4 del Código Orgánico Monetario y Financiero; R.O. 332-2S, 12-IX-2014).- El capital pagado mínimo legal para la constitución d</w:t>
      </w:r>
      <w:r>
        <w:rPr>
          <w:rFonts w:eastAsia="Times New Roman"/>
          <w:sz w:val="30"/>
          <w:szCs w:val="30"/>
          <w:lang w:val="es-ES"/>
        </w:rPr>
        <w:t>e las compañías que conforman el sistema de seguros, será el siguiente:</w:t>
      </w:r>
      <w:r>
        <w:rPr>
          <w:rFonts w:eastAsia="Times New Roman"/>
          <w:sz w:val="30"/>
          <w:szCs w:val="30"/>
          <w:lang w:val="es-ES"/>
        </w:rPr>
        <w:br/>
      </w:r>
      <w:r>
        <w:rPr>
          <w:rFonts w:eastAsia="Times New Roman"/>
          <w:sz w:val="30"/>
          <w:szCs w:val="30"/>
          <w:lang w:val="es-ES"/>
        </w:rPr>
        <w:br/>
        <w:t>a) De seguros, será de USD 8´000.000 (ocho millones de dólares de los Estados Unidos de América).</w:t>
      </w:r>
      <w:r>
        <w:rPr>
          <w:rFonts w:eastAsia="Times New Roman"/>
          <w:sz w:val="30"/>
          <w:szCs w:val="30"/>
          <w:lang w:val="es-ES"/>
        </w:rPr>
        <w:br/>
      </w:r>
      <w:r>
        <w:rPr>
          <w:rFonts w:eastAsia="Times New Roman"/>
          <w:sz w:val="30"/>
          <w:szCs w:val="30"/>
          <w:lang w:val="es-ES"/>
        </w:rPr>
        <w:br/>
        <w:t xml:space="preserve">b)De reaseguros, será de trece millones de dólares de los estados Unidos de América </w:t>
      </w:r>
      <w:r>
        <w:rPr>
          <w:rFonts w:eastAsia="Times New Roman"/>
          <w:sz w:val="30"/>
          <w:szCs w:val="30"/>
          <w:lang w:val="es-ES"/>
        </w:rPr>
        <w:t>(USD $ 13´000.000,00). En el caso de las compañías que operen en seguros y reaseguros, el capital será de trece millones de dólares de los Estados Unidos de América (USD $ 13´000.000,00);</w:t>
      </w:r>
      <w:r>
        <w:rPr>
          <w:rFonts w:eastAsia="Times New Roman"/>
          <w:sz w:val="30"/>
          <w:szCs w:val="30"/>
          <w:lang w:val="es-ES"/>
        </w:rPr>
        <w:br/>
      </w:r>
      <w:r>
        <w:rPr>
          <w:rFonts w:eastAsia="Times New Roman"/>
          <w:sz w:val="30"/>
          <w:szCs w:val="30"/>
          <w:lang w:val="es-ES"/>
        </w:rPr>
        <w:br/>
        <w:t>El capital pagado deberá ser aportado en dinero.</w:t>
      </w:r>
      <w:r>
        <w:rPr>
          <w:rFonts w:eastAsia="Times New Roman"/>
          <w:sz w:val="30"/>
          <w:szCs w:val="30"/>
          <w:lang w:val="es-ES"/>
        </w:rPr>
        <w:br/>
      </w:r>
      <w:r>
        <w:rPr>
          <w:rFonts w:eastAsia="Times New Roman"/>
          <w:sz w:val="30"/>
          <w:szCs w:val="30"/>
          <w:lang w:val="es-ES"/>
        </w:rPr>
        <w:br/>
        <w:t>La Junta de Polít</w:t>
      </w:r>
      <w:r>
        <w:rPr>
          <w:rFonts w:eastAsia="Times New Roman"/>
          <w:sz w:val="30"/>
          <w:szCs w:val="30"/>
          <w:lang w:val="es-ES"/>
        </w:rPr>
        <w:t>ica y Regulación Monetaria y Financiera, en cualquier momento, podrá incrementar los requisitos mínimos de capital.</w:t>
      </w:r>
    </w:p>
    <w:p w:rsidR="00000000" w:rsidRDefault="0018461E">
      <w:pPr>
        <w:divId w:val="1203783399"/>
        <w:rPr>
          <w:rFonts w:eastAsia="Times New Roman"/>
          <w:sz w:val="30"/>
          <w:szCs w:val="30"/>
          <w:lang w:val="es-ES"/>
        </w:rPr>
      </w:pPr>
      <w:r>
        <w:rPr>
          <w:rFonts w:eastAsia="Times New Roman"/>
          <w:sz w:val="30"/>
          <w:szCs w:val="30"/>
          <w:lang w:val="es-ES"/>
        </w:rPr>
        <w:t>Art....- (Agregado por la Disposición Reformatoria Décima Sexta, num. 5 del Código Orgánico Monetario y Financiero; R.O. 332-2S, 12-IX-2014)</w:t>
      </w:r>
      <w:r>
        <w:rPr>
          <w:rFonts w:eastAsia="Times New Roman"/>
          <w:sz w:val="30"/>
          <w:szCs w:val="30"/>
          <w:lang w:val="es-ES"/>
        </w:rPr>
        <w:t>.- El capital pagado no podrá reducirse a una cantidad inferior al mínimo legal y se incrementará por decisión de la junta general de accionistas o por disposición del Superintendente de Compañías, Valores y Seguros.</w:t>
      </w:r>
      <w:r>
        <w:rPr>
          <w:rFonts w:eastAsia="Times New Roman"/>
          <w:sz w:val="30"/>
          <w:szCs w:val="30"/>
          <w:lang w:val="es-ES"/>
        </w:rPr>
        <w:br/>
      </w:r>
      <w:r>
        <w:rPr>
          <w:rFonts w:eastAsia="Times New Roman"/>
          <w:sz w:val="30"/>
          <w:szCs w:val="30"/>
          <w:lang w:val="es-ES"/>
        </w:rPr>
        <w:br/>
        <w:t>Los recursos para el aumento de capita</w:t>
      </w:r>
      <w:r>
        <w:rPr>
          <w:rFonts w:eastAsia="Times New Roman"/>
          <w:sz w:val="30"/>
          <w:szCs w:val="30"/>
          <w:lang w:val="es-ES"/>
        </w:rPr>
        <w:t>l pagado provendrán exclusivamente de:</w:t>
      </w:r>
      <w:r>
        <w:rPr>
          <w:rFonts w:eastAsia="Times New Roman"/>
          <w:sz w:val="30"/>
          <w:szCs w:val="30"/>
          <w:lang w:val="es-ES"/>
        </w:rPr>
        <w:br/>
      </w:r>
      <w:r>
        <w:rPr>
          <w:rFonts w:eastAsia="Times New Roman"/>
          <w:sz w:val="30"/>
          <w:szCs w:val="30"/>
          <w:lang w:val="es-ES"/>
        </w:rPr>
        <w:br/>
        <w:t>a) Aportes en dinero que no podrán provenir de préstamos u otro tipo de financiamiento directo o indirecto que hayan sido concedidos por la propia compañías;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Del excedente de la reserva legal;</w:t>
      </w:r>
      <w:r>
        <w:rPr>
          <w:rFonts w:eastAsia="Times New Roman"/>
          <w:sz w:val="30"/>
          <w:szCs w:val="30"/>
          <w:lang w:val="es-ES"/>
        </w:rPr>
        <w:br/>
      </w:r>
      <w:r>
        <w:rPr>
          <w:rFonts w:eastAsia="Times New Roman"/>
          <w:sz w:val="30"/>
          <w:szCs w:val="30"/>
          <w:lang w:val="es-ES"/>
        </w:rPr>
        <w:br/>
        <w:t>c) De las utilidad</w:t>
      </w:r>
      <w:r>
        <w:rPr>
          <w:rFonts w:eastAsia="Times New Roman"/>
          <w:sz w:val="30"/>
          <w:szCs w:val="30"/>
          <w:lang w:val="es-ES"/>
        </w:rPr>
        <w:t>es acumuladas; y,</w:t>
      </w:r>
      <w:r>
        <w:rPr>
          <w:rFonts w:eastAsia="Times New Roman"/>
          <w:sz w:val="30"/>
          <w:szCs w:val="30"/>
          <w:lang w:val="es-ES"/>
        </w:rPr>
        <w:br/>
      </w:r>
      <w:r>
        <w:rPr>
          <w:rFonts w:eastAsia="Times New Roman"/>
          <w:sz w:val="30"/>
          <w:szCs w:val="30"/>
          <w:lang w:val="es-ES"/>
        </w:rPr>
        <w:br/>
        <w:t>d) De la capitalización de cuentas de reserva, siempre que estuvieren destinadas a este fin.</w:t>
      </w:r>
      <w:r>
        <w:rPr>
          <w:rFonts w:eastAsia="Times New Roman"/>
          <w:sz w:val="30"/>
          <w:szCs w:val="30"/>
          <w:lang w:val="es-ES"/>
        </w:rPr>
        <w:br/>
      </w:r>
      <w:r>
        <w:rPr>
          <w:rFonts w:eastAsia="Times New Roman"/>
          <w:sz w:val="30"/>
          <w:szCs w:val="30"/>
          <w:lang w:val="es-ES"/>
        </w:rPr>
        <w:br/>
        <w:t>La Superintendencia de Compañías, Valores y Seguros verificará la legalidad del pago de dicho capital, su procedencia y aplicación de los fondo</w:t>
      </w:r>
      <w:r>
        <w:rPr>
          <w:rFonts w:eastAsia="Times New Roman"/>
          <w:sz w:val="30"/>
          <w:szCs w:val="30"/>
          <w:lang w:val="es-ES"/>
        </w:rPr>
        <w:t>s y de establecer lo contrario dejará insubsistente dicho aumento de capital.</w:t>
      </w:r>
    </w:p>
    <w:p w:rsidR="00000000" w:rsidRDefault="0018461E">
      <w:pPr>
        <w:divId w:val="734278600"/>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Las personas jurídicas que integran el sistema de seguro privado, formarán y mantendrán un fondo de reserva legal no inferior al cincuenta por ciento (50%) del capital </w:t>
      </w:r>
      <w:r>
        <w:rPr>
          <w:rFonts w:eastAsia="Times New Roman"/>
          <w:sz w:val="30"/>
          <w:szCs w:val="30"/>
          <w:lang w:val="es-ES"/>
        </w:rPr>
        <w:t>pagado. Al final de cada ejercicio económico, destinarán por lo menos el diez por ciento (10%) de sus utilidades netas a la reserva legal.</w:t>
      </w:r>
    </w:p>
    <w:p w:rsidR="00000000" w:rsidRDefault="0018461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GOBIERNO Y ADMINISTRACIÓN</w:t>
      </w:r>
    </w:p>
    <w:p w:rsidR="00000000" w:rsidRDefault="0018461E">
      <w:pPr>
        <w:divId w:val="301427044"/>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El directorio de las empresas de seguros y compañías de reasegur</w:t>
      </w:r>
      <w:r>
        <w:rPr>
          <w:rFonts w:eastAsia="Times New Roman"/>
          <w:sz w:val="30"/>
          <w:szCs w:val="30"/>
          <w:lang w:val="es-ES"/>
        </w:rPr>
        <w:t>os, estará integrado siempre por un número impar, no menor de cinco ni mayor de quince vocales principales, elegidos o reelegidos por la junta general de accionistas, la que también designará igual número de vocales suplentes, por igual período.</w:t>
      </w:r>
    </w:p>
    <w:p w:rsidR="00000000" w:rsidRDefault="0018461E">
      <w:pPr>
        <w:divId w:val="1452628195"/>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 Las designaciones de vocales de directorio, administradores y funcionarios tanto de la oficina principal como de las sucu</w:t>
      </w:r>
      <w:r>
        <w:rPr>
          <w:rFonts w:eastAsia="Times New Roman"/>
          <w:sz w:val="30"/>
          <w:szCs w:val="30"/>
          <w:lang w:val="es-ES"/>
        </w:rPr>
        <w:t>rsales y agencias y cualquier cambio que se haga con dichas dignidades, deberán ser comunicadas al Superintendente de Compañías, Valores y Seguros en el término de ocho días.</w:t>
      </w:r>
      <w:r>
        <w:rPr>
          <w:rFonts w:eastAsia="Times New Roman"/>
          <w:sz w:val="30"/>
          <w:szCs w:val="30"/>
          <w:lang w:val="es-ES"/>
        </w:rPr>
        <w:br/>
      </w:r>
      <w:r>
        <w:rPr>
          <w:rFonts w:eastAsia="Times New Roman"/>
          <w:sz w:val="30"/>
          <w:szCs w:val="30"/>
          <w:lang w:val="es-ES"/>
        </w:rPr>
        <w:br/>
        <w:t xml:space="preserve">No podrán ser vocales de directorio, administradores, funcionarios ni empleados </w:t>
      </w:r>
      <w:r>
        <w:rPr>
          <w:rFonts w:eastAsia="Times New Roman"/>
          <w:sz w:val="30"/>
          <w:szCs w:val="30"/>
          <w:lang w:val="es-ES"/>
        </w:rPr>
        <w:t>de quienes integran el sistema de seguro privado:</w:t>
      </w:r>
      <w:r>
        <w:rPr>
          <w:rFonts w:eastAsia="Times New Roman"/>
          <w:sz w:val="30"/>
          <w:szCs w:val="30"/>
          <w:lang w:val="es-ES"/>
        </w:rPr>
        <w:br/>
      </w:r>
      <w:r>
        <w:rPr>
          <w:rFonts w:eastAsia="Times New Roman"/>
          <w:sz w:val="30"/>
          <w:szCs w:val="30"/>
          <w:lang w:val="es-ES"/>
        </w:rPr>
        <w:br/>
        <w:t>a) Los que se hallen inhabilitados para ejercer el comercio;</w:t>
      </w:r>
      <w:r>
        <w:rPr>
          <w:rFonts w:eastAsia="Times New Roman"/>
          <w:sz w:val="30"/>
          <w:szCs w:val="30"/>
          <w:lang w:val="es-ES"/>
        </w:rPr>
        <w:br/>
      </w:r>
      <w:r>
        <w:rPr>
          <w:rFonts w:eastAsia="Times New Roman"/>
          <w:sz w:val="30"/>
          <w:szCs w:val="30"/>
          <w:lang w:val="es-ES"/>
        </w:rPr>
        <w:br/>
        <w:t>b) Los extranjeros no domiciliados ni autorizados a trabajar en el país; excepto para el caso de directores principales o suplentes;</w:t>
      </w:r>
      <w:r>
        <w:rPr>
          <w:rFonts w:eastAsia="Times New Roman"/>
          <w:sz w:val="30"/>
          <w:szCs w:val="30"/>
          <w:lang w:val="es-ES"/>
        </w:rPr>
        <w:br/>
      </w:r>
      <w:r>
        <w:rPr>
          <w:rFonts w:eastAsia="Times New Roman"/>
          <w:sz w:val="30"/>
          <w:szCs w:val="30"/>
          <w:lang w:val="es-ES"/>
        </w:rPr>
        <w:lastRenderedPageBreak/>
        <w:br/>
        <w:t>c) Los fu</w:t>
      </w:r>
      <w:r>
        <w:rPr>
          <w:rFonts w:eastAsia="Times New Roman"/>
          <w:sz w:val="30"/>
          <w:szCs w:val="30"/>
          <w:lang w:val="es-ES"/>
        </w:rPr>
        <w:t>ncionarios y empleados de la Superintendencia de Comapñías, Valores y Seguros;</w:t>
      </w:r>
      <w:r>
        <w:rPr>
          <w:rFonts w:eastAsia="Times New Roman"/>
          <w:sz w:val="30"/>
          <w:szCs w:val="30"/>
          <w:lang w:val="es-ES"/>
        </w:rPr>
        <w:br/>
      </w:r>
      <w:r>
        <w:rPr>
          <w:rFonts w:eastAsia="Times New Roman"/>
          <w:sz w:val="30"/>
          <w:szCs w:val="30"/>
          <w:lang w:val="es-ES"/>
        </w:rPr>
        <w:br/>
        <w:t>d) Quienes estuvieren en mora en el cumplimiento de sus obligaciones por más de sesenta días con cualquiera de las instituciones del sistema financiero o de seguros o quienes e</w:t>
      </w:r>
      <w:r>
        <w:rPr>
          <w:rFonts w:eastAsia="Times New Roman"/>
          <w:sz w:val="30"/>
          <w:szCs w:val="30"/>
          <w:lang w:val="es-ES"/>
        </w:rPr>
        <w:t>n el transcurso de los últimos cinco años, hubiesen incurrido en el castigo de sus obligaciones por parte de cualquier institución financiera o de seguros;</w:t>
      </w:r>
      <w:r>
        <w:rPr>
          <w:rFonts w:eastAsia="Times New Roman"/>
          <w:sz w:val="30"/>
          <w:szCs w:val="30"/>
          <w:lang w:val="es-ES"/>
        </w:rPr>
        <w:br/>
      </w:r>
      <w:r>
        <w:rPr>
          <w:rFonts w:eastAsia="Times New Roman"/>
          <w:sz w:val="30"/>
          <w:szCs w:val="30"/>
          <w:lang w:val="es-ES"/>
        </w:rPr>
        <w:br/>
        <w:t>e) Los que hayan sido sancionados con la separación por causas graves de una entidad del sistema de</w:t>
      </w:r>
      <w:r>
        <w:rPr>
          <w:rFonts w:eastAsia="Times New Roman"/>
          <w:sz w:val="30"/>
          <w:szCs w:val="30"/>
          <w:lang w:val="es-ES"/>
        </w:rPr>
        <w:t xml:space="preserve"> seguro privado o instituciones del sistema financiero; y,</w:t>
      </w:r>
      <w:r>
        <w:rPr>
          <w:rFonts w:eastAsia="Times New Roman"/>
          <w:sz w:val="30"/>
          <w:szCs w:val="30"/>
          <w:lang w:val="es-ES"/>
        </w:rPr>
        <w:br/>
      </w:r>
      <w:r>
        <w:rPr>
          <w:rFonts w:eastAsia="Times New Roman"/>
          <w:sz w:val="30"/>
          <w:szCs w:val="30"/>
          <w:lang w:val="es-ES"/>
        </w:rPr>
        <w:br/>
        <w:t>f) Los representantes legales de las compañías asesoras productoras de seguros.</w:t>
      </w:r>
      <w:r>
        <w:rPr>
          <w:rFonts w:eastAsia="Times New Roman"/>
          <w:sz w:val="30"/>
          <w:szCs w:val="30"/>
          <w:lang w:val="es-ES"/>
        </w:rPr>
        <w:br/>
      </w:r>
      <w:r>
        <w:rPr>
          <w:rFonts w:eastAsia="Times New Roman"/>
          <w:sz w:val="30"/>
          <w:szCs w:val="30"/>
          <w:lang w:val="es-ES"/>
        </w:rPr>
        <w:br/>
        <w:t>Ninguna incompatibilidad ni prohibición prevista en esta Ley, para los vocales de directorio, administradores, func</w:t>
      </w:r>
      <w:r>
        <w:rPr>
          <w:rFonts w:eastAsia="Times New Roman"/>
          <w:sz w:val="30"/>
          <w:szCs w:val="30"/>
          <w:lang w:val="es-ES"/>
        </w:rPr>
        <w:t>ionarios y empleados, se aplicará con relación al ejercicio de dichos cargos en compañías que operan en distintos ramos de seguros.</w:t>
      </w:r>
    </w:p>
    <w:p w:rsidR="00000000" w:rsidRDefault="0018461E">
      <w:pPr>
        <w:divId w:val="423382879"/>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Todo gerente de sucursal de una empresa de seguros tendrá individual, o conjuntamente con otro u otros apoderados,</w:t>
      </w:r>
      <w:r>
        <w:rPr>
          <w:rFonts w:eastAsia="Times New Roman"/>
          <w:sz w:val="30"/>
          <w:szCs w:val="30"/>
          <w:lang w:val="es-ES"/>
        </w:rPr>
        <w:t xml:space="preserve"> gerentes o funcionarios de la sucursal, las facultades otorgadas por los estatutos, el directorio, organismos o funcionarios facultados para ello.</w:t>
      </w:r>
    </w:p>
    <w:p w:rsidR="00000000" w:rsidRDefault="0018461E">
      <w:pPr>
        <w:divId w:val="43143709"/>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(Reformado por la Disposición Reformatoria Décima Sexta, num. 1 del Código Orgánico Monetario y Fi</w:t>
      </w:r>
      <w:r>
        <w:rPr>
          <w:rFonts w:eastAsia="Times New Roman"/>
          <w:sz w:val="30"/>
          <w:szCs w:val="30"/>
          <w:lang w:val="es-ES"/>
        </w:rPr>
        <w:t>nanciero; R.O. 332-2S, 12-IX-2014).- Las empresas que realizan operaciones de seguros o compañías de reaseguros del exterior, para establecerse en el país, deberán obtener autorización previa de la Superintendencia de Compañías, Valores y Seguros.</w:t>
      </w:r>
      <w:r>
        <w:rPr>
          <w:rFonts w:eastAsia="Times New Roman"/>
          <w:sz w:val="30"/>
          <w:szCs w:val="30"/>
          <w:lang w:val="es-ES"/>
        </w:rPr>
        <w:br/>
      </w:r>
      <w:r>
        <w:rPr>
          <w:rFonts w:eastAsia="Times New Roman"/>
          <w:sz w:val="30"/>
          <w:szCs w:val="30"/>
          <w:lang w:val="es-ES"/>
        </w:rPr>
        <w:br/>
        <w:t>Una emp</w:t>
      </w:r>
      <w:r>
        <w:rPr>
          <w:rFonts w:eastAsia="Times New Roman"/>
          <w:sz w:val="30"/>
          <w:szCs w:val="30"/>
          <w:lang w:val="es-ES"/>
        </w:rPr>
        <w:t>resa extranjera, previo a obtener la autorización a que se refiere este artículo, deberá cumplir con los requisitos que para el efecto establezca la Superintendencia de Compañías, Valores y Seguros.</w:t>
      </w:r>
      <w:r>
        <w:rPr>
          <w:rFonts w:eastAsia="Times New Roman"/>
          <w:sz w:val="30"/>
          <w:szCs w:val="30"/>
          <w:lang w:val="es-ES"/>
        </w:rPr>
        <w:br/>
      </w:r>
      <w:r>
        <w:rPr>
          <w:rFonts w:eastAsia="Times New Roman"/>
          <w:sz w:val="30"/>
          <w:szCs w:val="30"/>
          <w:lang w:val="es-ES"/>
        </w:rPr>
        <w:br/>
        <w:t>Para su gestión y funcionamiento, mantendrá permanenteme</w:t>
      </w:r>
      <w:r>
        <w:rPr>
          <w:rFonts w:eastAsia="Times New Roman"/>
          <w:sz w:val="30"/>
          <w:szCs w:val="30"/>
          <w:lang w:val="es-ES"/>
        </w:rPr>
        <w:t xml:space="preserve">nte en el país, cuando menos un apoderado general, cuyo poder será previamente calificado por la Superintendencia de Compañías, </w:t>
      </w:r>
      <w:r>
        <w:rPr>
          <w:rFonts w:eastAsia="Times New Roman"/>
          <w:sz w:val="30"/>
          <w:szCs w:val="30"/>
          <w:lang w:val="es-ES"/>
        </w:rPr>
        <w:lastRenderedPageBreak/>
        <w:t>Valores y Seguros y deberá inscribirse en el registro mercantil. Este apoderado contará con atribuciones amplias y suficientes p</w:t>
      </w:r>
      <w:r>
        <w:rPr>
          <w:rFonts w:eastAsia="Times New Roman"/>
          <w:sz w:val="30"/>
          <w:szCs w:val="30"/>
          <w:lang w:val="es-ES"/>
        </w:rPr>
        <w:t>ara representar a la empresa extranjera en todos los asuntos judiciales, extrajudiciales y administrativos que puedan ocurrir y estará facultado para recibir solicitudes de seguros, expedir pólizas, pagar siniestros y efectuar toda clase de operaciones rel</w:t>
      </w:r>
      <w:r>
        <w:rPr>
          <w:rFonts w:eastAsia="Times New Roman"/>
          <w:sz w:val="30"/>
          <w:szCs w:val="30"/>
          <w:lang w:val="es-ES"/>
        </w:rPr>
        <w:t>acionadas con los negocios de la empresa.</w:t>
      </w:r>
      <w:r>
        <w:rPr>
          <w:rFonts w:eastAsia="Times New Roman"/>
          <w:sz w:val="30"/>
          <w:szCs w:val="30"/>
          <w:lang w:val="es-ES"/>
        </w:rPr>
        <w:br/>
      </w:r>
      <w:r>
        <w:rPr>
          <w:rFonts w:eastAsia="Times New Roman"/>
          <w:sz w:val="30"/>
          <w:szCs w:val="30"/>
          <w:lang w:val="es-ES"/>
        </w:rPr>
        <w:br/>
        <w:t>En el poder que confiera a su representante legal, la empresa poderdante declarará que la casa matriz responde de las obligaciones que su apoderado general contraiga, con todos los bienes que posea o llegare a pos</w:t>
      </w:r>
      <w:r>
        <w:rPr>
          <w:rFonts w:eastAsia="Times New Roman"/>
          <w:sz w:val="30"/>
          <w:szCs w:val="30"/>
          <w:lang w:val="es-ES"/>
        </w:rPr>
        <w:t>eer en el Ecuador y en el exterior.</w:t>
      </w:r>
    </w:p>
    <w:p w:rsidR="00000000" w:rsidRDefault="0018461E">
      <w:pPr>
        <w:divId w:val="1427965202"/>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Son aplicables a las entidades extranjeras, y a las empresas multinacionales andinas (EMAS), las disposiciones de esta Ley.</w:t>
      </w:r>
      <w:r>
        <w:rPr>
          <w:rFonts w:eastAsia="Times New Roman"/>
          <w:sz w:val="30"/>
          <w:szCs w:val="30"/>
          <w:lang w:val="es-ES"/>
        </w:rPr>
        <w:br/>
      </w:r>
      <w:r>
        <w:rPr>
          <w:rFonts w:eastAsia="Times New Roman"/>
          <w:sz w:val="30"/>
          <w:szCs w:val="30"/>
          <w:lang w:val="es-ES"/>
        </w:rPr>
        <w:br/>
        <w:t>Las entidades extranjeras autorizadas para operar en el país, deberán expresar el cap</w:t>
      </w:r>
      <w:r>
        <w:rPr>
          <w:rFonts w:eastAsia="Times New Roman"/>
          <w:sz w:val="30"/>
          <w:szCs w:val="30"/>
          <w:lang w:val="es-ES"/>
        </w:rPr>
        <w:t>ital y reservas constituidos para sus negocios en el Ecuador.</w:t>
      </w:r>
    </w:p>
    <w:p w:rsidR="00000000"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NORMAS DE PRUDENCIA TÉCNICA FINANCIERA</w:t>
      </w:r>
    </w:p>
    <w:p w:rsidR="00000000" w:rsidRDefault="0018461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RESERVAS TÉCNICAS</w:t>
      </w:r>
    </w:p>
    <w:p w:rsidR="00000000" w:rsidRDefault="0018461E">
      <w:pPr>
        <w:divId w:val="176389826"/>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(Reformado por la Disposición Reformatoria Décima Sexta, num. 1 del Código Orgánico Monet</w:t>
      </w:r>
      <w:r>
        <w:rPr>
          <w:rFonts w:eastAsia="Times New Roman"/>
          <w:sz w:val="30"/>
          <w:szCs w:val="30"/>
          <w:lang w:val="es-ES"/>
        </w:rPr>
        <w:t>ario y Financiero; R.O. 332-2S, 12-IX-2014).- Las empresas de seguros y compañías de reaseguros deberán constituir mensualmente las siguientes reservas técnicas: a) Reservas de riesgos en curso; b) Reservas matemáticas; c) Reservas para obligaciones pendie</w:t>
      </w:r>
      <w:r>
        <w:rPr>
          <w:rFonts w:eastAsia="Times New Roman"/>
          <w:sz w:val="30"/>
          <w:szCs w:val="30"/>
          <w:lang w:val="es-ES"/>
        </w:rPr>
        <w:t>ntes; d) Reservas para desviación de siniestralidad y eventos catastróficos.</w:t>
      </w:r>
      <w:r>
        <w:rPr>
          <w:rFonts w:eastAsia="Times New Roman"/>
          <w:sz w:val="30"/>
          <w:szCs w:val="30"/>
          <w:lang w:val="es-ES"/>
        </w:rPr>
        <w:br/>
      </w:r>
      <w:r>
        <w:rPr>
          <w:rFonts w:eastAsia="Times New Roman"/>
          <w:sz w:val="30"/>
          <w:szCs w:val="30"/>
          <w:lang w:val="es-ES"/>
        </w:rPr>
        <w:br/>
        <w:t>a) Reservas de riesgos en curso.- Corresponde a una suma no inferior de la que resulte de aplicar el método denominado de base semimensual aplicado a las primas retenidas, no obs</w:t>
      </w:r>
      <w:r>
        <w:rPr>
          <w:rFonts w:eastAsia="Times New Roman"/>
          <w:sz w:val="30"/>
          <w:szCs w:val="30"/>
          <w:lang w:val="es-ES"/>
        </w:rPr>
        <w:t>tante en el ramo de transporte corresponderá a:</w:t>
      </w:r>
      <w:r>
        <w:rPr>
          <w:rFonts w:eastAsia="Times New Roman"/>
          <w:sz w:val="30"/>
          <w:szCs w:val="30"/>
          <w:lang w:val="es-ES"/>
        </w:rPr>
        <w:br/>
      </w:r>
      <w:r>
        <w:rPr>
          <w:rFonts w:eastAsia="Times New Roman"/>
          <w:sz w:val="30"/>
          <w:szCs w:val="30"/>
          <w:lang w:val="es-ES"/>
        </w:rPr>
        <w:br/>
        <w:t xml:space="preserve">1. Transporte marítimo: al monto equivalente de las primas retenidas, </w:t>
      </w:r>
      <w:r>
        <w:rPr>
          <w:rFonts w:eastAsia="Times New Roman"/>
          <w:sz w:val="30"/>
          <w:szCs w:val="30"/>
          <w:lang w:val="es-ES"/>
        </w:rPr>
        <w:lastRenderedPageBreak/>
        <w:t>en los dos últimos meses a la fecha de cálculo de la reserva; y,</w:t>
      </w:r>
      <w:r>
        <w:rPr>
          <w:rFonts w:eastAsia="Times New Roman"/>
          <w:sz w:val="30"/>
          <w:szCs w:val="30"/>
          <w:lang w:val="es-ES"/>
        </w:rPr>
        <w:br/>
      </w:r>
      <w:r>
        <w:rPr>
          <w:rFonts w:eastAsia="Times New Roman"/>
          <w:sz w:val="30"/>
          <w:szCs w:val="30"/>
          <w:lang w:val="es-ES"/>
        </w:rPr>
        <w:br/>
        <w:t>2. Transporte aéreo y terrestre: al monto equivalente de la prima reten</w:t>
      </w:r>
      <w:r>
        <w:rPr>
          <w:rFonts w:eastAsia="Times New Roman"/>
          <w:sz w:val="30"/>
          <w:szCs w:val="30"/>
          <w:lang w:val="es-ES"/>
        </w:rPr>
        <w:t>ida en el último mes, a la fecha de cálculo de la reserva.</w:t>
      </w:r>
      <w:r>
        <w:rPr>
          <w:rFonts w:eastAsia="Times New Roman"/>
          <w:sz w:val="30"/>
          <w:szCs w:val="30"/>
          <w:lang w:val="es-ES"/>
        </w:rPr>
        <w:br/>
      </w:r>
      <w:r>
        <w:rPr>
          <w:rFonts w:eastAsia="Times New Roman"/>
          <w:sz w:val="30"/>
          <w:szCs w:val="30"/>
          <w:lang w:val="es-ES"/>
        </w:rPr>
        <w:br/>
        <w:t>b) Reservas matemáticas.- Se constituirán sobre la base de cálculos actuariales para los seguros de vida individual y renta vitalicia, de conformidad con las normas establecidas por la Superintend</w:t>
      </w:r>
      <w:r>
        <w:rPr>
          <w:rFonts w:eastAsia="Times New Roman"/>
          <w:sz w:val="30"/>
          <w:szCs w:val="30"/>
          <w:lang w:val="es-ES"/>
        </w:rPr>
        <w:t>encia de Compañías, Valores y Seguros;</w:t>
      </w:r>
      <w:r>
        <w:rPr>
          <w:rFonts w:eastAsia="Times New Roman"/>
          <w:sz w:val="30"/>
          <w:szCs w:val="30"/>
          <w:lang w:val="es-ES"/>
        </w:rPr>
        <w:br/>
      </w:r>
      <w:r>
        <w:rPr>
          <w:rFonts w:eastAsia="Times New Roman"/>
          <w:sz w:val="30"/>
          <w:szCs w:val="30"/>
          <w:lang w:val="es-ES"/>
        </w:rPr>
        <w:br/>
        <w:t>c) Reservas para obligaciones pendientes.- Se calcularán de la siguiente manera:</w:t>
      </w:r>
      <w:r>
        <w:rPr>
          <w:rFonts w:eastAsia="Times New Roman"/>
          <w:sz w:val="30"/>
          <w:szCs w:val="30"/>
          <w:lang w:val="es-ES"/>
        </w:rPr>
        <w:br/>
      </w:r>
      <w:r>
        <w:rPr>
          <w:rFonts w:eastAsia="Times New Roman"/>
          <w:sz w:val="30"/>
          <w:szCs w:val="30"/>
          <w:lang w:val="es-ES"/>
        </w:rPr>
        <w:br/>
        <w:t>1. Para los siniestros liquidados por pagar, por el valor de la respectiva liquidación;</w:t>
      </w:r>
      <w:r>
        <w:rPr>
          <w:rFonts w:eastAsia="Times New Roman"/>
          <w:sz w:val="30"/>
          <w:szCs w:val="30"/>
          <w:lang w:val="es-ES"/>
        </w:rPr>
        <w:br/>
      </w:r>
      <w:r>
        <w:rPr>
          <w:rFonts w:eastAsia="Times New Roman"/>
          <w:sz w:val="30"/>
          <w:szCs w:val="30"/>
          <w:lang w:val="es-ES"/>
        </w:rPr>
        <w:br/>
        <w:t>2. Para los siniestros por liquidar, por el v</w:t>
      </w:r>
      <w:r>
        <w:rPr>
          <w:rFonts w:eastAsia="Times New Roman"/>
          <w:sz w:val="30"/>
          <w:szCs w:val="30"/>
          <w:lang w:val="es-ES"/>
        </w:rPr>
        <w:t>alor probable de su monto;</w:t>
      </w:r>
      <w:r>
        <w:rPr>
          <w:rFonts w:eastAsia="Times New Roman"/>
          <w:sz w:val="30"/>
          <w:szCs w:val="30"/>
          <w:lang w:val="es-ES"/>
        </w:rPr>
        <w:br/>
      </w:r>
      <w:r>
        <w:rPr>
          <w:rFonts w:eastAsia="Times New Roman"/>
          <w:sz w:val="30"/>
          <w:szCs w:val="30"/>
          <w:lang w:val="es-ES"/>
        </w:rPr>
        <w:br/>
        <w:t>3. Para los siniestros ocurridos y no reportados; de acuerdo a las normas que para el efecto expida la Superintendencia de Compañías, Valores y Seguros; y,</w:t>
      </w:r>
      <w:r>
        <w:rPr>
          <w:rFonts w:eastAsia="Times New Roman"/>
          <w:sz w:val="30"/>
          <w:szCs w:val="30"/>
          <w:lang w:val="es-ES"/>
        </w:rPr>
        <w:br/>
      </w:r>
      <w:r>
        <w:rPr>
          <w:rFonts w:eastAsia="Times New Roman"/>
          <w:sz w:val="30"/>
          <w:szCs w:val="30"/>
          <w:lang w:val="es-ES"/>
        </w:rPr>
        <w:br/>
        <w:t>4. Para los vencimientos de capitales, de rentas y beneficios de los as</w:t>
      </w:r>
      <w:r>
        <w:rPr>
          <w:rFonts w:eastAsia="Times New Roman"/>
          <w:sz w:val="30"/>
          <w:szCs w:val="30"/>
          <w:lang w:val="es-ES"/>
        </w:rPr>
        <w:t>egurados en los seguros de vida, por el valor garantizado.</w:t>
      </w:r>
      <w:r>
        <w:rPr>
          <w:rFonts w:eastAsia="Times New Roman"/>
          <w:sz w:val="30"/>
          <w:szCs w:val="30"/>
          <w:lang w:val="es-ES"/>
        </w:rPr>
        <w:br/>
      </w:r>
      <w:r>
        <w:rPr>
          <w:rFonts w:eastAsia="Times New Roman"/>
          <w:sz w:val="30"/>
          <w:szCs w:val="30"/>
          <w:lang w:val="es-ES"/>
        </w:rPr>
        <w:br/>
        <w:t>En el cálculo de estas reservas deberán considerarse los reaseguros aceptados; y,</w:t>
      </w:r>
      <w:r>
        <w:rPr>
          <w:rFonts w:eastAsia="Times New Roman"/>
          <w:sz w:val="30"/>
          <w:szCs w:val="30"/>
          <w:lang w:val="es-ES"/>
        </w:rPr>
        <w:br/>
      </w:r>
      <w:r>
        <w:rPr>
          <w:rFonts w:eastAsia="Times New Roman"/>
          <w:sz w:val="30"/>
          <w:szCs w:val="30"/>
          <w:lang w:val="es-ES"/>
        </w:rPr>
        <w:br/>
        <w:t>d) Reservas para desviación de siniestralidad y eventos catastróficos.- (Reformado por la Disposición Reformatori</w:t>
      </w:r>
      <w:r>
        <w:rPr>
          <w:rFonts w:eastAsia="Times New Roman"/>
          <w:sz w:val="30"/>
          <w:szCs w:val="30"/>
          <w:lang w:val="es-ES"/>
        </w:rPr>
        <w:t xml:space="preserve">a Décima Sexta, num. 1 del Código Orgánico Monetario y Financiero, R.O. 332-2S; 12-IX-2014).- Se constituirán para cubrir riesgos de frecuencia incierta, siniestralidad poco conocida y riesgos catastróficos. Su cuantía será fijada en base a los parámetros </w:t>
      </w:r>
      <w:r>
        <w:rPr>
          <w:rFonts w:eastAsia="Times New Roman"/>
          <w:sz w:val="30"/>
          <w:szCs w:val="30"/>
          <w:lang w:val="es-ES"/>
        </w:rPr>
        <w:t>determinados por la Superintendencia de Compañías, Valores y Seguros.</w:t>
      </w:r>
      <w:r>
        <w:rPr>
          <w:rFonts w:eastAsia="Times New Roman"/>
          <w:sz w:val="30"/>
          <w:szCs w:val="30"/>
          <w:lang w:val="es-ES"/>
        </w:rPr>
        <w:br/>
      </w:r>
      <w:r>
        <w:rPr>
          <w:rFonts w:eastAsia="Times New Roman"/>
          <w:sz w:val="30"/>
          <w:szCs w:val="30"/>
          <w:lang w:val="es-ES"/>
        </w:rPr>
        <w:br/>
        <w:t xml:space="preserve">Las reservas establecidas en este artículo y las determinadas por la Superintendencia de Compañías, Valores y Seguros, mientras permanezcan como tales, son obligaciones prioritarias de </w:t>
      </w:r>
      <w:r>
        <w:rPr>
          <w:rFonts w:eastAsia="Times New Roman"/>
          <w:sz w:val="30"/>
          <w:szCs w:val="30"/>
          <w:lang w:val="es-ES"/>
        </w:rPr>
        <w:t xml:space="preserve">las empresas de seguros y compañías de reaseguros; por lo tanto, así figurarán en su </w:t>
      </w:r>
      <w:r>
        <w:rPr>
          <w:rFonts w:eastAsia="Times New Roman"/>
          <w:sz w:val="30"/>
          <w:szCs w:val="30"/>
          <w:lang w:val="es-ES"/>
        </w:rPr>
        <w:lastRenderedPageBreak/>
        <w:t>contabilidad y serán deducibles para efectos del impuesto a la renta conforme lo dispuesto en la Ley de Régimen Tributario Interno.</w:t>
      </w:r>
      <w:r>
        <w:rPr>
          <w:rFonts w:eastAsia="Times New Roman"/>
          <w:sz w:val="30"/>
          <w:szCs w:val="30"/>
          <w:lang w:val="es-ES"/>
        </w:rPr>
        <w:br/>
      </w:r>
      <w:r>
        <w:rPr>
          <w:rFonts w:eastAsia="Times New Roman"/>
          <w:sz w:val="30"/>
          <w:szCs w:val="30"/>
          <w:lang w:val="es-ES"/>
        </w:rPr>
        <w:br/>
        <w:t>La Superintendencia de Bancos y Seguro</w:t>
      </w:r>
      <w:r>
        <w:rPr>
          <w:rFonts w:eastAsia="Times New Roman"/>
          <w:sz w:val="30"/>
          <w:szCs w:val="30"/>
          <w:lang w:val="es-ES"/>
        </w:rPr>
        <w:t>s, podrá fijar cualquier otro método para la constitución de las reservas a las que se refieren los incisos anteriores, los que deberán comunicarse con por lo menos 120 días de anticipación.</w:t>
      </w:r>
      <w:r>
        <w:rPr>
          <w:rFonts w:eastAsia="Times New Roman"/>
          <w:sz w:val="30"/>
          <w:szCs w:val="30"/>
          <w:lang w:val="es-ES"/>
        </w:rPr>
        <w:br/>
      </w:r>
      <w:r>
        <w:rPr>
          <w:rFonts w:eastAsia="Times New Roman"/>
          <w:sz w:val="30"/>
          <w:szCs w:val="30"/>
          <w:lang w:val="es-ES"/>
        </w:rPr>
        <w:br/>
        <w:t>Las reservas técnicas señaladas en los literales b) y d) se cons</w:t>
      </w:r>
      <w:r>
        <w:rPr>
          <w:rFonts w:eastAsia="Times New Roman"/>
          <w:sz w:val="30"/>
          <w:szCs w:val="30"/>
          <w:lang w:val="es-ES"/>
        </w:rPr>
        <w:t>tituirán por una sola vez al 31 de diciembre de cada ejercicio económico.</w:t>
      </w:r>
    </w:p>
    <w:p w:rsidR="00000000" w:rsidRDefault="0018461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SOLVENCIA</w:t>
      </w:r>
    </w:p>
    <w:p w:rsidR="00000000" w:rsidRDefault="0018461E">
      <w:pPr>
        <w:divId w:val="2120828916"/>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(Reformado por la Disposición Reformatoria Décima Sexta, num. 1; y, sustituido por la Disposición Reformatoria Décima Sexta, num. 6 del Código O</w:t>
      </w:r>
      <w:r>
        <w:rPr>
          <w:rFonts w:eastAsia="Times New Roman"/>
          <w:sz w:val="30"/>
          <w:szCs w:val="30"/>
          <w:lang w:val="es-ES"/>
        </w:rPr>
        <w:t>rgánico Monetario y Financiero; R.O. 332-2S, 12-IX-2014).- Las compañías de seguros y reaseguros deberán mantener, en todo tiempo, los requerimientos de solvencia generales o por ramos que regule la Junta de Política y Regulación Monetaria y Financiera, co</w:t>
      </w:r>
      <w:r>
        <w:rPr>
          <w:rFonts w:eastAsia="Times New Roman"/>
          <w:sz w:val="30"/>
          <w:szCs w:val="30"/>
          <w:lang w:val="es-ES"/>
        </w:rPr>
        <w:t>nsiderando lo siguiente:</w:t>
      </w:r>
      <w:r>
        <w:rPr>
          <w:rFonts w:eastAsia="Times New Roman"/>
          <w:sz w:val="30"/>
          <w:szCs w:val="30"/>
          <w:lang w:val="es-ES"/>
        </w:rPr>
        <w:br/>
      </w:r>
      <w:r>
        <w:rPr>
          <w:rFonts w:eastAsia="Times New Roman"/>
          <w:sz w:val="30"/>
          <w:szCs w:val="30"/>
          <w:lang w:val="es-ES"/>
        </w:rPr>
        <w:br/>
        <w:t>a) Régimen de reservas técnicas;</w:t>
      </w:r>
      <w:r>
        <w:rPr>
          <w:rFonts w:eastAsia="Times New Roman"/>
          <w:sz w:val="30"/>
          <w:szCs w:val="30"/>
          <w:lang w:val="es-ES"/>
        </w:rPr>
        <w:br/>
      </w:r>
      <w:r>
        <w:rPr>
          <w:rFonts w:eastAsia="Times New Roman"/>
          <w:sz w:val="30"/>
          <w:szCs w:val="30"/>
          <w:lang w:val="es-ES"/>
        </w:rPr>
        <w:br/>
        <w:t>b) Sistema de administración de riesgos;</w:t>
      </w:r>
      <w:r>
        <w:rPr>
          <w:rFonts w:eastAsia="Times New Roman"/>
          <w:sz w:val="30"/>
          <w:szCs w:val="30"/>
          <w:lang w:val="es-ES"/>
        </w:rPr>
        <w:br/>
      </w:r>
      <w:r>
        <w:rPr>
          <w:rFonts w:eastAsia="Times New Roman"/>
          <w:sz w:val="30"/>
          <w:szCs w:val="30"/>
          <w:lang w:val="es-ES"/>
        </w:rPr>
        <w:br/>
        <w:t>c)Patrimonio técnico; y,</w:t>
      </w:r>
      <w:r>
        <w:rPr>
          <w:rFonts w:eastAsia="Times New Roman"/>
          <w:sz w:val="30"/>
          <w:szCs w:val="30"/>
          <w:lang w:val="es-ES"/>
        </w:rPr>
        <w:br/>
      </w:r>
      <w:r>
        <w:rPr>
          <w:rFonts w:eastAsia="Times New Roman"/>
          <w:sz w:val="30"/>
          <w:szCs w:val="30"/>
          <w:lang w:val="es-ES"/>
        </w:rPr>
        <w:br/>
        <w:t>d) Inversiones obligatorias.</w:t>
      </w:r>
      <w:r>
        <w:rPr>
          <w:rFonts w:eastAsia="Times New Roman"/>
          <w:sz w:val="30"/>
          <w:szCs w:val="30"/>
          <w:lang w:val="es-ES"/>
        </w:rPr>
        <w:br/>
      </w:r>
      <w:r>
        <w:rPr>
          <w:rFonts w:eastAsia="Times New Roman"/>
          <w:sz w:val="30"/>
          <w:szCs w:val="30"/>
          <w:lang w:val="es-ES"/>
        </w:rPr>
        <w:br/>
        <w:t xml:space="preserve">Los requerimientos de solvencia serán revisados por la Junta de Política y Regulación Monetaria y </w:t>
      </w:r>
      <w:r>
        <w:rPr>
          <w:rFonts w:eastAsia="Times New Roman"/>
          <w:sz w:val="30"/>
          <w:szCs w:val="30"/>
          <w:lang w:val="es-ES"/>
        </w:rPr>
        <w:t>Financiera.</w:t>
      </w:r>
      <w:r>
        <w:rPr>
          <w:rFonts w:eastAsia="Times New Roman"/>
          <w:sz w:val="30"/>
          <w:szCs w:val="30"/>
          <w:lang w:val="es-ES"/>
        </w:rPr>
        <w:br/>
      </w:r>
      <w:r>
        <w:rPr>
          <w:rFonts w:eastAsia="Times New Roman"/>
          <w:sz w:val="30"/>
          <w:szCs w:val="30"/>
          <w:lang w:val="es-ES"/>
        </w:rPr>
        <w:br/>
        <w:t>La Junta de Política y Regulación Monetaria y Financiera expedirá la normativa que sea necesaria para aplicar el régimen de solvencia previsto en este artículo; pudiendo determinar los plazos, condiciones, medidas y acciones que sean necesaria</w:t>
      </w:r>
      <w:r>
        <w:rPr>
          <w:rFonts w:eastAsia="Times New Roman"/>
          <w:sz w:val="30"/>
          <w:szCs w:val="30"/>
          <w:lang w:val="es-ES"/>
        </w:rPr>
        <w:t>s para su aplicación; con la finalidad de evitar o atenuar la exposición al riesgo de las compañías de seguros y compañías de reaseguros en benéfico de los asegurados.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compañías de seguros y compañías de reaseguros, deberán constituir las reservas téc</w:t>
      </w:r>
      <w:r>
        <w:rPr>
          <w:rFonts w:eastAsia="Times New Roman"/>
          <w:sz w:val="30"/>
          <w:szCs w:val="30"/>
          <w:lang w:val="es-ES"/>
        </w:rPr>
        <w:t>nicas por riesgos en curso, reservas matemáticas, reservas catastróficas, reservas por obligaciones pendientes y reservas por desviación de siniestralidad; definidas por la normativa que emita la Junta, quien determinará su metodología.</w:t>
      </w:r>
      <w:r>
        <w:rPr>
          <w:rFonts w:eastAsia="Times New Roman"/>
          <w:sz w:val="30"/>
          <w:szCs w:val="30"/>
          <w:lang w:val="es-ES"/>
        </w:rPr>
        <w:br/>
      </w:r>
      <w:r>
        <w:rPr>
          <w:rFonts w:eastAsia="Times New Roman"/>
          <w:sz w:val="30"/>
          <w:szCs w:val="30"/>
          <w:lang w:val="es-ES"/>
        </w:rPr>
        <w:br/>
        <w:t>Las reservas técni</w:t>
      </w:r>
      <w:r>
        <w:rPr>
          <w:rFonts w:eastAsia="Times New Roman"/>
          <w:sz w:val="30"/>
          <w:szCs w:val="30"/>
          <w:lang w:val="es-ES"/>
        </w:rPr>
        <w:t>cas deberán cubrir la totalidad de los riesgos asumidos por las compañías de seguros y compañías de reaseguros.</w:t>
      </w:r>
      <w:r>
        <w:rPr>
          <w:rFonts w:eastAsia="Times New Roman"/>
          <w:sz w:val="30"/>
          <w:szCs w:val="30"/>
          <w:lang w:val="es-ES"/>
        </w:rPr>
        <w:br/>
      </w:r>
      <w:r>
        <w:rPr>
          <w:rFonts w:eastAsia="Times New Roman"/>
          <w:sz w:val="30"/>
          <w:szCs w:val="30"/>
          <w:lang w:val="es-ES"/>
        </w:rPr>
        <w:br/>
        <w:t>La Junta podrá crear otro tipo de reservas técnicas y/o modificar las existentes y su fórmula de cálculo en función de la dinámica propia del d</w:t>
      </w:r>
      <w:r>
        <w:rPr>
          <w:rFonts w:eastAsia="Times New Roman"/>
          <w:sz w:val="30"/>
          <w:szCs w:val="30"/>
          <w:lang w:val="es-ES"/>
        </w:rPr>
        <w:t>esarrollo del negocio de seguros.</w:t>
      </w:r>
      <w:r>
        <w:rPr>
          <w:rFonts w:eastAsia="Times New Roman"/>
          <w:sz w:val="30"/>
          <w:szCs w:val="30"/>
          <w:lang w:val="es-ES"/>
        </w:rPr>
        <w:br/>
      </w:r>
      <w:r>
        <w:rPr>
          <w:rFonts w:eastAsia="Times New Roman"/>
          <w:sz w:val="30"/>
          <w:szCs w:val="30"/>
          <w:lang w:val="es-ES"/>
        </w:rPr>
        <w:br/>
        <w:t>El régimen de patrimonio técnico comprende la determinación del patrimonio técnico mínimo requerido, el cual se establece en función de un nivel de capital adecuado destinado a proteger a las compañías de seguros y compañ</w:t>
      </w:r>
      <w:r>
        <w:rPr>
          <w:rFonts w:eastAsia="Times New Roman"/>
          <w:sz w:val="30"/>
          <w:szCs w:val="30"/>
          <w:lang w:val="es-ES"/>
        </w:rPr>
        <w:t>ías de reaseguros contra los efectos generados por desviación en la frecuencia y severidad del riesgo de suscripción, así como de cualquier otro riesgo y en especial el riesgo de crédito derivado de las operaciones de reaseguros.</w:t>
      </w:r>
      <w:r>
        <w:rPr>
          <w:rFonts w:eastAsia="Times New Roman"/>
          <w:sz w:val="30"/>
          <w:szCs w:val="30"/>
          <w:lang w:val="es-ES"/>
        </w:rPr>
        <w:br/>
      </w:r>
      <w:r>
        <w:rPr>
          <w:rFonts w:eastAsia="Times New Roman"/>
          <w:sz w:val="30"/>
          <w:szCs w:val="30"/>
          <w:lang w:val="es-ES"/>
        </w:rPr>
        <w:br/>
        <w:t>Las exigencias del régime</w:t>
      </w:r>
      <w:r>
        <w:rPr>
          <w:rFonts w:eastAsia="Times New Roman"/>
          <w:sz w:val="30"/>
          <w:szCs w:val="30"/>
          <w:lang w:val="es-ES"/>
        </w:rPr>
        <w:t xml:space="preserve">n de patrimonio técnico que establecen en este capítulo, deberán cumplirse adicionalmente de las disposiciones relativas a capitales mínimos establecidos en la ley, y demás normativa expedida por la Junta de Política y Regulación Monetaria y Financiera al </w:t>
      </w:r>
      <w:r>
        <w:rPr>
          <w:rFonts w:eastAsia="Times New Roman"/>
          <w:sz w:val="30"/>
          <w:szCs w:val="30"/>
          <w:lang w:val="es-ES"/>
        </w:rPr>
        <w:t>respecto.</w:t>
      </w:r>
      <w:r>
        <w:rPr>
          <w:rFonts w:eastAsia="Times New Roman"/>
          <w:sz w:val="30"/>
          <w:szCs w:val="30"/>
          <w:lang w:val="es-ES"/>
        </w:rPr>
        <w:br/>
      </w:r>
      <w:r>
        <w:rPr>
          <w:rFonts w:eastAsia="Times New Roman"/>
          <w:sz w:val="30"/>
          <w:szCs w:val="30"/>
          <w:lang w:val="es-ES"/>
        </w:rPr>
        <w:br/>
        <w:t>Toda compañías de seguros y compañías de reaseguros deberá establecer esquemas eficientes y efectivos de administración control de riesgos técnicos, mercado, liquidez, crédito y operativo.</w:t>
      </w:r>
    </w:p>
    <w:p w:rsidR="00000000" w:rsidRDefault="0018461E">
      <w:pPr>
        <w:divId w:val="47530803"/>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(Reformado por el Art. 162 de la Ley s/n, R.O.</w:t>
      </w:r>
      <w:r>
        <w:rPr>
          <w:rFonts w:eastAsia="Times New Roman"/>
          <w:sz w:val="30"/>
          <w:szCs w:val="30"/>
          <w:lang w:val="es-ES"/>
        </w:rPr>
        <w:t xml:space="preserve"> 249-S, 20-V-2014; por la Disposición Reformatoria Décima Sexta, num. 1 del Código Orgánico Monetario y Financiero; R.O. 332-2S, 12-IX-2014; y, sustituido por la Disposición Reformatoria Décima Sexta, num. 7 del Código Orgánico Monetario y Financiero; R.O.</w:t>
      </w:r>
      <w:r>
        <w:rPr>
          <w:rFonts w:eastAsia="Times New Roman"/>
          <w:sz w:val="30"/>
          <w:szCs w:val="30"/>
          <w:lang w:val="es-ES"/>
        </w:rPr>
        <w:t xml:space="preserve"> 332-2S, 12-IX-2014).- Las compañías de seguros y compañía de reaseguros deben invertir sus reservas técnicas, al menos el sesenta por ciento (60%) del capital pagado y la reserva legal, en títulos del mercado de valores, fondos de inversión, instrumentos </w:t>
      </w:r>
      <w:r>
        <w:rPr>
          <w:rFonts w:eastAsia="Times New Roman"/>
          <w:sz w:val="30"/>
          <w:szCs w:val="30"/>
          <w:lang w:val="es-ES"/>
        </w:rPr>
        <w:t xml:space="preserve">financieros y bienes raíces, en los segmentos y porcentajes definidos por la Junta de Política y </w:t>
      </w:r>
      <w:r>
        <w:rPr>
          <w:rFonts w:eastAsia="Times New Roman"/>
          <w:sz w:val="30"/>
          <w:szCs w:val="30"/>
          <w:lang w:val="es-ES"/>
        </w:rPr>
        <w:lastRenderedPageBreak/>
        <w:t xml:space="preserve">Regulación Monetaria y Financiera, a través de normas de carácter general, procurando una adecuada combinación de riesgos, liquidez, seguridad y rentabilidad. </w:t>
      </w:r>
      <w:r>
        <w:rPr>
          <w:rFonts w:eastAsia="Times New Roman"/>
          <w:sz w:val="30"/>
          <w:szCs w:val="30"/>
          <w:lang w:val="es-ES"/>
        </w:rPr>
        <w:t xml:space="preserve">Se prohíbe a las compañías de seguros y compañías de reaseguros negociar acciones u obligaciones convertibles con instituciones del Sistema Financiero. </w:t>
      </w:r>
      <w:r>
        <w:rPr>
          <w:rFonts w:eastAsia="Times New Roman"/>
          <w:sz w:val="30"/>
          <w:szCs w:val="30"/>
          <w:lang w:val="es-ES"/>
        </w:rPr>
        <w:br/>
      </w:r>
      <w:r>
        <w:rPr>
          <w:rFonts w:eastAsia="Times New Roman"/>
          <w:sz w:val="30"/>
          <w:szCs w:val="30"/>
          <w:lang w:val="es-ES"/>
        </w:rPr>
        <w:br/>
        <w:t>En ningún caso las inversiones en instrumentos financieros emitidos por instituciones del sistema fina</w:t>
      </w:r>
      <w:r>
        <w:rPr>
          <w:rFonts w:eastAsia="Times New Roman"/>
          <w:sz w:val="30"/>
          <w:szCs w:val="30"/>
          <w:lang w:val="es-ES"/>
        </w:rPr>
        <w:t>nciero podrán superar el 10% del total de instrumentos de inversión; la Junta definirá los porcentajes máximos de las demás inversiones.</w:t>
      </w:r>
    </w:p>
    <w:p w:rsidR="00000000" w:rsidRDefault="0018461E">
      <w:pPr>
        <w:divId w:val="600651547"/>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(Derogado por la Disposición Reformatoria Décima Sexta, num. 8 del Código Orgánico Monetario y Financiero; R.</w:t>
      </w:r>
      <w:r>
        <w:rPr>
          <w:rFonts w:eastAsia="Times New Roman"/>
          <w:sz w:val="30"/>
          <w:szCs w:val="30"/>
          <w:lang w:val="es-ES"/>
        </w:rPr>
        <w:t>O. 332-2S, 12-IX-2014).- .</w:t>
      </w:r>
    </w:p>
    <w:p w:rsidR="00000000" w:rsidRDefault="0018461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PÓLIZAS Y TARIFAS</w:t>
      </w:r>
    </w:p>
    <w:p w:rsidR="00000000" w:rsidRDefault="0018461E">
      <w:pPr>
        <w:divId w:val="698550581"/>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(Reformado por la Disposición Reformatoria Décima Sexta, num. 1; y, sustituido por la Disposición Reformatoria Décima Sexta, num. 9 del Código Orgánico Monetario y Financiero; R.O.</w:t>
      </w:r>
      <w:r>
        <w:rPr>
          <w:rFonts w:eastAsia="Times New Roman"/>
          <w:sz w:val="30"/>
          <w:szCs w:val="30"/>
          <w:lang w:val="es-ES"/>
        </w:rPr>
        <w:t xml:space="preserve"> 332-2S, 12-IX-2014).- La Superintendencia de Compañías, Valores y Seguros determinará las cláusulas que obligatoriamente contendrán las pólizas, así como las cláusulas prohibidas, las cuales carecerán de efectos y se tendrán por no escritas en caso de exi</w:t>
      </w:r>
      <w:r>
        <w:rPr>
          <w:rFonts w:eastAsia="Times New Roman"/>
          <w:sz w:val="30"/>
          <w:szCs w:val="30"/>
          <w:lang w:val="es-ES"/>
        </w:rPr>
        <w:t>stir. Las tarifas de primas y notas técnicas requerirán autorización previa de la Superintendencia. Copias de las pólizas, tarifas y notas serán remitidas a la Superintendencia, por lo menos treinta días antes de su utilización, para fines de verificación,</w:t>
      </w:r>
      <w:r>
        <w:rPr>
          <w:rFonts w:eastAsia="Times New Roman"/>
          <w:sz w:val="30"/>
          <w:szCs w:val="30"/>
          <w:lang w:val="es-ES"/>
        </w:rPr>
        <w:t xml:space="preserve"> control y sanción.</w:t>
      </w:r>
      <w:r>
        <w:rPr>
          <w:rFonts w:eastAsia="Times New Roman"/>
          <w:sz w:val="30"/>
          <w:szCs w:val="30"/>
          <w:lang w:val="es-ES"/>
        </w:rPr>
        <w:br/>
      </w:r>
      <w:r>
        <w:rPr>
          <w:rFonts w:eastAsia="Times New Roman"/>
          <w:sz w:val="30"/>
          <w:szCs w:val="30"/>
          <w:lang w:val="es-ES"/>
        </w:rPr>
        <w:br/>
        <w:t>Las pólizas deberán sujetarse, mínimo a las siguientes condiciones:</w:t>
      </w:r>
      <w:r>
        <w:rPr>
          <w:rFonts w:eastAsia="Times New Roman"/>
          <w:sz w:val="30"/>
          <w:szCs w:val="30"/>
          <w:lang w:val="es-ES"/>
        </w:rPr>
        <w:br/>
      </w:r>
      <w:r>
        <w:rPr>
          <w:rFonts w:eastAsia="Times New Roman"/>
          <w:sz w:val="30"/>
          <w:szCs w:val="30"/>
          <w:lang w:val="es-ES"/>
        </w:rPr>
        <w:br/>
        <w:t>a) Responder a normas de igualdad y equidad entre las partes contratantes;</w:t>
      </w:r>
      <w:r>
        <w:rPr>
          <w:rFonts w:eastAsia="Times New Roman"/>
          <w:sz w:val="30"/>
          <w:szCs w:val="30"/>
          <w:lang w:val="es-ES"/>
        </w:rPr>
        <w:br/>
      </w:r>
      <w:r>
        <w:rPr>
          <w:rFonts w:eastAsia="Times New Roman"/>
          <w:sz w:val="30"/>
          <w:szCs w:val="30"/>
          <w:lang w:val="es-ES"/>
        </w:rPr>
        <w:br/>
        <w:t xml:space="preserve">b) Ceñir su contenido a la legislación sobre el contrato de seguro constante en el Código </w:t>
      </w:r>
      <w:r>
        <w:rPr>
          <w:rFonts w:eastAsia="Times New Roman"/>
          <w:sz w:val="30"/>
          <w:szCs w:val="30"/>
          <w:lang w:val="es-ES"/>
        </w:rPr>
        <w:t>de Comercio, el Decreto Supremo No. 1147, publicado en el Registro Oficial No. 123 de 7 de diciembre de 1963, a la presente Ley y a las demás disposiciones que fueren aplicables;</w:t>
      </w:r>
      <w:r>
        <w:rPr>
          <w:rFonts w:eastAsia="Times New Roman"/>
          <w:sz w:val="30"/>
          <w:szCs w:val="30"/>
          <w:lang w:val="es-ES"/>
        </w:rPr>
        <w:br/>
      </w:r>
      <w:r>
        <w:rPr>
          <w:rFonts w:eastAsia="Times New Roman"/>
          <w:sz w:val="30"/>
          <w:szCs w:val="30"/>
          <w:lang w:val="es-ES"/>
        </w:rPr>
        <w:br/>
        <w:t xml:space="preserve">c) Encontrarse redactada de manera clara, de modo que sea de fácil </w:t>
      </w:r>
      <w:r>
        <w:rPr>
          <w:rFonts w:eastAsia="Times New Roman"/>
          <w:sz w:val="30"/>
          <w:szCs w:val="30"/>
          <w:lang w:val="es-ES"/>
        </w:rPr>
        <w:lastRenderedPageBreak/>
        <w:t>comprensi</w:t>
      </w:r>
      <w:r>
        <w:rPr>
          <w:rFonts w:eastAsia="Times New Roman"/>
          <w:sz w:val="30"/>
          <w:szCs w:val="30"/>
          <w:lang w:val="es-ES"/>
        </w:rPr>
        <w:t>ón para el asegurado;</w:t>
      </w:r>
      <w:r>
        <w:rPr>
          <w:rFonts w:eastAsia="Times New Roman"/>
          <w:sz w:val="30"/>
          <w:szCs w:val="30"/>
          <w:lang w:val="es-ES"/>
        </w:rPr>
        <w:br/>
      </w:r>
      <w:r>
        <w:rPr>
          <w:rFonts w:eastAsia="Times New Roman"/>
          <w:sz w:val="30"/>
          <w:szCs w:val="30"/>
          <w:lang w:val="es-ES"/>
        </w:rPr>
        <w:br/>
        <w:t>d) Los caracteres tipográficos deben ser fácilmente legibles;</w:t>
      </w:r>
      <w:r>
        <w:rPr>
          <w:rFonts w:eastAsia="Times New Roman"/>
          <w:sz w:val="30"/>
          <w:szCs w:val="30"/>
          <w:lang w:val="es-ES"/>
        </w:rPr>
        <w:br/>
      </w:r>
      <w:r>
        <w:rPr>
          <w:rFonts w:eastAsia="Times New Roman"/>
          <w:sz w:val="30"/>
          <w:szCs w:val="30"/>
          <w:lang w:val="es-ES"/>
        </w:rPr>
        <w:br/>
        <w:t>e) Figurar las coberturas básicas y las exclusiones con caracteres destacados en la póliza;</w:t>
      </w:r>
      <w:r>
        <w:rPr>
          <w:rFonts w:eastAsia="Times New Roman"/>
          <w:sz w:val="30"/>
          <w:szCs w:val="30"/>
          <w:lang w:val="es-ES"/>
        </w:rPr>
        <w:br/>
      </w:r>
      <w:r>
        <w:rPr>
          <w:rFonts w:eastAsia="Times New Roman"/>
          <w:sz w:val="30"/>
          <w:szCs w:val="30"/>
          <w:lang w:val="es-ES"/>
        </w:rPr>
        <w:br/>
        <w:t>f) Incluir el listado de documentos básicos necesarios para la reclamación de</w:t>
      </w:r>
      <w:r>
        <w:rPr>
          <w:rFonts w:eastAsia="Times New Roman"/>
          <w:sz w:val="30"/>
          <w:szCs w:val="30"/>
          <w:lang w:val="es-ES"/>
        </w:rPr>
        <w:t xml:space="preserve"> un siniestro;</w:t>
      </w:r>
      <w:r>
        <w:rPr>
          <w:rFonts w:eastAsia="Times New Roman"/>
          <w:sz w:val="30"/>
          <w:szCs w:val="30"/>
          <w:lang w:val="es-ES"/>
        </w:rPr>
        <w:br/>
      </w:r>
      <w:r>
        <w:rPr>
          <w:rFonts w:eastAsia="Times New Roman"/>
          <w:sz w:val="30"/>
          <w:szCs w:val="30"/>
          <w:lang w:val="es-ES"/>
        </w:rPr>
        <w:br/>
        <w:t>g) Incluir una cláusula en la que conste la opción de las partes de someter a decisión arbitral o mediación las diferencias que se originen en el contrato o póliza de seguros; y,</w:t>
      </w:r>
      <w:r>
        <w:rPr>
          <w:rFonts w:eastAsia="Times New Roman"/>
          <w:sz w:val="30"/>
          <w:szCs w:val="30"/>
          <w:lang w:val="es-ES"/>
        </w:rPr>
        <w:br/>
      </w:r>
      <w:r>
        <w:rPr>
          <w:rFonts w:eastAsia="Times New Roman"/>
          <w:sz w:val="30"/>
          <w:szCs w:val="30"/>
          <w:lang w:val="es-ES"/>
        </w:rPr>
        <w:br/>
        <w:t>h) Señalar la moneda en la que se pagarán las primas y sinie</w:t>
      </w:r>
      <w:r>
        <w:rPr>
          <w:rFonts w:eastAsia="Times New Roman"/>
          <w:sz w:val="30"/>
          <w:szCs w:val="30"/>
          <w:lang w:val="es-ES"/>
        </w:rPr>
        <w:t>stros. La cotización al valor de venta de la moneda extranjera serán los vigentes a la fecha efectiva de pago de las primas y de las indemnizaciones.</w:t>
      </w:r>
      <w:r>
        <w:rPr>
          <w:rFonts w:eastAsia="Times New Roman"/>
          <w:sz w:val="30"/>
          <w:szCs w:val="30"/>
          <w:lang w:val="es-ES"/>
        </w:rPr>
        <w:br/>
      </w:r>
      <w:r>
        <w:rPr>
          <w:rFonts w:eastAsia="Times New Roman"/>
          <w:sz w:val="30"/>
          <w:szCs w:val="30"/>
          <w:lang w:val="es-ES"/>
        </w:rPr>
        <w:br/>
        <w:t>Cuando las condiciones generales de las pólizas o de sus cláusulas especiales difieran de las normas esta</w:t>
      </w:r>
      <w:r>
        <w:rPr>
          <w:rFonts w:eastAsia="Times New Roman"/>
          <w:sz w:val="30"/>
          <w:szCs w:val="30"/>
          <w:lang w:val="es-ES"/>
        </w:rPr>
        <w:t>blecidas en la legislación sobre el contrato de seguros, prevalecerán estas últimas sobre aquellas.</w:t>
      </w:r>
      <w:r>
        <w:rPr>
          <w:rFonts w:eastAsia="Times New Roman"/>
          <w:sz w:val="30"/>
          <w:szCs w:val="30"/>
          <w:lang w:val="es-ES"/>
        </w:rPr>
        <w:br/>
      </w:r>
      <w:r>
        <w:rPr>
          <w:rFonts w:eastAsia="Times New Roman"/>
          <w:sz w:val="30"/>
          <w:szCs w:val="30"/>
          <w:lang w:val="es-ES"/>
        </w:rPr>
        <w:br/>
        <w:t>Las tarifas de primas se sujetarán a los siguientes principios:</w:t>
      </w:r>
      <w:r>
        <w:rPr>
          <w:rFonts w:eastAsia="Times New Roman"/>
          <w:sz w:val="30"/>
          <w:szCs w:val="30"/>
          <w:lang w:val="es-ES"/>
        </w:rPr>
        <w:br/>
      </w:r>
      <w:r>
        <w:rPr>
          <w:rFonts w:eastAsia="Times New Roman"/>
          <w:sz w:val="30"/>
          <w:szCs w:val="30"/>
          <w:lang w:val="es-ES"/>
        </w:rPr>
        <w:br/>
        <w:t xml:space="preserve">1. Ser el resultado de la utilización de información estadística que cumpla exigencias de </w:t>
      </w:r>
      <w:r>
        <w:rPr>
          <w:rFonts w:eastAsia="Times New Roman"/>
          <w:sz w:val="30"/>
          <w:szCs w:val="30"/>
          <w:lang w:val="es-ES"/>
        </w:rPr>
        <w:t>homogeneidad y representatividad; o,</w:t>
      </w:r>
      <w:r>
        <w:rPr>
          <w:rFonts w:eastAsia="Times New Roman"/>
          <w:sz w:val="30"/>
          <w:szCs w:val="30"/>
          <w:lang w:val="es-ES"/>
        </w:rPr>
        <w:br/>
      </w:r>
      <w:r>
        <w:rPr>
          <w:rFonts w:eastAsia="Times New Roman"/>
          <w:sz w:val="30"/>
          <w:szCs w:val="30"/>
          <w:lang w:val="es-ES"/>
        </w:rPr>
        <w:br/>
        <w:t>2. Ser el resultado del respaldo de reaseguradores de reconocida solvencia técnica y financiera.</w:t>
      </w:r>
      <w:r>
        <w:rPr>
          <w:rFonts w:eastAsia="Times New Roman"/>
          <w:sz w:val="30"/>
          <w:szCs w:val="30"/>
          <w:lang w:val="es-ES"/>
        </w:rPr>
        <w:br/>
      </w:r>
      <w:r>
        <w:rPr>
          <w:rFonts w:eastAsia="Times New Roman"/>
          <w:sz w:val="30"/>
          <w:szCs w:val="30"/>
          <w:lang w:val="es-ES"/>
        </w:rPr>
        <w:br/>
        <w:t xml:space="preserve">En todo contrato de seguro se entienden incorporadas las normas de la Ley Orgánica de Defensa del Consumidor. Se tendrá </w:t>
      </w:r>
      <w:r>
        <w:rPr>
          <w:rFonts w:eastAsia="Times New Roman"/>
          <w:sz w:val="30"/>
          <w:szCs w:val="30"/>
          <w:lang w:val="es-ES"/>
        </w:rPr>
        <w:t>por no escrita toda la cláusula que se oponga a las leyes, en perjuicio del asegurado, o a las prohibiciones que determine la Superintendencia conforme al inciso primero de este artículo.</w:t>
      </w:r>
    </w:p>
    <w:p w:rsidR="00000000" w:rsidRDefault="0018461E">
      <w:pPr>
        <w:divId w:val="1218663686"/>
        <w:rPr>
          <w:rFonts w:eastAsia="Times New Roman"/>
          <w:sz w:val="30"/>
          <w:szCs w:val="30"/>
          <w:lang w:val="es-ES"/>
        </w:rPr>
      </w:pPr>
      <w:r>
        <w:rPr>
          <w:rFonts w:eastAsia="Times New Roman"/>
          <w:b/>
          <w:bCs/>
          <w:sz w:val="30"/>
          <w:szCs w:val="30"/>
          <w:lang w:val="es-ES"/>
        </w:rPr>
        <w:t xml:space="preserve">Art. 26.- </w:t>
      </w:r>
      <w:r>
        <w:rPr>
          <w:rFonts w:eastAsia="Times New Roman"/>
          <w:sz w:val="30"/>
          <w:szCs w:val="30"/>
          <w:lang w:val="es-ES"/>
        </w:rPr>
        <w:t>(Reformado por la Disposición Reformatoria Décima Sexta, num. 1 del Código Orgánico Monetario y Financiero; R.O. 332-2S, 12-IX-2014).- En toda póliza emitida y vigente se entenderán incorporados los requisitos señalados en el artículo 25 aun cuando éstos n</w:t>
      </w:r>
      <w:r>
        <w:rPr>
          <w:rFonts w:eastAsia="Times New Roman"/>
          <w:sz w:val="30"/>
          <w:szCs w:val="30"/>
          <w:lang w:val="es-ES"/>
        </w:rPr>
        <w:t xml:space="preserve">o consten en su texto en forma expresa. Este incumplimiento </w:t>
      </w:r>
      <w:r>
        <w:rPr>
          <w:rFonts w:eastAsia="Times New Roman"/>
          <w:sz w:val="30"/>
          <w:szCs w:val="30"/>
          <w:lang w:val="es-ES"/>
        </w:rPr>
        <w:lastRenderedPageBreak/>
        <w:t>será causal para que el Superintendente de Compañías, Valores y Seguros prohíba o suspenda la emisión de nuevas pólizas hasta cuando sea satisfecho el o los requisitos respectivos. Si tales faltas</w:t>
      </w:r>
      <w:r>
        <w:rPr>
          <w:rFonts w:eastAsia="Times New Roman"/>
          <w:sz w:val="30"/>
          <w:szCs w:val="30"/>
          <w:lang w:val="es-ES"/>
        </w:rPr>
        <w:t xml:space="preserve"> u omisiones resulten reiteradas, el Superintendente de Compañías, Valores y Seguros podrá retirar el certificado de autorización del ramo correspondiente sin perjuicio de las sanciones legales pertinentes.</w:t>
      </w:r>
      <w:r>
        <w:rPr>
          <w:rFonts w:eastAsia="Times New Roman"/>
          <w:sz w:val="30"/>
          <w:szCs w:val="30"/>
          <w:lang w:val="es-ES"/>
        </w:rPr>
        <w:br/>
      </w:r>
      <w:r>
        <w:rPr>
          <w:rFonts w:eastAsia="Times New Roman"/>
          <w:sz w:val="30"/>
          <w:szCs w:val="30"/>
          <w:lang w:val="es-ES"/>
        </w:rPr>
        <w:br/>
        <w:t xml:space="preserve">Las empresas de seguros procederán en los casos </w:t>
      </w:r>
      <w:r>
        <w:rPr>
          <w:rFonts w:eastAsia="Times New Roman"/>
          <w:sz w:val="30"/>
          <w:szCs w:val="30"/>
          <w:lang w:val="es-ES"/>
        </w:rPr>
        <w:t>de pólizas emitidas con anterioridad y que hayan sido sujetas a observaciones por parte de la Superintendencia de Compañías, Valores y Seguros a notificar a los asegurados de tales enmiendas.</w:t>
      </w:r>
    </w:p>
    <w:p w:rsidR="00000000" w:rsidRDefault="0018461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REASEGUROS</w:t>
      </w:r>
    </w:p>
    <w:p w:rsidR="00000000" w:rsidRDefault="0018461E">
      <w:pPr>
        <w:divId w:val="2013296345"/>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(Reformado por la Dispo</w:t>
      </w:r>
      <w:r>
        <w:rPr>
          <w:rFonts w:eastAsia="Times New Roman"/>
          <w:sz w:val="30"/>
          <w:szCs w:val="30"/>
          <w:lang w:val="es-ES"/>
        </w:rPr>
        <w:t>sición Reformatoria Décima Sexta, num. 1 del Código Orgánico Monetario y Financiero; R.O. 332-2S, 12-IX-2014).- Las empresas de seguros deberán sujetarse para la contratación de los reaseguros a principios de solvencia y prudencia financieras, así como tam</w:t>
      </w:r>
      <w:r>
        <w:rPr>
          <w:rFonts w:eastAsia="Times New Roman"/>
          <w:sz w:val="30"/>
          <w:szCs w:val="30"/>
          <w:lang w:val="es-ES"/>
        </w:rPr>
        <w:t>bién a principios de seguridad y oportunidad.</w:t>
      </w:r>
      <w:r>
        <w:rPr>
          <w:rFonts w:eastAsia="Times New Roman"/>
          <w:sz w:val="30"/>
          <w:szCs w:val="30"/>
          <w:lang w:val="es-ES"/>
        </w:rPr>
        <w:br/>
      </w:r>
      <w:r>
        <w:rPr>
          <w:rFonts w:eastAsia="Times New Roman"/>
          <w:sz w:val="30"/>
          <w:szCs w:val="30"/>
          <w:lang w:val="es-ES"/>
        </w:rPr>
        <w:br/>
        <w:t>Las empresas de seguros deberán contratar los reaseguros con empresas reaseguradoras en forma directa o a través de intermediarias de reaseguros autorizadas a operar en el país o registradas en la Superintende</w:t>
      </w:r>
      <w:r>
        <w:rPr>
          <w:rFonts w:eastAsia="Times New Roman"/>
          <w:sz w:val="30"/>
          <w:szCs w:val="30"/>
          <w:lang w:val="es-ES"/>
        </w:rPr>
        <w:t>ncia de Compañías, Valores y Seguros, según sea el caso.</w:t>
      </w:r>
      <w:r>
        <w:rPr>
          <w:rFonts w:eastAsia="Times New Roman"/>
          <w:sz w:val="30"/>
          <w:szCs w:val="30"/>
          <w:lang w:val="es-ES"/>
        </w:rPr>
        <w:br/>
      </w:r>
      <w:r>
        <w:rPr>
          <w:rFonts w:eastAsia="Times New Roman"/>
          <w:sz w:val="30"/>
          <w:szCs w:val="30"/>
          <w:lang w:val="es-ES"/>
        </w:rPr>
        <w:br/>
        <w:t>La Superintendencia de Compañías, Valores y Seguros expedirá las normas para el registro de las reaseguradoras e intermediarios de reaseguros no establecidos en el país.</w:t>
      </w:r>
    </w:p>
    <w:p w:rsidR="00000000" w:rsidRDefault="0018461E">
      <w:pPr>
        <w:divId w:val="2089812051"/>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la D</w:t>
      </w:r>
      <w:r>
        <w:rPr>
          <w:rFonts w:eastAsia="Times New Roman"/>
          <w:sz w:val="30"/>
          <w:szCs w:val="30"/>
          <w:lang w:val="es-ES"/>
        </w:rPr>
        <w:t>isposición Reformatoria Décima Sexta, num. 10 del Código Orgánico Monetario y Financiero; R.O. 332-2S, 12-IX-2014).- La Junta de Política y Regulación Monetaria y Financiera emitirá las regulaciones correspondientes para la contratación de reaseguros, debi</w:t>
      </w:r>
      <w:r>
        <w:rPr>
          <w:rFonts w:eastAsia="Times New Roman"/>
          <w:sz w:val="30"/>
          <w:szCs w:val="30"/>
          <w:lang w:val="es-ES"/>
        </w:rPr>
        <w:t>endo definir las condiciones y porcentajes máximos de cesión de seguros y reaseguros por ramo, en función a las características de los riegos cubiertos, el perfil de las carteras, la siniestralidad de la misma y otros factores técnicos necesario. Además, p</w:t>
      </w:r>
      <w:r>
        <w:rPr>
          <w:rFonts w:eastAsia="Times New Roman"/>
          <w:sz w:val="30"/>
          <w:szCs w:val="30"/>
          <w:lang w:val="es-ES"/>
        </w:rPr>
        <w:t>odrá definir los casos en que no sea necesaria la contratación de reaseguros.</w:t>
      </w:r>
    </w:p>
    <w:p w:rsidR="00000000" w:rsidRDefault="0018461E">
      <w:pPr>
        <w:jc w:val="center"/>
        <w:rPr>
          <w:rFonts w:eastAsia="Times New Roman"/>
          <w:sz w:val="36"/>
          <w:szCs w:val="36"/>
          <w:lang w:val="es-ES"/>
        </w:rPr>
      </w:pPr>
      <w:r>
        <w:rPr>
          <w:rFonts w:eastAsia="Times New Roman"/>
          <w:b/>
          <w:bCs/>
          <w:sz w:val="36"/>
          <w:szCs w:val="36"/>
          <w:lang w:val="es-ES"/>
        </w:rPr>
        <w:lastRenderedPageBreak/>
        <w:br/>
        <w:t>Capítulo V</w:t>
      </w:r>
      <w:r>
        <w:rPr>
          <w:rFonts w:eastAsia="Times New Roman"/>
          <w:b/>
          <w:bCs/>
          <w:sz w:val="36"/>
          <w:szCs w:val="36"/>
          <w:lang w:val="es-ES"/>
        </w:rPr>
        <w:br/>
        <w:t>DE LA VIGILANCIA, CONTROL E INFORMACIÓN DEL SISTEMA DE SEGURO PRIVADO</w:t>
      </w:r>
    </w:p>
    <w:p w:rsidR="00000000" w:rsidRDefault="0018461E">
      <w:pPr>
        <w:divId w:val="121656103"/>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(Reformado por la Disposición Reformatoria Décima Sexta, num. 1 del Código Orgánico Mo</w:t>
      </w:r>
      <w:r>
        <w:rPr>
          <w:rFonts w:eastAsia="Times New Roman"/>
          <w:sz w:val="30"/>
          <w:szCs w:val="30"/>
          <w:lang w:val="es-ES"/>
        </w:rPr>
        <w:t>netario y Financiero; R.O. 332-2S, 12-IX-2014).- El Superintendente de Compañías, Valores y Seguros, personalmente o por medio de delegados expresamente acreditados, visitará y auditará con la frecuencia que estime necesaria, a las entidades del sistema de</w:t>
      </w:r>
      <w:r>
        <w:rPr>
          <w:rFonts w:eastAsia="Times New Roman"/>
          <w:sz w:val="30"/>
          <w:szCs w:val="30"/>
          <w:lang w:val="es-ES"/>
        </w:rPr>
        <w:t xml:space="preserve"> seguro privado autorizadas para operar en el Ecuador.</w:t>
      </w:r>
      <w:r>
        <w:rPr>
          <w:rFonts w:eastAsia="Times New Roman"/>
          <w:sz w:val="30"/>
          <w:szCs w:val="30"/>
          <w:lang w:val="es-ES"/>
        </w:rPr>
        <w:br/>
      </w:r>
      <w:r>
        <w:rPr>
          <w:rFonts w:eastAsia="Times New Roman"/>
          <w:sz w:val="30"/>
          <w:szCs w:val="30"/>
          <w:lang w:val="es-ES"/>
        </w:rPr>
        <w:br/>
        <w:t>Para el ejercicio de sus obligaciones de supervisión y control, la Superintendencia de Compañías, Valores y Seguros tendrá las más amplias facultades, sin que las personas controladas, sean éstas natu</w:t>
      </w:r>
      <w:r>
        <w:rPr>
          <w:rFonts w:eastAsia="Times New Roman"/>
          <w:sz w:val="30"/>
          <w:szCs w:val="30"/>
          <w:lang w:val="es-ES"/>
        </w:rPr>
        <w:t>rales o jurídicas, puedan aducir reserva de naturaleza alguna en la entrega de información que les sea requerida.</w:t>
      </w:r>
    </w:p>
    <w:p w:rsidR="00000000" w:rsidRDefault="0018461E">
      <w:pPr>
        <w:divId w:val="656761976"/>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(Reformado por la Disposición Reformatoria Décima Sexta, num. 1 del Código Orgánico Monetario y Financiero; R.O. 332-2S, 12-IX-2014)</w:t>
      </w:r>
      <w:r>
        <w:rPr>
          <w:rFonts w:eastAsia="Times New Roman"/>
          <w:sz w:val="30"/>
          <w:szCs w:val="30"/>
          <w:lang w:val="es-ES"/>
        </w:rPr>
        <w:t>.- Las entidades del sistema de seguro privado llevarán su contabilidad y conservarán sus archivos, sujetándose a las disposiciones que imparta la Superintendencia de Compañías, Valores y Seguros a quien presentarán por lo menos mensualmente los estados fi</w:t>
      </w:r>
      <w:r>
        <w:rPr>
          <w:rFonts w:eastAsia="Times New Roman"/>
          <w:sz w:val="30"/>
          <w:szCs w:val="30"/>
          <w:lang w:val="es-ES"/>
        </w:rPr>
        <w:t>nancieros y sus anexos en la forma que ésta establezca.</w:t>
      </w:r>
      <w:r>
        <w:rPr>
          <w:rFonts w:eastAsia="Times New Roman"/>
          <w:sz w:val="30"/>
          <w:szCs w:val="30"/>
          <w:lang w:val="es-ES"/>
        </w:rPr>
        <w:br/>
      </w:r>
      <w:r>
        <w:rPr>
          <w:rFonts w:eastAsia="Times New Roman"/>
          <w:sz w:val="30"/>
          <w:szCs w:val="30"/>
          <w:lang w:val="es-ES"/>
        </w:rPr>
        <w:br/>
        <w:t>Las intermediarias de reaseguros, los peritos de seguros y los asesores productores de seguros, presentarán los estados financieros y sus anexos anualmente o en la forma que la Superintendencia de Co</w:t>
      </w:r>
      <w:r>
        <w:rPr>
          <w:rFonts w:eastAsia="Times New Roman"/>
          <w:sz w:val="30"/>
          <w:szCs w:val="30"/>
          <w:lang w:val="es-ES"/>
        </w:rPr>
        <w:t>mpañías, Valores y Seguros establezca.</w:t>
      </w:r>
      <w:r>
        <w:rPr>
          <w:rFonts w:eastAsia="Times New Roman"/>
          <w:sz w:val="30"/>
          <w:szCs w:val="30"/>
          <w:lang w:val="es-ES"/>
        </w:rPr>
        <w:br/>
      </w:r>
      <w:r>
        <w:rPr>
          <w:rFonts w:eastAsia="Times New Roman"/>
          <w:sz w:val="30"/>
          <w:szCs w:val="30"/>
          <w:lang w:val="es-ES"/>
        </w:rPr>
        <w:br/>
        <w:t xml:space="preserve">Las entidades del sistema de seguro privado conservarán los comprobantes contables y los documentos de respaldo respectivos, por un período no menor a seis años, contados a partir de la fecha de cierre del ejercicio </w:t>
      </w:r>
      <w:r>
        <w:rPr>
          <w:rFonts w:eastAsia="Times New Roman"/>
          <w:sz w:val="30"/>
          <w:szCs w:val="30"/>
          <w:lang w:val="es-ES"/>
        </w:rPr>
        <w:t>correspondiente.</w:t>
      </w:r>
      <w:r>
        <w:rPr>
          <w:rFonts w:eastAsia="Times New Roman"/>
          <w:sz w:val="30"/>
          <w:szCs w:val="30"/>
          <w:lang w:val="es-ES"/>
        </w:rPr>
        <w:br/>
      </w:r>
      <w:r>
        <w:rPr>
          <w:rFonts w:eastAsia="Times New Roman"/>
          <w:sz w:val="30"/>
          <w:szCs w:val="30"/>
          <w:lang w:val="es-ES"/>
        </w:rPr>
        <w:br/>
        <w:t xml:space="preserve">Las empresas de seguros están obligadas a conservar los duplicados de las pólizas expedidas y sus anexos, por lo menos hasta tres años después de la fecha de su vencimiento, excepto las pólizas de seguro </w:t>
      </w:r>
      <w:r>
        <w:rPr>
          <w:rFonts w:eastAsia="Times New Roman"/>
          <w:sz w:val="30"/>
          <w:szCs w:val="30"/>
          <w:lang w:val="es-ES"/>
        </w:rPr>
        <w:lastRenderedPageBreak/>
        <w:t>marítimo que se conservarán por lo</w:t>
      </w:r>
      <w:r>
        <w:rPr>
          <w:rFonts w:eastAsia="Times New Roman"/>
          <w:sz w:val="30"/>
          <w:szCs w:val="30"/>
          <w:lang w:val="es-ES"/>
        </w:rPr>
        <w:t xml:space="preserve"> menos seis años.</w:t>
      </w:r>
      <w:r>
        <w:rPr>
          <w:rFonts w:eastAsia="Times New Roman"/>
          <w:sz w:val="30"/>
          <w:szCs w:val="30"/>
          <w:lang w:val="es-ES"/>
        </w:rPr>
        <w:br/>
      </w:r>
      <w:r>
        <w:rPr>
          <w:rFonts w:eastAsia="Times New Roman"/>
          <w:sz w:val="30"/>
          <w:szCs w:val="30"/>
          <w:lang w:val="es-ES"/>
        </w:rPr>
        <w:br/>
        <w:t>Al efecto podrán utilizar el sistema de microfotografía u otro medio de conservación electrónica, previa autorización del Superintendente de Compañías, Valores y Seguros y con sujeción a las instrucciones que éste imparta, en cuyo caso p</w:t>
      </w:r>
      <w:r>
        <w:rPr>
          <w:rFonts w:eastAsia="Times New Roman"/>
          <w:sz w:val="30"/>
          <w:szCs w:val="30"/>
          <w:lang w:val="es-ES"/>
        </w:rPr>
        <w:t>odrán ser destruidos los originales.</w:t>
      </w:r>
      <w:r>
        <w:rPr>
          <w:rFonts w:eastAsia="Times New Roman"/>
          <w:sz w:val="30"/>
          <w:szCs w:val="30"/>
          <w:lang w:val="es-ES"/>
        </w:rPr>
        <w:br/>
      </w:r>
      <w:r>
        <w:rPr>
          <w:rFonts w:eastAsia="Times New Roman"/>
          <w:sz w:val="30"/>
          <w:szCs w:val="30"/>
          <w:lang w:val="es-ES"/>
        </w:rPr>
        <w:br/>
        <w:t>La reproducción o impresión de tales documentos o comprobantes, debidamente certificados por el funcionario autorizado de la entidad controlada, tendrá el mismo valor probatorio que los libros, registros y documentos o</w:t>
      </w:r>
      <w:r>
        <w:rPr>
          <w:rFonts w:eastAsia="Times New Roman"/>
          <w:sz w:val="30"/>
          <w:szCs w:val="30"/>
          <w:lang w:val="es-ES"/>
        </w:rPr>
        <w:t>riginales.</w:t>
      </w:r>
      <w:r>
        <w:rPr>
          <w:rFonts w:eastAsia="Times New Roman"/>
          <w:sz w:val="30"/>
          <w:szCs w:val="30"/>
          <w:lang w:val="es-ES"/>
        </w:rPr>
        <w:br/>
      </w:r>
      <w:r>
        <w:rPr>
          <w:rFonts w:eastAsia="Times New Roman"/>
          <w:sz w:val="30"/>
          <w:szCs w:val="30"/>
          <w:lang w:val="es-ES"/>
        </w:rPr>
        <w:br/>
        <w:t>Las alteraciones que se realicen en las reproducciones o impresiones serán reprimidas con arreglo a las disposiciones del Código Penal.</w:t>
      </w:r>
      <w:r>
        <w:rPr>
          <w:rFonts w:eastAsia="Times New Roman"/>
          <w:sz w:val="30"/>
          <w:szCs w:val="30"/>
          <w:lang w:val="es-ES"/>
        </w:rPr>
        <w:br/>
      </w:r>
      <w:r>
        <w:rPr>
          <w:rFonts w:eastAsia="Times New Roman"/>
          <w:sz w:val="30"/>
          <w:szCs w:val="30"/>
          <w:lang w:val="es-ES"/>
        </w:rPr>
        <w:br/>
        <w:t>Las copias de los documentos, certificados en la forma que determine el Superintendente de Compañías, Valor</w:t>
      </w:r>
      <w:r>
        <w:rPr>
          <w:rFonts w:eastAsia="Times New Roman"/>
          <w:sz w:val="30"/>
          <w:szCs w:val="30"/>
          <w:lang w:val="es-ES"/>
        </w:rPr>
        <w:t>es y Seguros, servirán como medio de prueba conforme al Código de Procedimiento Civil, y su falsificación o alteración acarreará responsabilidad penal.</w:t>
      </w:r>
      <w:r>
        <w:rPr>
          <w:rFonts w:eastAsia="Times New Roman"/>
          <w:sz w:val="30"/>
          <w:szCs w:val="30"/>
          <w:lang w:val="es-ES"/>
        </w:rPr>
        <w:br/>
      </w:r>
      <w:r>
        <w:rPr>
          <w:rFonts w:eastAsia="Times New Roman"/>
          <w:sz w:val="30"/>
          <w:szCs w:val="30"/>
          <w:lang w:val="es-ES"/>
        </w:rPr>
        <w:br/>
        <w:t>Las empresas de seguros deberán publicar dentro de los dos meses posteriores al cierre del ejercicio ec</w:t>
      </w:r>
      <w:r>
        <w:rPr>
          <w:rFonts w:eastAsia="Times New Roman"/>
          <w:sz w:val="30"/>
          <w:szCs w:val="30"/>
          <w:lang w:val="es-ES"/>
        </w:rPr>
        <w:t xml:space="preserve">onómico anual, en por lo menos uno de los principales periódicos de mayor circulación nacional, los estados financieros auditados y los principales índices financieros y técnicos correspondientes al año inmediatamente anterior, de acuerdo a las normas que </w:t>
      </w:r>
      <w:r>
        <w:rPr>
          <w:rFonts w:eastAsia="Times New Roman"/>
          <w:sz w:val="30"/>
          <w:szCs w:val="30"/>
          <w:lang w:val="es-ES"/>
        </w:rPr>
        <w:t>para el efecto dicte la Superintendencia de Compañías, Valores y Seguros.</w:t>
      </w:r>
    </w:p>
    <w:p w:rsidR="00000000" w:rsidRDefault="0018461E">
      <w:pPr>
        <w:divId w:val="1680497819"/>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(Reformado por la Disposición Reformatoria Décima Sexta, num. 1 del Código Orgánico Monetario y Financiero; R.O. 332-2S, 12-IX-2014).-Sin perjuicio del cumplimiento de otra</w:t>
      </w:r>
      <w:r>
        <w:rPr>
          <w:rFonts w:eastAsia="Times New Roman"/>
          <w:sz w:val="30"/>
          <w:szCs w:val="30"/>
          <w:lang w:val="es-ES"/>
        </w:rPr>
        <w:t>s obligaciones legales y estatutarias, el representante legal de la entidad controlada estará obligado a poner de inmediato en conocimiento del directorio o del organismo que haga sus veces toda comunicación de la Superintendencia de Compañías, Valores y S</w:t>
      </w:r>
      <w:r>
        <w:rPr>
          <w:rFonts w:eastAsia="Times New Roman"/>
          <w:sz w:val="30"/>
          <w:szCs w:val="30"/>
          <w:lang w:val="es-ES"/>
        </w:rPr>
        <w:t>eguros que contenga observaciones o recomendaciones respecto de la marcha de los negocios, dejando constancia de ello en el acta de la sesión que será firmada por todos los directores y administradores que hayan concurrido a la misma, en la que constará ad</w:t>
      </w:r>
      <w:r>
        <w:rPr>
          <w:rFonts w:eastAsia="Times New Roman"/>
          <w:sz w:val="30"/>
          <w:szCs w:val="30"/>
          <w:lang w:val="es-ES"/>
        </w:rPr>
        <w:t xml:space="preserve">emás la resolución adoptada por el directorio, copia de la cual se remitirá a la </w:t>
      </w:r>
      <w:r>
        <w:rPr>
          <w:rFonts w:eastAsia="Times New Roman"/>
          <w:sz w:val="30"/>
          <w:szCs w:val="30"/>
          <w:lang w:val="es-ES"/>
        </w:rPr>
        <w:lastRenderedPageBreak/>
        <w:t>Superintendencia de Compañías, Valores y Seguros dentro de los ocho días siguientes.</w:t>
      </w:r>
    </w:p>
    <w:p w:rsidR="00000000" w:rsidRDefault="0018461E">
      <w:pPr>
        <w:divId w:val="1415740031"/>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(Reformado por la Disposición Reformatoria Décima Sexta, num. 1 del Código Orgán</w:t>
      </w:r>
      <w:r>
        <w:rPr>
          <w:rFonts w:eastAsia="Times New Roman"/>
          <w:sz w:val="30"/>
          <w:szCs w:val="30"/>
          <w:lang w:val="es-ES"/>
        </w:rPr>
        <w:t>ico Monetario y Financiero; R.O. 332-2S, 12-IX-2014).- La Superintendencia de Compañías, Valores y Seguros editará por lo menos en forma trimestral boletines que contengan la situación financiera de las empresas de seguros correspondiente al trimestre ante</w:t>
      </w:r>
      <w:r>
        <w:rPr>
          <w:rFonts w:eastAsia="Times New Roman"/>
          <w:sz w:val="30"/>
          <w:szCs w:val="30"/>
          <w:lang w:val="es-ES"/>
        </w:rPr>
        <w:t>rior, para distribuirlos al público. Este boletín deberá contener, por lo menos, información sobre la estructura financiera, margen de solvencia e indicadores de rentabilidad y eficiencia.</w:t>
      </w:r>
      <w:r>
        <w:rPr>
          <w:rFonts w:eastAsia="Times New Roman"/>
          <w:sz w:val="30"/>
          <w:szCs w:val="30"/>
          <w:lang w:val="es-ES"/>
        </w:rPr>
        <w:br/>
      </w:r>
      <w:r>
        <w:rPr>
          <w:rFonts w:eastAsia="Times New Roman"/>
          <w:sz w:val="30"/>
          <w:szCs w:val="30"/>
          <w:lang w:val="es-ES"/>
        </w:rPr>
        <w:br/>
        <w:t>La Superintendencia de Compañías, Valores y Seguros mantendrá un c</w:t>
      </w:r>
      <w:r>
        <w:rPr>
          <w:rFonts w:eastAsia="Times New Roman"/>
          <w:sz w:val="30"/>
          <w:szCs w:val="30"/>
          <w:lang w:val="es-ES"/>
        </w:rPr>
        <w:t>entro de información cuyos datos serán ampliamente difundidos por los medios electrónicos u otros sistemas a disposición de los partícipes del mercado asegurador, y del público en general.</w:t>
      </w:r>
    </w:p>
    <w:p w:rsidR="00000000" w:rsidRDefault="0018461E">
      <w:pPr>
        <w:divId w:val="328950926"/>
        <w:rPr>
          <w:rFonts w:eastAsia="Times New Roman"/>
          <w:sz w:val="30"/>
          <w:szCs w:val="30"/>
          <w:lang w:val="es-ES"/>
        </w:rPr>
      </w:pPr>
      <w:r>
        <w:rPr>
          <w:rFonts w:eastAsia="Times New Roman"/>
          <w:sz w:val="30"/>
          <w:szCs w:val="30"/>
          <w:lang w:val="es-ES"/>
        </w:rPr>
        <w:t>Art... .- (Agregado por la Disposición Reformatoria Décima Sexta, n</w:t>
      </w:r>
      <w:r>
        <w:rPr>
          <w:rFonts w:eastAsia="Times New Roman"/>
          <w:sz w:val="30"/>
          <w:szCs w:val="30"/>
          <w:lang w:val="es-ES"/>
        </w:rPr>
        <w:t xml:space="preserve">um. 11 del Código Orgánico Monetario y Financiero; R.O. 332-2S, 12-IX-2014).- Las compañías de seguros, reaseguros, asesoras productoras de seguros, inspectoras de riesgos, ajustadoras de siniestros e intermediarias de reaseguros tendrán control interno a </w:t>
      </w:r>
      <w:r>
        <w:rPr>
          <w:rFonts w:eastAsia="Times New Roman"/>
          <w:sz w:val="30"/>
          <w:szCs w:val="30"/>
          <w:lang w:val="es-ES"/>
        </w:rPr>
        <w:t>cargo de un auditor calificado por la Superintendencia de Compañías, Valores y Seguros.</w:t>
      </w:r>
      <w:r>
        <w:rPr>
          <w:rFonts w:eastAsia="Times New Roman"/>
          <w:sz w:val="30"/>
          <w:szCs w:val="30"/>
          <w:lang w:val="es-ES"/>
        </w:rPr>
        <w:br/>
      </w:r>
      <w:r>
        <w:rPr>
          <w:rFonts w:eastAsia="Times New Roman"/>
          <w:sz w:val="30"/>
          <w:szCs w:val="30"/>
          <w:lang w:val="es-ES"/>
        </w:rPr>
        <w:br/>
        <w:t xml:space="preserve">El auditor interno presentará sus informes de control a la compañías y a la Superintendencia de Compañías, Valores y Seguros, de acuerdo con las normas de control que </w:t>
      </w:r>
      <w:r>
        <w:rPr>
          <w:rFonts w:eastAsia="Times New Roman"/>
          <w:sz w:val="30"/>
          <w:szCs w:val="30"/>
          <w:lang w:val="es-ES"/>
        </w:rPr>
        <w:t>emita dicho organismo.</w:t>
      </w:r>
      <w:r>
        <w:rPr>
          <w:rFonts w:eastAsia="Times New Roman"/>
          <w:sz w:val="30"/>
          <w:szCs w:val="30"/>
          <w:lang w:val="es-ES"/>
        </w:rPr>
        <w:br/>
      </w:r>
      <w:r>
        <w:rPr>
          <w:rFonts w:eastAsia="Times New Roman"/>
          <w:sz w:val="30"/>
          <w:szCs w:val="30"/>
          <w:lang w:val="es-ES"/>
        </w:rPr>
        <w:br/>
        <w:t>Las personas naturales que presten sus servicios como asesores productores de seguros, inspectoras de riesgo, ajustadoras de siniestros e intermediarias de seguros deberá ejercer su actividad bajo criterios de seriedad, veracidad, e</w:t>
      </w:r>
      <w:r>
        <w:rPr>
          <w:rFonts w:eastAsia="Times New Roman"/>
          <w:sz w:val="30"/>
          <w:szCs w:val="30"/>
          <w:lang w:val="es-ES"/>
        </w:rPr>
        <w:t>ficiencia y efectividad.</w:t>
      </w:r>
    </w:p>
    <w:p w:rsidR="00000000" w:rsidRDefault="0018461E">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AUDITORES EXTERNOS</w:t>
      </w:r>
    </w:p>
    <w:p w:rsidR="00000000" w:rsidRDefault="0018461E">
      <w:pPr>
        <w:divId w:val="903223853"/>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(Reformado por la Disposición Reformatoria Décima Sexta, num. 1; y, reformado por la Disposición Reformatoria Décima Sexta, num. 12 del Código Orgánico Monetario y Financiero; R.O. 3</w:t>
      </w:r>
      <w:r>
        <w:rPr>
          <w:rFonts w:eastAsia="Times New Roman"/>
          <w:sz w:val="30"/>
          <w:szCs w:val="30"/>
          <w:lang w:val="es-ES"/>
        </w:rPr>
        <w:t xml:space="preserve">32-2S, 12-IX-2014).- Las compañías de seguros, reaseguros están obligadas a contratar auditores externos así como firmas calificadoras de riesgo </w:t>
      </w:r>
      <w:r>
        <w:rPr>
          <w:rFonts w:eastAsia="Times New Roman"/>
          <w:sz w:val="30"/>
          <w:szCs w:val="30"/>
          <w:lang w:val="es-ES"/>
        </w:rPr>
        <w:lastRenderedPageBreak/>
        <w:t>que deberán ser personas jurídicas las cuales se sujetarán a las normas de calificación y emisión de informes q</w:t>
      </w:r>
      <w:r>
        <w:rPr>
          <w:rFonts w:eastAsia="Times New Roman"/>
          <w:sz w:val="30"/>
          <w:szCs w:val="30"/>
          <w:lang w:val="es-ES"/>
        </w:rPr>
        <w:t>ue expida la Superintendencia de Compañías, Valores y Seguros.</w:t>
      </w:r>
      <w:r>
        <w:rPr>
          <w:rFonts w:eastAsia="Times New Roman"/>
          <w:sz w:val="30"/>
          <w:szCs w:val="30"/>
          <w:lang w:val="es-ES"/>
        </w:rPr>
        <w:br/>
      </w:r>
      <w:r>
        <w:rPr>
          <w:rFonts w:eastAsia="Times New Roman"/>
          <w:sz w:val="30"/>
          <w:szCs w:val="30"/>
          <w:lang w:val="es-ES"/>
        </w:rPr>
        <w:br/>
        <w:t>La auditoría externa para las demás personas naturales o jurídicas que integran el sistema de seguro privado deberá observar las normas que expida la Superintendencia de Compañías, Valores y S</w:t>
      </w:r>
      <w:r>
        <w:rPr>
          <w:rFonts w:eastAsia="Times New Roman"/>
          <w:sz w:val="30"/>
          <w:szCs w:val="30"/>
          <w:lang w:val="es-ES"/>
        </w:rPr>
        <w:t>eguros.</w:t>
      </w:r>
      <w:r>
        <w:rPr>
          <w:rFonts w:eastAsia="Times New Roman"/>
          <w:sz w:val="30"/>
          <w:szCs w:val="30"/>
          <w:lang w:val="es-ES"/>
        </w:rPr>
        <w:br/>
      </w:r>
      <w:r>
        <w:rPr>
          <w:rFonts w:eastAsia="Times New Roman"/>
          <w:sz w:val="30"/>
          <w:szCs w:val="30"/>
          <w:lang w:val="es-ES"/>
        </w:rPr>
        <w:br/>
        <w:t>La Superintendencia de Compañías , Valores y Seguros, respecto de las auditorías que se realicen, tendrá plenas facultades fiscalizadoras y exigirá requisitos mínimos que deban cumplir las señaladas auditorías.</w:t>
      </w:r>
    </w:p>
    <w:p w:rsidR="00000000" w:rsidRDefault="0018461E">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LAS LIMITACIONES, P</w:t>
      </w:r>
      <w:r>
        <w:rPr>
          <w:rFonts w:eastAsia="Times New Roman"/>
          <w:b/>
          <w:bCs/>
          <w:sz w:val="36"/>
          <w:szCs w:val="36"/>
          <w:lang w:val="es-ES"/>
        </w:rPr>
        <w:t>ROHIBICIONES Y SANCIONES</w:t>
      </w:r>
    </w:p>
    <w:p w:rsidR="00000000" w:rsidRDefault="0018461E">
      <w:pPr>
        <w:divId w:val="1310019476"/>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(Reformado por la Disposición Reformatoria Décima Sexta, num. 1 del Código Orgánico Monetario y Financiero; R.O. 332-2S, 12-IX-2014).- Las personas naturales o jurídicas que no cumplan las disposiciones de esta Ley o no f</w:t>
      </w:r>
      <w:r>
        <w:rPr>
          <w:rFonts w:eastAsia="Times New Roman"/>
          <w:sz w:val="30"/>
          <w:szCs w:val="30"/>
          <w:lang w:val="es-ES"/>
        </w:rPr>
        <w:t>ormen parte del sistema de seguro privado, no podrán realizar las operaciones determinadas en esta Ley, ni usar en anuncios, membretes de cartas, circulares o prospectos, un nombre, razón social o expresión que indique o sugiera que corresponda a una entid</w:t>
      </w:r>
      <w:r>
        <w:rPr>
          <w:rFonts w:eastAsia="Times New Roman"/>
          <w:sz w:val="30"/>
          <w:szCs w:val="30"/>
          <w:lang w:val="es-ES"/>
        </w:rPr>
        <w:t>ad del sistema de seguro privado ni utilizar en el lugar en que despachan sus negocios indicación o letrero del que puede inferirse que tal lugar es la oficina de una entidad del sistema de seguro privado.</w:t>
      </w:r>
      <w:r>
        <w:rPr>
          <w:rFonts w:eastAsia="Times New Roman"/>
          <w:sz w:val="30"/>
          <w:szCs w:val="30"/>
          <w:lang w:val="es-ES"/>
        </w:rPr>
        <w:br/>
      </w:r>
      <w:r>
        <w:rPr>
          <w:rFonts w:eastAsia="Times New Roman"/>
          <w:sz w:val="30"/>
          <w:szCs w:val="30"/>
          <w:lang w:val="es-ES"/>
        </w:rPr>
        <w:br/>
        <w:t>La violación a las disposiciones de este artículo</w:t>
      </w:r>
      <w:r>
        <w:rPr>
          <w:rFonts w:eastAsia="Times New Roman"/>
          <w:sz w:val="30"/>
          <w:szCs w:val="30"/>
          <w:lang w:val="es-ES"/>
        </w:rPr>
        <w:t xml:space="preserve"> acarreará la suspensión inmediata de las operaciones, que será dispuesta por la Superintendencia de Compañías, Valores y Seguros; quien deberá denunciar este hecho en conocimiento (sic) del fiscal o la policía judicial y además si el infractor es una pers</w:t>
      </w:r>
      <w:r>
        <w:rPr>
          <w:rFonts w:eastAsia="Times New Roman"/>
          <w:sz w:val="30"/>
          <w:szCs w:val="30"/>
          <w:lang w:val="es-ES"/>
        </w:rPr>
        <w:t>ona jurídica a la Superintendencia de Compañías para las sanciones de ley.</w:t>
      </w:r>
    </w:p>
    <w:p w:rsidR="00000000" w:rsidRDefault="0018461E">
      <w:pPr>
        <w:divId w:val="1864325567"/>
        <w:rPr>
          <w:rFonts w:eastAsia="Times New Roman"/>
          <w:sz w:val="30"/>
          <w:szCs w:val="30"/>
          <w:lang w:val="es-ES"/>
        </w:rPr>
      </w:pPr>
      <w:r>
        <w:rPr>
          <w:rFonts w:eastAsia="Times New Roman"/>
          <w:sz w:val="30"/>
          <w:szCs w:val="30"/>
          <w:lang w:val="es-ES"/>
        </w:rPr>
        <w:t>Art.....- (Agregado por la Disposición Reformatoria Décima Sexta, num. 13 del Código Orgánico Monetario y Financiero; R.O. 332-2S, 12-IX-2014).- Las compañías de seguros y reaseguro</w:t>
      </w:r>
      <w:r>
        <w:rPr>
          <w:rFonts w:eastAsia="Times New Roman"/>
          <w:sz w:val="30"/>
          <w:szCs w:val="30"/>
          <w:lang w:val="es-ES"/>
        </w:rPr>
        <w:t xml:space="preserve">s deberán contar con servicios actuariales, que podrán ser proporcionados por personas naturales o jurídicas, calificadas por la Superintendencia de Compañías, Valores y Seguros, con el fin de generar las notas técnicas </w:t>
      </w:r>
      <w:r>
        <w:rPr>
          <w:rFonts w:eastAsia="Times New Roman"/>
          <w:sz w:val="30"/>
          <w:szCs w:val="30"/>
          <w:lang w:val="es-ES"/>
        </w:rPr>
        <w:lastRenderedPageBreak/>
        <w:t xml:space="preserve">de los productos ofertados y opinar </w:t>
      </w:r>
      <w:r>
        <w:rPr>
          <w:rFonts w:eastAsia="Times New Roman"/>
          <w:sz w:val="30"/>
          <w:szCs w:val="30"/>
          <w:lang w:val="es-ES"/>
        </w:rPr>
        <w:t>sobre la adecuación y suficiencia de los montos contenidos en los reportes financieros, o sobre la metodología, o sobre las hipótesis asumidas para estos.</w:t>
      </w:r>
      <w:r>
        <w:rPr>
          <w:rFonts w:eastAsia="Times New Roman"/>
          <w:sz w:val="30"/>
          <w:szCs w:val="30"/>
          <w:lang w:val="es-ES"/>
        </w:rPr>
        <w:br/>
      </w:r>
      <w:r>
        <w:rPr>
          <w:rFonts w:eastAsia="Times New Roman"/>
          <w:sz w:val="30"/>
          <w:szCs w:val="30"/>
          <w:lang w:val="es-ES"/>
        </w:rPr>
        <w:br/>
        <w:t>La Superintendencia de Compañías, Valores y Seguros, respecto de los estudios actuariales que se rea</w:t>
      </w:r>
      <w:r>
        <w:rPr>
          <w:rFonts w:eastAsia="Times New Roman"/>
          <w:sz w:val="30"/>
          <w:szCs w:val="30"/>
          <w:lang w:val="es-ES"/>
        </w:rPr>
        <w:t>licen tendrá plenas facultades verificadoras y exigirá los requisitos mínimos que los informes técnicos deban cumplir.</w:t>
      </w:r>
    </w:p>
    <w:p w:rsidR="00000000" w:rsidRDefault="0018461E">
      <w:pPr>
        <w:divId w:val="293602287"/>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Las empresas de seguros no podrán ejercer otras actividades que no sean las relacionadas con su objeto social, salvo en los sig</w:t>
      </w:r>
      <w:r>
        <w:rPr>
          <w:rFonts w:eastAsia="Times New Roman"/>
          <w:sz w:val="30"/>
          <w:szCs w:val="30"/>
          <w:lang w:val="es-ES"/>
        </w:rPr>
        <w:t>uientes casos:</w:t>
      </w:r>
      <w:r>
        <w:rPr>
          <w:rFonts w:eastAsia="Times New Roman"/>
          <w:sz w:val="30"/>
          <w:szCs w:val="30"/>
          <w:lang w:val="es-ES"/>
        </w:rPr>
        <w:br/>
      </w:r>
      <w:r>
        <w:rPr>
          <w:rFonts w:eastAsia="Times New Roman"/>
          <w:sz w:val="30"/>
          <w:szCs w:val="30"/>
          <w:lang w:val="es-ES"/>
        </w:rPr>
        <w:br/>
        <w:t>1) Cuando tengan que realizar mercaderías, productos, y otros bienes provenientes de recuperación de siniestros;</w:t>
      </w:r>
      <w:r>
        <w:rPr>
          <w:rFonts w:eastAsia="Times New Roman"/>
          <w:sz w:val="30"/>
          <w:szCs w:val="30"/>
          <w:lang w:val="es-ES"/>
        </w:rPr>
        <w:br/>
      </w:r>
      <w:r>
        <w:rPr>
          <w:rFonts w:eastAsia="Times New Roman"/>
          <w:sz w:val="30"/>
          <w:szCs w:val="30"/>
          <w:lang w:val="es-ES"/>
        </w:rPr>
        <w:br/>
        <w:t>2) Cuando adquieran bienes que le sean traspasados, directamente o mediante remate, o en dación en pago por deudas que proveng</w:t>
      </w:r>
      <w:r>
        <w:rPr>
          <w:rFonts w:eastAsia="Times New Roman"/>
          <w:sz w:val="30"/>
          <w:szCs w:val="30"/>
          <w:lang w:val="es-ES"/>
        </w:rPr>
        <w:t>an del giro propio de sus negocios.</w:t>
      </w:r>
    </w:p>
    <w:p w:rsidR="00000000" w:rsidRDefault="0018461E">
      <w:pPr>
        <w:divId w:val="1832216222"/>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Ninguna entidad integrante del sistema de seguros privados, persona jurídica, acreditará, pagará dividendo alguno a sus accionistas o enviará remesas al exterior mientras existan pérdidas acumuladas de ejercici</w:t>
      </w:r>
      <w:r>
        <w:rPr>
          <w:rFonts w:eastAsia="Times New Roman"/>
          <w:sz w:val="30"/>
          <w:szCs w:val="30"/>
          <w:lang w:val="es-ES"/>
        </w:rPr>
        <w:t>os anteriores o cuando existan insuficiencia de reservas, inversiones o del margen de solvencia.</w:t>
      </w:r>
    </w:p>
    <w:p w:rsidR="00000000" w:rsidRDefault="0018461E">
      <w:pPr>
        <w:divId w:val="1624312707"/>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(Reformado por la Disposición Reformatoria Décima Sexta, num. 1 del Código Orgánico Monetario y Financiero; R.O. 332-2S, 12-IX-2014).- Se prohíbe a l</w:t>
      </w:r>
      <w:r>
        <w:rPr>
          <w:rFonts w:eastAsia="Times New Roman"/>
          <w:sz w:val="30"/>
          <w:szCs w:val="30"/>
          <w:lang w:val="es-ES"/>
        </w:rPr>
        <w:t>as entidades de seguros ofrecer al público, directamente o por medio de asesores productores de seguros, coberturas que no puedan incluirse en los respectivos contratos de seguros, conceder comisiones a los asegurados; y, en general, todo acto de competenc</w:t>
      </w:r>
      <w:r>
        <w:rPr>
          <w:rFonts w:eastAsia="Times New Roman"/>
          <w:sz w:val="30"/>
          <w:szCs w:val="30"/>
          <w:lang w:val="es-ES"/>
        </w:rPr>
        <w:t>ia desleal.</w:t>
      </w:r>
      <w:r>
        <w:rPr>
          <w:rFonts w:eastAsia="Times New Roman"/>
          <w:sz w:val="30"/>
          <w:szCs w:val="30"/>
          <w:lang w:val="es-ES"/>
        </w:rPr>
        <w:br/>
      </w:r>
      <w:r>
        <w:rPr>
          <w:rFonts w:eastAsia="Times New Roman"/>
          <w:sz w:val="30"/>
          <w:szCs w:val="30"/>
          <w:lang w:val="es-ES"/>
        </w:rPr>
        <w:br/>
        <w:t>La colocación de un seguro por parte de los asesores productores de seguros, bajo un plan distinto a lo ofrecido, con engaño para el asegurado; la cesión de corretajes a favor del asegurado, el ofrecimiento de beneficios que la póliza no garan</w:t>
      </w:r>
      <w:r>
        <w:rPr>
          <w:rFonts w:eastAsia="Times New Roman"/>
          <w:sz w:val="30"/>
          <w:szCs w:val="30"/>
          <w:lang w:val="es-ES"/>
        </w:rPr>
        <w:t>tiza o la exageración de éstos; el hacerse pasar por asesores productores de seguros o por intermediarios de reaseguros o como representante de una entidad de seguros sin serlo; el agenciamiento de pólizas de entidades de seguros no establecidas en el país</w:t>
      </w:r>
      <w:r>
        <w:rPr>
          <w:rFonts w:eastAsia="Times New Roman"/>
          <w:sz w:val="30"/>
          <w:szCs w:val="30"/>
          <w:lang w:val="es-ES"/>
        </w:rPr>
        <w:t xml:space="preserve">; y, en general, todo acto de fraude, dará lugar para que el Superintendente de Compañías, Valores y Seguros </w:t>
      </w:r>
      <w:r>
        <w:rPr>
          <w:rFonts w:eastAsia="Times New Roman"/>
          <w:sz w:val="30"/>
          <w:szCs w:val="30"/>
          <w:lang w:val="es-ES"/>
        </w:rPr>
        <w:lastRenderedPageBreak/>
        <w:t>cancele la respectiva credencial, sin perjuicio de las acciones legales a que hubiere lugar.</w:t>
      </w:r>
      <w:r>
        <w:rPr>
          <w:rFonts w:eastAsia="Times New Roman"/>
          <w:sz w:val="30"/>
          <w:szCs w:val="30"/>
          <w:lang w:val="es-ES"/>
        </w:rPr>
        <w:br/>
      </w:r>
      <w:r>
        <w:rPr>
          <w:rFonts w:eastAsia="Times New Roman"/>
          <w:sz w:val="30"/>
          <w:szCs w:val="30"/>
          <w:lang w:val="es-ES"/>
        </w:rPr>
        <w:br/>
        <w:t>Cuando el infractor sea extranjero, la Superintendenc</w:t>
      </w:r>
      <w:r>
        <w:rPr>
          <w:rFonts w:eastAsia="Times New Roman"/>
          <w:sz w:val="30"/>
          <w:szCs w:val="30"/>
          <w:lang w:val="es-ES"/>
        </w:rPr>
        <w:t>ia de Compañías, Valores y Seguros comunicará el particular a las autoridades competentes para efecto de la aplicación de las sanciones que sean del caso, sin perjuicio de lo establecido en esta Ley.</w:t>
      </w:r>
      <w:r>
        <w:rPr>
          <w:rFonts w:eastAsia="Times New Roman"/>
          <w:sz w:val="30"/>
          <w:szCs w:val="30"/>
          <w:lang w:val="es-ES"/>
        </w:rPr>
        <w:br/>
      </w:r>
      <w:r>
        <w:rPr>
          <w:rFonts w:eastAsia="Times New Roman"/>
          <w:sz w:val="30"/>
          <w:szCs w:val="30"/>
          <w:lang w:val="es-ES"/>
        </w:rPr>
        <w:br/>
        <w:t>Los asesores productores de seguros están prohibidos de</w:t>
      </w:r>
      <w:r>
        <w:rPr>
          <w:rFonts w:eastAsia="Times New Roman"/>
          <w:sz w:val="30"/>
          <w:szCs w:val="30"/>
          <w:lang w:val="es-ES"/>
        </w:rPr>
        <w:t xml:space="preserve"> suscribir cobertura de riesgos a nombre propio o en representación de una entidad de seguros. Las intermediarias de reaseguros también están sujetas a esta prohibición salvo que cuenten con poder expreso otorgado por el reasegurador.</w:t>
      </w:r>
    </w:p>
    <w:p w:rsidR="00000000" w:rsidRDefault="0018461E">
      <w:pPr>
        <w:divId w:val="1005592218"/>
        <w:rPr>
          <w:rFonts w:eastAsia="Times New Roman"/>
          <w:sz w:val="30"/>
          <w:szCs w:val="30"/>
          <w:lang w:val="es-ES"/>
        </w:rPr>
      </w:pPr>
      <w:r>
        <w:rPr>
          <w:rFonts w:eastAsia="Times New Roman"/>
          <w:b/>
          <w:bCs/>
          <w:sz w:val="30"/>
          <w:szCs w:val="30"/>
          <w:lang w:val="es-ES"/>
        </w:rPr>
        <w:t xml:space="preserve">Art. 37.- </w:t>
      </w:r>
      <w:r>
        <w:rPr>
          <w:rFonts w:eastAsia="Times New Roman"/>
          <w:sz w:val="30"/>
          <w:szCs w:val="30"/>
          <w:lang w:val="es-ES"/>
        </w:rPr>
        <w:t xml:space="preserve">(Reformado </w:t>
      </w:r>
      <w:r>
        <w:rPr>
          <w:rFonts w:eastAsia="Times New Roman"/>
          <w:sz w:val="30"/>
          <w:szCs w:val="30"/>
          <w:lang w:val="es-ES"/>
        </w:rPr>
        <w:t>por la Disposición Reformatoria Décima Sexta, num. 1 del Código Orgánico Monetario y Financiero; R.O. 332-2S, 12-IX-2014).-Los directores, funcionarios o empleados de una entidad del sistema de seguro privado o la persona que actuare a nombre y en represen</w:t>
      </w:r>
      <w:r>
        <w:rPr>
          <w:rFonts w:eastAsia="Times New Roman"/>
          <w:sz w:val="30"/>
          <w:szCs w:val="30"/>
          <w:lang w:val="es-ES"/>
        </w:rPr>
        <w:t>tación de ellos, no podrán para sí mismos adquirir, arrendar, ni vender por su propia cuenta o en representación de un tercero, directa o indirectamente, cualquier bien de propiedad de la entidad, o los que estuvieren hipotecados o prendados a ella.</w:t>
      </w:r>
      <w:r>
        <w:rPr>
          <w:rFonts w:eastAsia="Times New Roman"/>
          <w:sz w:val="30"/>
          <w:szCs w:val="30"/>
          <w:lang w:val="es-ES"/>
        </w:rPr>
        <w:br/>
      </w:r>
      <w:r>
        <w:rPr>
          <w:rFonts w:eastAsia="Times New Roman"/>
          <w:sz w:val="30"/>
          <w:szCs w:val="30"/>
          <w:lang w:val="es-ES"/>
        </w:rPr>
        <w:br/>
        <w:t>Cuand</w:t>
      </w:r>
      <w:r>
        <w:rPr>
          <w:rFonts w:eastAsia="Times New Roman"/>
          <w:sz w:val="30"/>
          <w:szCs w:val="30"/>
          <w:lang w:val="es-ES"/>
        </w:rPr>
        <w:t>o en una entidad controlada, sus directores, administradores o funcionarios violaren las leyes o reglamentos que rijan su funcionamiento, o en los casos que infringieren disposiciones estatutarias o normas e instrucciones impartidas por la Superintendencia</w:t>
      </w:r>
      <w:r>
        <w:rPr>
          <w:rFonts w:eastAsia="Times New Roman"/>
          <w:sz w:val="30"/>
          <w:szCs w:val="30"/>
          <w:lang w:val="es-ES"/>
        </w:rPr>
        <w:t xml:space="preserve"> de Compañías, Valores y Seguros y Seguros, y en especial cuando incumplieren las disposiciones de esta Ley; cuando rehusaren recibir la visita de los auditores o funcionarios debidamente acreditados de la Superintendencia de Compañías, Valores y Seguros o</w:t>
      </w:r>
      <w:r>
        <w:rPr>
          <w:rFonts w:eastAsia="Times New Roman"/>
          <w:sz w:val="30"/>
          <w:szCs w:val="30"/>
          <w:lang w:val="es-ES"/>
        </w:rPr>
        <w:t xml:space="preserve"> se negaren a suministrar los documentos o datos que sean necesarios para la práctica de la auditoría; cuando no presentaren oportunamente los balances, cuentas y demás documentos relacionados a sus negocios, o no presentaren los informes especiales que le</w:t>
      </w:r>
      <w:r>
        <w:rPr>
          <w:rFonts w:eastAsia="Times New Roman"/>
          <w:sz w:val="30"/>
          <w:szCs w:val="30"/>
          <w:lang w:val="es-ES"/>
        </w:rPr>
        <w:t>s sean solicitados; cuando acusaren deficiencias de reservas, inversiones y del margen de solvencia; si no pagaren la contribución para el sostenimiento de la Superintendencia de Compañías, Valores y Seguros dentro del plazo que se hubiere fijado, cuando e</w:t>
      </w:r>
      <w:r>
        <w:rPr>
          <w:rFonts w:eastAsia="Times New Roman"/>
          <w:sz w:val="30"/>
          <w:szCs w:val="30"/>
          <w:lang w:val="es-ES"/>
        </w:rPr>
        <w:t xml:space="preserve">fectuaren inversiones sin sujetarse a las normas legales; la Superintendencia de Compañías, Valores y Seguros, dependiendo de la gravedad de la </w:t>
      </w:r>
      <w:r>
        <w:rPr>
          <w:rFonts w:eastAsia="Times New Roman"/>
          <w:sz w:val="30"/>
          <w:szCs w:val="30"/>
          <w:lang w:val="es-ES"/>
        </w:rPr>
        <w:lastRenderedPageBreak/>
        <w:t>infracción, impondrá una de las siguientes sanciones:</w:t>
      </w:r>
      <w:r>
        <w:rPr>
          <w:rFonts w:eastAsia="Times New Roman"/>
          <w:sz w:val="30"/>
          <w:szCs w:val="30"/>
          <w:lang w:val="es-ES"/>
        </w:rPr>
        <w:br/>
      </w:r>
      <w:r>
        <w:rPr>
          <w:rFonts w:eastAsia="Times New Roman"/>
          <w:sz w:val="30"/>
          <w:szCs w:val="30"/>
          <w:lang w:val="es-ES"/>
        </w:rPr>
        <w:br/>
        <w:t>a) A la entidad controlada:</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Multa.</w:t>
      </w:r>
      <w:r>
        <w:rPr>
          <w:rFonts w:eastAsia="Times New Roman"/>
          <w:sz w:val="30"/>
          <w:szCs w:val="30"/>
          <w:lang w:val="es-ES"/>
        </w:rPr>
        <w:br/>
      </w:r>
      <w:r>
        <w:rPr>
          <w:rFonts w:eastAsia="Times New Roman"/>
          <w:sz w:val="30"/>
          <w:szCs w:val="30"/>
          <w:lang w:val="es-ES"/>
        </w:rPr>
        <w:br/>
        <w:t>3) Suspensión de los certificados de autorización o retiro de credenciales, según el caso; y,</w:t>
      </w:r>
      <w:r>
        <w:rPr>
          <w:rFonts w:eastAsia="Times New Roman"/>
          <w:sz w:val="30"/>
          <w:szCs w:val="30"/>
          <w:lang w:val="es-ES"/>
        </w:rPr>
        <w:br/>
      </w:r>
      <w:r>
        <w:rPr>
          <w:rFonts w:eastAsia="Times New Roman"/>
          <w:sz w:val="30"/>
          <w:szCs w:val="30"/>
          <w:lang w:val="es-ES"/>
        </w:rPr>
        <w:br/>
        <w:t>b) A los directores y administradores de la entidad del sistema de seguro privado:</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Multa.</w:t>
      </w:r>
      <w:r>
        <w:rPr>
          <w:rFonts w:eastAsia="Times New Roman"/>
          <w:sz w:val="30"/>
          <w:szCs w:val="30"/>
          <w:lang w:val="es-ES"/>
        </w:rPr>
        <w:br/>
      </w:r>
      <w:r>
        <w:rPr>
          <w:rFonts w:eastAsia="Times New Roman"/>
          <w:sz w:val="30"/>
          <w:szCs w:val="30"/>
          <w:lang w:val="es-ES"/>
        </w:rPr>
        <w:br/>
        <w:t>3) Remoción.</w:t>
      </w:r>
      <w:r>
        <w:rPr>
          <w:rFonts w:eastAsia="Times New Roman"/>
          <w:sz w:val="30"/>
          <w:szCs w:val="30"/>
          <w:lang w:val="es-ES"/>
        </w:rPr>
        <w:br/>
      </w:r>
      <w:r>
        <w:rPr>
          <w:rFonts w:eastAsia="Times New Roman"/>
          <w:sz w:val="30"/>
          <w:szCs w:val="30"/>
          <w:lang w:val="es-ES"/>
        </w:rPr>
        <w:br/>
        <w:t>En cualquier caso y sin perjuicio</w:t>
      </w:r>
      <w:r>
        <w:rPr>
          <w:rFonts w:eastAsia="Times New Roman"/>
          <w:sz w:val="30"/>
          <w:szCs w:val="30"/>
          <w:lang w:val="es-ES"/>
        </w:rPr>
        <w:t xml:space="preserve"> de lo establecido en este artículo, el Superintendente de Compañías, Valores y Seguros adoptará las medidas tendientes a restablecer el acatamiento de la norma violada. Las multas impuestas a los directores y administradores, serán pagadas con sus propios</w:t>
      </w:r>
      <w:r>
        <w:rPr>
          <w:rFonts w:eastAsia="Times New Roman"/>
          <w:sz w:val="30"/>
          <w:szCs w:val="30"/>
          <w:lang w:val="es-ES"/>
        </w:rPr>
        <w:t xml:space="preserve"> recursos.</w:t>
      </w:r>
      <w:r>
        <w:rPr>
          <w:rFonts w:eastAsia="Times New Roman"/>
          <w:sz w:val="30"/>
          <w:szCs w:val="30"/>
          <w:lang w:val="es-ES"/>
        </w:rPr>
        <w:br/>
      </w:r>
      <w:r>
        <w:rPr>
          <w:rFonts w:eastAsia="Times New Roman"/>
          <w:sz w:val="30"/>
          <w:szCs w:val="30"/>
          <w:lang w:val="es-ES"/>
        </w:rPr>
        <w:br/>
        <w:t>Si un director, administrador, funcionario o empleado o al igual que el auditor externo de una entidad controlada, fuere designado o ejerciere sus funciones, en contravención de lo dispuesto en el artículo 17 de esta Ley, será removido de sus f</w:t>
      </w:r>
      <w:r>
        <w:rPr>
          <w:rFonts w:eastAsia="Times New Roman"/>
          <w:sz w:val="30"/>
          <w:szCs w:val="30"/>
          <w:lang w:val="es-ES"/>
        </w:rPr>
        <w:t>unciones mediante resolución dictada por el Superintendente de Compañías, Valores y Seguros, si antes no lo hubiere hecho el órgano nominador, o si no hubiere renunciado.</w:t>
      </w:r>
    </w:p>
    <w:p w:rsidR="00000000" w:rsidRDefault="0018461E">
      <w:pPr>
        <w:divId w:val="266086646"/>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(Reformado por la Disposición Reformatoria Décima Sexta, num. 1 del Código </w:t>
      </w:r>
      <w:r>
        <w:rPr>
          <w:rFonts w:eastAsia="Times New Roman"/>
          <w:sz w:val="30"/>
          <w:szCs w:val="30"/>
          <w:lang w:val="es-ES"/>
        </w:rPr>
        <w:t>Orgánico Monetario y Financiero; R.O. 332-2S, 12-IX-2014).- Cualquier director, administrador o funcionario de una entidad controlada o la persona que actúe en nombre y representación de aquellos, será personalmente responsable por las siguientes infraccio</w:t>
      </w:r>
      <w:r>
        <w:rPr>
          <w:rFonts w:eastAsia="Times New Roman"/>
          <w:sz w:val="30"/>
          <w:szCs w:val="30"/>
          <w:lang w:val="es-ES"/>
        </w:rPr>
        <w:t>nes:</w:t>
      </w:r>
      <w:r>
        <w:rPr>
          <w:rFonts w:eastAsia="Times New Roman"/>
          <w:sz w:val="30"/>
          <w:szCs w:val="30"/>
          <w:lang w:val="es-ES"/>
        </w:rPr>
        <w:br/>
      </w:r>
      <w:r>
        <w:rPr>
          <w:rFonts w:eastAsia="Times New Roman"/>
          <w:sz w:val="30"/>
          <w:szCs w:val="30"/>
          <w:lang w:val="es-ES"/>
        </w:rPr>
        <w:br/>
        <w:t xml:space="preserve">1. De la declaración falsa, hecha a sabiendas, respecto de las </w:t>
      </w:r>
      <w:r>
        <w:rPr>
          <w:rFonts w:eastAsia="Times New Roman"/>
          <w:sz w:val="30"/>
          <w:szCs w:val="30"/>
          <w:lang w:val="es-ES"/>
        </w:rPr>
        <w:lastRenderedPageBreak/>
        <w:t>operaciones de la entidad;</w:t>
      </w:r>
      <w:r>
        <w:rPr>
          <w:rFonts w:eastAsia="Times New Roman"/>
          <w:sz w:val="30"/>
          <w:szCs w:val="30"/>
          <w:lang w:val="es-ES"/>
        </w:rPr>
        <w:br/>
      </w:r>
      <w:r>
        <w:rPr>
          <w:rFonts w:eastAsia="Times New Roman"/>
          <w:sz w:val="30"/>
          <w:szCs w:val="30"/>
          <w:lang w:val="es-ES"/>
        </w:rPr>
        <w:br/>
        <w:t>2. De la aprobación y presentación de estados financieros falsos;</w:t>
      </w:r>
      <w:r>
        <w:rPr>
          <w:rFonts w:eastAsia="Times New Roman"/>
          <w:sz w:val="30"/>
          <w:szCs w:val="30"/>
          <w:lang w:val="es-ES"/>
        </w:rPr>
        <w:br/>
      </w:r>
      <w:r>
        <w:rPr>
          <w:rFonts w:eastAsia="Times New Roman"/>
          <w:sz w:val="30"/>
          <w:szCs w:val="30"/>
          <w:lang w:val="es-ES"/>
        </w:rPr>
        <w:br/>
        <w:t>3. Del ocultamiento deliberado al Superintendente de Compañías, Valores y Seguros o sus repr</w:t>
      </w:r>
      <w:r>
        <w:rPr>
          <w:rFonts w:eastAsia="Times New Roman"/>
          <w:sz w:val="30"/>
          <w:szCs w:val="30"/>
          <w:lang w:val="es-ES"/>
        </w:rPr>
        <w:t>esentantes debidamente autorizados, de la verdadera situación de la entidad; y,</w:t>
      </w:r>
      <w:r>
        <w:rPr>
          <w:rFonts w:eastAsia="Times New Roman"/>
          <w:sz w:val="30"/>
          <w:szCs w:val="30"/>
          <w:lang w:val="es-ES"/>
        </w:rPr>
        <w:br/>
      </w:r>
      <w:r>
        <w:rPr>
          <w:rFonts w:eastAsia="Times New Roman"/>
          <w:sz w:val="30"/>
          <w:szCs w:val="30"/>
          <w:lang w:val="es-ES"/>
        </w:rPr>
        <w:br/>
        <w:t xml:space="preserve">4. Del ocultamiento, alteración o supresión deliberada en cualquier informe de operación, de datos o de hechos respecto de los cuales el Superintendente de Compañías, Valores </w:t>
      </w:r>
      <w:r>
        <w:rPr>
          <w:rFonts w:eastAsia="Times New Roman"/>
          <w:sz w:val="30"/>
          <w:szCs w:val="30"/>
          <w:lang w:val="es-ES"/>
        </w:rPr>
        <w:t>y Seguros tenga derecho a estar informado.</w:t>
      </w:r>
      <w:r>
        <w:rPr>
          <w:rFonts w:eastAsia="Times New Roman"/>
          <w:sz w:val="30"/>
          <w:szCs w:val="30"/>
          <w:lang w:val="es-ES"/>
        </w:rPr>
        <w:br/>
      </w:r>
      <w:r>
        <w:rPr>
          <w:rFonts w:eastAsia="Times New Roman"/>
          <w:sz w:val="30"/>
          <w:szCs w:val="30"/>
          <w:lang w:val="es-ES"/>
        </w:rPr>
        <w:br/>
        <w:t>El Superintendente de Compañías, Valores y Seguros, cuando descubriere actos dolosos, los denunciará ante el fiscal o la policía judicial.</w:t>
      </w:r>
      <w:r>
        <w:rPr>
          <w:rFonts w:eastAsia="Times New Roman"/>
          <w:sz w:val="30"/>
          <w:szCs w:val="30"/>
          <w:lang w:val="es-ES"/>
        </w:rPr>
        <w:br/>
      </w:r>
      <w:r>
        <w:rPr>
          <w:rFonts w:eastAsia="Times New Roman"/>
          <w:sz w:val="30"/>
          <w:szCs w:val="30"/>
          <w:lang w:val="es-ES"/>
        </w:rPr>
        <w:br/>
        <w:t>Estas infracciones serán sancionadas de conformidad con el artículo ante</w:t>
      </w:r>
      <w:r>
        <w:rPr>
          <w:rFonts w:eastAsia="Times New Roman"/>
          <w:sz w:val="30"/>
          <w:szCs w:val="30"/>
          <w:lang w:val="es-ES"/>
        </w:rPr>
        <w:t>rior, sin perjuicio de la aplicación de las penas previstas en el Código Penal.</w:t>
      </w:r>
    </w:p>
    <w:p w:rsidR="00000000" w:rsidRDefault="0018461E">
      <w:pPr>
        <w:divId w:val="150219581"/>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(Reformado por la Disposición Reformatoria Décima Sexta, num. 1 del Código Orgánico Monetario y Financiero; R.O. 332-2S, 12-IX-2014).- Si el Superintendente de Compañ</w:t>
      </w:r>
      <w:r>
        <w:rPr>
          <w:rFonts w:eastAsia="Times New Roman"/>
          <w:sz w:val="30"/>
          <w:szCs w:val="30"/>
          <w:lang w:val="es-ES"/>
        </w:rPr>
        <w:t>ías, Valores y Seguros, al verificar la legalidad del aumento de capital de una entidad controlada y la procedencia de los fondos utilizados para el pago del mismo, estableciere que existieron infracciones a la ley, mediante resolución dejará insubsistente</w:t>
      </w:r>
      <w:r>
        <w:rPr>
          <w:rFonts w:eastAsia="Times New Roman"/>
          <w:sz w:val="30"/>
          <w:szCs w:val="30"/>
          <w:lang w:val="es-ES"/>
        </w:rPr>
        <w:t xml:space="preserve"> total o parcialmente dicho aumento y ordenará que la resolución que expida, se inscriba en el registro mercantil y se publique en el Registro Oficial.</w:t>
      </w:r>
    </w:p>
    <w:p w:rsidR="00000000" w:rsidRDefault="0018461E">
      <w:pPr>
        <w:divId w:val="1261181468"/>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(Reformado por la Disposición Reformatoria Décima Sexta, num. 1; y, sustituido por la Disposic</w:t>
      </w:r>
      <w:r>
        <w:rPr>
          <w:rFonts w:eastAsia="Times New Roman"/>
          <w:sz w:val="30"/>
          <w:szCs w:val="30"/>
          <w:lang w:val="es-ES"/>
        </w:rPr>
        <w:t>ión Reformatoria Décima Sexta, num. 14 del Código Orgánico Monetario y Financiero; R.O. 332-2S, 12-IX-2014).- Las multas que imponga la Superintendencia de Compañías, Valores y Seguros en ningún caso serán menores a treinta (30) salarios básicos unificados</w:t>
      </w:r>
      <w:r>
        <w:rPr>
          <w:rFonts w:eastAsia="Times New Roman"/>
          <w:sz w:val="30"/>
          <w:szCs w:val="30"/>
          <w:lang w:val="es-ES"/>
        </w:rPr>
        <w:t>, ni superiores al 5% de las ventas que reporte la entidad infractora, con excepción de las que se impongan a los empleados o funcionarios, las que no podrán ser menores a tres salarios básicos unificados del trabajador en general.</w:t>
      </w:r>
      <w:r>
        <w:rPr>
          <w:rFonts w:eastAsia="Times New Roman"/>
          <w:sz w:val="30"/>
          <w:szCs w:val="30"/>
          <w:lang w:val="es-ES"/>
        </w:rPr>
        <w:br/>
      </w:r>
      <w:r>
        <w:rPr>
          <w:rFonts w:eastAsia="Times New Roman"/>
          <w:sz w:val="30"/>
          <w:szCs w:val="30"/>
          <w:lang w:val="es-ES"/>
        </w:rPr>
        <w:br/>
        <w:t>Las sanciones se gradua</w:t>
      </w:r>
      <w:r>
        <w:rPr>
          <w:rFonts w:eastAsia="Times New Roman"/>
          <w:sz w:val="30"/>
          <w:szCs w:val="30"/>
          <w:lang w:val="es-ES"/>
        </w:rPr>
        <w:t xml:space="preserve">rán en atención a la gravedad de la falta, </w:t>
      </w:r>
      <w:r>
        <w:rPr>
          <w:rFonts w:eastAsia="Times New Roman"/>
          <w:sz w:val="30"/>
          <w:szCs w:val="30"/>
          <w:lang w:val="es-ES"/>
        </w:rPr>
        <w:lastRenderedPageBreak/>
        <w:t>perjuicios causados a terceros, negligencia, intencionalidad, reincidencia o cualquier otra circunstancia agravante o atenuante.</w:t>
      </w:r>
      <w:r>
        <w:rPr>
          <w:rFonts w:eastAsia="Times New Roman"/>
          <w:sz w:val="30"/>
          <w:szCs w:val="30"/>
          <w:lang w:val="es-ES"/>
        </w:rPr>
        <w:br/>
      </w:r>
      <w:r>
        <w:rPr>
          <w:rFonts w:eastAsia="Times New Roman"/>
          <w:sz w:val="30"/>
          <w:szCs w:val="30"/>
          <w:lang w:val="es-ES"/>
        </w:rPr>
        <w:br/>
        <w:t>La imposición de las sanciones dispuestas en ésta Ley, es independiente de cualquie</w:t>
      </w:r>
      <w:r>
        <w:rPr>
          <w:rFonts w:eastAsia="Times New Roman"/>
          <w:sz w:val="30"/>
          <w:szCs w:val="30"/>
          <w:lang w:val="es-ES"/>
        </w:rPr>
        <w:t>r otra sanción que se pudiera aplicar por actos violatorios de otras disposiciones y no limitan la aplicación de las sanciones civiles o penales que correspondan de conformidad con la ley.</w:t>
      </w:r>
      <w:r>
        <w:rPr>
          <w:rFonts w:eastAsia="Times New Roman"/>
          <w:sz w:val="30"/>
          <w:szCs w:val="30"/>
          <w:lang w:val="es-ES"/>
        </w:rPr>
        <w:br/>
      </w:r>
      <w:r>
        <w:rPr>
          <w:rFonts w:eastAsia="Times New Roman"/>
          <w:sz w:val="30"/>
          <w:szCs w:val="30"/>
          <w:lang w:val="es-ES"/>
        </w:rPr>
        <w:br/>
        <w:t>En ningún caso una persona puede ser sancionada administrativament</w:t>
      </w:r>
      <w:r>
        <w:rPr>
          <w:rFonts w:eastAsia="Times New Roman"/>
          <w:sz w:val="30"/>
          <w:szCs w:val="30"/>
          <w:lang w:val="es-ES"/>
        </w:rPr>
        <w:t>e dos (2) veces por el mismo ente, por la misma causa, sin perjuicio de las acciones penales que fueran pertinentes.</w:t>
      </w:r>
      <w:r>
        <w:rPr>
          <w:rFonts w:eastAsia="Times New Roman"/>
          <w:sz w:val="30"/>
          <w:szCs w:val="30"/>
          <w:lang w:val="es-ES"/>
        </w:rPr>
        <w:br/>
      </w:r>
      <w:r>
        <w:rPr>
          <w:rFonts w:eastAsia="Times New Roman"/>
          <w:sz w:val="30"/>
          <w:szCs w:val="30"/>
          <w:lang w:val="es-ES"/>
        </w:rPr>
        <w:br/>
        <w:t>Las multas impuestas a la compañías, su representante legal, administradores, directores, empleados o funcionarios, se harán efectivas med</w:t>
      </w:r>
      <w:r>
        <w:rPr>
          <w:rFonts w:eastAsia="Times New Roman"/>
          <w:sz w:val="30"/>
          <w:szCs w:val="30"/>
          <w:lang w:val="es-ES"/>
        </w:rPr>
        <w:t>iante títulos que podrán cobrarse a través de la jurisdicción coactiva o por cualquier otro medio.</w:t>
      </w:r>
    </w:p>
    <w:p w:rsidR="00000000" w:rsidRDefault="0018461E">
      <w:pPr>
        <w:divId w:val="617370130"/>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(Reformado por la Disposición Reformatoria Décima Sexta, num. 1 del Código Orgánico Monetario y Financiero; R.O. 332-2S, 12-IX-2014).-El Superinten</w:t>
      </w:r>
      <w:r>
        <w:rPr>
          <w:rFonts w:eastAsia="Times New Roman"/>
          <w:sz w:val="30"/>
          <w:szCs w:val="30"/>
          <w:lang w:val="es-ES"/>
        </w:rPr>
        <w:t>dente de Compañías, Valores y Seguros impondrá igual sanción que a los administradores de las entidades controladas a los auditores y funcionarios de la Superintendencia de Compañías, Valores y Seguros que divulguen el contenido de sus informes o que inten</w:t>
      </w:r>
      <w:r>
        <w:rPr>
          <w:rFonts w:eastAsia="Times New Roman"/>
          <w:sz w:val="30"/>
          <w:szCs w:val="30"/>
          <w:lang w:val="es-ES"/>
        </w:rPr>
        <w:t>cionalmente presenten informes inexactos, oculten u omitan datos importantes; o que abusen en el ejercicio de sus funciones; sin perjuicio de otras sanciones administrativas a que hubiere lugar.</w:t>
      </w:r>
    </w:p>
    <w:p w:rsidR="00000000" w:rsidRDefault="0018461E">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DEL RECLAMO ADMINISTRATIVO</w:t>
      </w:r>
    </w:p>
    <w:p w:rsidR="00000000" w:rsidRDefault="0018461E">
      <w:pPr>
        <w:divId w:val="370299936"/>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w:t>
      </w:r>
      <w:r>
        <w:rPr>
          <w:rFonts w:eastAsia="Times New Roman"/>
          <w:sz w:val="30"/>
          <w:szCs w:val="30"/>
          <w:lang w:val="es-ES"/>
        </w:rPr>
        <w:t>(Reformado por la Disposición Reformatoria Primera a la Ley General de Seguros de la Ley s/n, R.O. 395-S, 4-VIII-2008, por la Disposición Reformatoria Primera de la Ley s/n, R.O. 100-2S, 14-X-2013; y, sustituido por la Disposición Reformatoria Décima Sexta</w:t>
      </w:r>
      <w:r>
        <w:rPr>
          <w:rFonts w:eastAsia="Times New Roman"/>
          <w:sz w:val="30"/>
          <w:szCs w:val="30"/>
          <w:lang w:val="es-ES"/>
        </w:rPr>
        <w:t>, num. 15 del Código Orgánico Monetario y Financiero; R.O. 332-2S, 12-IX-2014).- Las compañías de seguros y reaseguros tienen la obligación de pagar el seguro contratado o la parte correspondiente a la pérdida debidamente comprobada, según sea el caso, den</w:t>
      </w:r>
      <w:r>
        <w:rPr>
          <w:rFonts w:eastAsia="Times New Roman"/>
          <w:sz w:val="30"/>
          <w:szCs w:val="30"/>
          <w:lang w:val="es-ES"/>
        </w:rPr>
        <w:t xml:space="preserve">tro del plazo de treinta (30) días siguientes de presentada la reclamación por </w:t>
      </w:r>
      <w:r>
        <w:rPr>
          <w:rFonts w:eastAsia="Times New Roman"/>
          <w:sz w:val="30"/>
          <w:szCs w:val="30"/>
          <w:lang w:val="es-ES"/>
        </w:rPr>
        <w:lastRenderedPageBreak/>
        <w:t>parte del asegurado o beneficiario, acompañando los documentos determinados en la póliza.</w:t>
      </w:r>
      <w:r>
        <w:rPr>
          <w:rFonts w:eastAsia="Times New Roman"/>
          <w:sz w:val="30"/>
          <w:szCs w:val="30"/>
          <w:lang w:val="es-ES"/>
        </w:rPr>
        <w:br/>
      </w:r>
      <w:r>
        <w:rPr>
          <w:rFonts w:eastAsia="Times New Roman"/>
          <w:sz w:val="30"/>
          <w:szCs w:val="30"/>
          <w:lang w:val="es-ES"/>
        </w:rPr>
        <w:br/>
        <w:t>Las compañías de seguros y reaseguros podrán objetar por escrito y motivadamente, dent</w:t>
      </w:r>
      <w:r>
        <w:rPr>
          <w:rFonts w:eastAsia="Times New Roman"/>
          <w:sz w:val="30"/>
          <w:szCs w:val="30"/>
          <w:lang w:val="es-ES"/>
        </w:rPr>
        <w:t>ro del plazo antes mencionado el pago total o parcial del siniestro, no obstante si el asegurado o el beneficiario se allanan a las objeciones, de la compañías de seguros, ésta pagará inmediatamente la indemnización acordada.</w:t>
      </w:r>
      <w:r>
        <w:rPr>
          <w:rFonts w:eastAsia="Times New Roman"/>
          <w:sz w:val="30"/>
          <w:szCs w:val="30"/>
          <w:lang w:val="es-ES"/>
        </w:rPr>
        <w:br/>
      </w:r>
      <w:r>
        <w:rPr>
          <w:rFonts w:eastAsia="Times New Roman"/>
          <w:sz w:val="30"/>
          <w:szCs w:val="30"/>
          <w:lang w:val="es-ES"/>
        </w:rPr>
        <w:br/>
        <w:t>Si el asegurado o beneficiari</w:t>
      </w:r>
      <w:r>
        <w:rPr>
          <w:rFonts w:eastAsia="Times New Roman"/>
          <w:sz w:val="30"/>
          <w:szCs w:val="30"/>
          <w:lang w:val="es-ES"/>
        </w:rPr>
        <w:t>o no se allana a las objeciones podrá presentar un reclamo ante la Superintendencia de Compañías, Valores y Seguros, a fin de que ésta requiera a la aseguradora que justifique su negativa de pago. Dentro del plazo de 30 días de presentado el reclamo, y com</w:t>
      </w:r>
      <w:r>
        <w:rPr>
          <w:rFonts w:eastAsia="Times New Roman"/>
          <w:sz w:val="30"/>
          <w:szCs w:val="30"/>
          <w:lang w:val="es-ES"/>
        </w:rPr>
        <w:t>pletados los documentos que lo respalden, el organismo de control dirimirá administrativamente la controversia, aceptando total o parcialmente el reclamo y ordenando del pago del siniestro en el plazo de 10 días de notificada la resolución, o negándolo.</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resolución podrá ser impugnada en sede administrativa con arreglo al artículo 70 de la presente Ley.</w:t>
      </w:r>
      <w:r>
        <w:rPr>
          <w:rFonts w:eastAsia="Times New Roman"/>
          <w:sz w:val="30"/>
          <w:szCs w:val="30"/>
          <w:lang w:val="es-ES"/>
        </w:rPr>
        <w:br/>
      </w:r>
      <w:r>
        <w:rPr>
          <w:rFonts w:eastAsia="Times New Roman"/>
          <w:sz w:val="30"/>
          <w:szCs w:val="30"/>
          <w:lang w:val="es-ES"/>
        </w:rPr>
        <w:br/>
        <w:t>El incumplimiento del pago ordenado será causal de liquidación forzosa de la compañía aseguradora. La interposición de acciones o recursos judiciales no</w:t>
      </w:r>
      <w:r>
        <w:rPr>
          <w:rFonts w:eastAsia="Times New Roman"/>
          <w:sz w:val="30"/>
          <w:szCs w:val="30"/>
          <w:lang w:val="es-ES"/>
        </w:rPr>
        <w:t xml:space="preserve"> suspenderá los efectos de la resolución que ordena el pago.</w:t>
      </w:r>
      <w:r>
        <w:rPr>
          <w:rFonts w:eastAsia="Times New Roman"/>
          <w:sz w:val="30"/>
          <w:szCs w:val="30"/>
          <w:lang w:val="es-ES"/>
        </w:rPr>
        <w:br/>
      </w:r>
      <w:r>
        <w:rPr>
          <w:rFonts w:eastAsia="Times New Roman"/>
          <w:sz w:val="30"/>
          <w:szCs w:val="30"/>
          <w:lang w:val="es-ES"/>
        </w:rPr>
        <w:br/>
        <w:t xml:space="preserve">En sede judicial, el asegurado cuyo reclamo haya sido negado podrá demandar a la aseguradora ante la justicia ordinaria o recurrir a los procedimientos alternativos de solución de controversias </w:t>
      </w:r>
      <w:r>
        <w:rPr>
          <w:rFonts w:eastAsia="Times New Roman"/>
          <w:sz w:val="30"/>
          <w:szCs w:val="30"/>
          <w:lang w:val="es-ES"/>
        </w:rPr>
        <w:t>estipulados en el contrato de seguro. La aseguradora, por su parte, podrá demandar la revocatoria o anulación de la resolución que le obligó al pago de la indemnización, en jurisdicción contencioso administrativa, solamente cuando haya honrado la obligació</w:t>
      </w:r>
      <w:r>
        <w:rPr>
          <w:rFonts w:eastAsia="Times New Roman"/>
          <w:sz w:val="30"/>
          <w:szCs w:val="30"/>
          <w:lang w:val="es-ES"/>
        </w:rPr>
        <w:t>n de pago. En caso de haberse revocado o anulado la resolución, para obtener la restitución de la indemnización pagada, la aseguradora deberá necesariamente también demandar al asegurado o beneficiario que la haya cobrado, quien intervendrá como parte en e</w:t>
      </w:r>
      <w:r>
        <w:rPr>
          <w:rFonts w:eastAsia="Times New Roman"/>
          <w:sz w:val="30"/>
          <w:szCs w:val="30"/>
          <w:lang w:val="es-ES"/>
        </w:rPr>
        <w:t>l juicio.</w:t>
      </w:r>
      <w:r>
        <w:rPr>
          <w:rFonts w:eastAsia="Times New Roman"/>
          <w:sz w:val="30"/>
          <w:szCs w:val="30"/>
          <w:lang w:val="es-ES"/>
        </w:rPr>
        <w:br/>
      </w:r>
      <w:r>
        <w:rPr>
          <w:rFonts w:eastAsia="Times New Roman"/>
          <w:sz w:val="30"/>
          <w:szCs w:val="30"/>
          <w:lang w:val="es-ES"/>
        </w:rPr>
        <w:br/>
        <w:t xml:space="preserve">La presentación del reclamo que regula el presente artículo suspende </w:t>
      </w:r>
      <w:r>
        <w:rPr>
          <w:rFonts w:eastAsia="Times New Roman"/>
          <w:sz w:val="30"/>
          <w:szCs w:val="30"/>
          <w:lang w:val="es-ES"/>
        </w:rPr>
        <w:lastRenderedPageBreak/>
        <w:t>la prescripción de la acción que tiene el asegurado o el beneficiario contra la aseguradora, hasta la notificación de la resolución a la aseguradora.</w:t>
      </w:r>
      <w:r>
        <w:rPr>
          <w:rFonts w:eastAsia="Times New Roman"/>
          <w:sz w:val="30"/>
          <w:szCs w:val="30"/>
          <w:lang w:val="es-ES"/>
        </w:rPr>
        <w:br/>
      </w:r>
      <w:r>
        <w:rPr>
          <w:rFonts w:eastAsia="Times New Roman"/>
          <w:sz w:val="30"/>
          <w:szCs w:val="30"/>
          <w:lang w:val="es-ES"/>
        </w:rPr>
        <w:br/>
        <w:t>Todos los reclamos de ase</w:t>
      </w:r>
      <w:r>
        <w:rPr>
          <w:rFonts w:eastAsia="Times New Roman"/>
          <w:sz w:val="30"/>
          <w:szCs w:val="30"/>
          <w:lang w:val="es-ES"/>
        </w:rPr>
        <w:t>gurados contra aseguradoras se sujetarán a las normas precedentes. No les es aplicable, en consecuencia, el procedimiento regulado por la Ley Orgánica de Defensa al Consumidor.</w:t>
      </w:r>
      <w:r>
        <w:rPr>
          <w:rFonts w:eastAsia="Times New Roman"/>
          <w:sz w:val="30"/>
          <w:szCs w:val="30"/>
          <w:lang w:val="es-ES"/>
        </w:rPr>
        <w:br/>
      </w:r>
      <w:r>
        <w:rPr>
          <w:rFonts w:eastAsia="Times New Roman"/>
          <w:sz w:val="30"/>
          <w:szCs w:val="30"/>
          <w:lang w:val="es-ES"/>
        </w:rPr>
        <w:br/>
        <w:t>Adicionalmente, tratándose de pólizas de seguros de fiel cumplimiento del cont</w:t>
      </w:r>
      <w:r>
        <w:rPr>
          <w:rFonts w:eastAsia="Times New Roman"/>
          <w:sz w:val="30"/>
          <w:szCs w:val="30"/>
          <w:lang w:val="es-ES"/>
        </w:rPr>
        <w:t>rato y de buen uso del anticipo que se contrate en beneficio de las entidades previstas en el artículo 1 de la Ley Orgánica del Sistema Nacional de Contratación Pública, las compañías de seguros deben emitirlas cumpliendo la exigencia de que sean incondici</w:t>
      </w:r>
      <w:r>
        <w:rPr>
          <w:rFonts w:eastAsia="Times New Roman"/>
          <w:sz w:val="30"/>
          <w:szCs w:val="30"/>
          <w:lang w:val="es-ES"/>
        </w:rPr>
        <w:t>onales, irrevocables y de cobro inmediato, por lo que tienen la obligación de pagar el valor del seguro contratado, dentro del plazo de diez (10) días siguientes al pedido por escrito den que el asegurado o el beneficiario le requieran la ejecución.</w:t>
      </w:r>
      <w:r>
        <w:rPr>
          <w:rFonts w:eastAsia="Times New Roman"/>
          <w:sz w:val="30"/>
          <w:szCs w:val="30"/>
          <w:lang w:val="es-ES"/>
        </w:rPr>
        <w:br/>
      </w:r>
      <w:r>
        <w:rPr>
          <w:rFonts w:eastAsia="Times New Roman"/>
          <w:sz w:val="30"/>
          <w:szCs w:val="30"/>
          <w:lang w:val="es-ES"/>
        </w:rPr>
        <w:br/>
        <w:t>Queda</w:t>
      </w:r>
      <w:r>
        <w:rPr>
          <w:rFonts w:eastAsia="Times New Roman"/>
          <w:sz w:val="30"/>
          <w:szCs w:val="30"/>
          <w:lang w:val="es-ES"/>
        </w:rPr>
        <w:t xml:space="preserve"> prohibido a las compañías aseguradoras en el caso de las mencionadas pólizas giradas en beneficio de las entidades previstas en el artículo 1 de la Ley Orgánica del Sistema Nacional de Contratación Pública, exigir al asegurado para el pago de la garantía,</w:t>
      </w:r>
      <w:r>
        <w:rPr>
          <w:rFonts w:eastAsia="Times New Roman"/>
          <w:sz w:val="30"/>
          <w:szCs w:val="30"/>
          <w:lang w:val="es-ES"/>
        </w:rPr>
        <w:t xml:space="preserve"> documentación adicional o el cumplimento de trámite administrativo alguno, que no fuere el previsto en dicha ley y en su reglamento. Cualquier cláusula en contrario, se entenderá como no escrita.</w:t>
      </w:r>
      <w:r>
        <w:rPr>
          <w:rFonts w:eastAsia="Times New Roman"/>
          <w:sz w:val="30"/>
          <w:szCs w:val="30"/>
          <w:lang w:val="es-ES"/>
        </w:rPr>
        <w:br/>
      </w:r>
      <w:r>
        <w:rPr>
          <w:rFonts w:eastAsia="Times New Roman"/>
          <w:sz w:val="30"/>
          <w:szCs w:val="30"/>
          <w:lang w:val="es-ES"/>
        </w:rPr>
        <w:br/>
        <w:t>El incumplimiento de estas disposiciones dará lugar, asimi</w:t>
      </w:r>
      <w:r>
        <w:rPr>
          <w:rFonts w:eastAsia="Times New Roman"/>
          <w:sz w:val="30"/>
          <w:szCs w:val="30"/>
          <w:lang w:val="es-ES"/>
        </w:rPr>
        <w:t>smo, a la liquidación forzosa de la compañías de seguros.</w:t>
      </w:r>
    </w:p>
    <w:p w:rsidR="00000000" w:rsidRDefault="0018461E">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 LA REGULARIZACIÓN Y LA INTERVENCIÓN</w:t>
      </w:r>
    </w:p>
    <w:p w:rsidR="00000000" w:rsidRDefault="0018461E">
      <w:pPr>
        <w:jc w:val="center"/>
        <w:divId w:val="1880432259"/>
        <w:rPr>
          <w:rFonts w:eastAsia="Times New Roman"/>
          <w:sz w:val="30"/>
          <w:szCs w:val="30"/>
          <w:lang w:val="es-ES"/>
        </w:rPr>
      </w:pPr>
      <w:r>
        <w:rPr>
          <w:rFonts w:eastAsia="Times New Roman"/>
          <w:b/>
          <w:bCs/>
          <w:sz w:val="30"/>
          <w:szCs w:val="30"/>
          <w:lang w:val="es-ES"/>
        </w:rPr>
        <w:t>(Reformado por la Disposición Reformatoria Décima sexta del Código Orgánico Monetario y Financiero; R.O. 332-2S, 12-IX-2014)</w:t>
      </w:r>
      <w:r>
        <w:rPr>
          <w:rFonts w:eastAsia="Times New Roman"/>
          <w:sz w:val="30"/>
          <w:szCs w:val="30"/>
          <w:lang w:val="es-ES"/>
        </w:rPr>
        <w:t xml:space="preserve"> </w:t>
      </w:r>
    </w:p>
    <w:p w:rsidR="00000000" w:rsidRDefault="0018461E">
      <w:pPr>
        <w:divId w:val="596207369"/>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(Reformado</w:t>
      </w:r>
      <w:r>
        <w:rPr>
          <w:rFonts w:eastAsia="Times New Roman"/>
          <w:sz w:val="30"/>
          <w:szCs w:val="30"/>
          <w:lang w:val="es-ES"/>
        </w:rPr>
        <w:t xml:space="preserve"> por la Disposición Reformatoria Décima Sexta, num. 1 del Código Orgánico Monetario y Financiero; R.O. 332-2S, 12-IX-2014).- La empresa de seguros, dentro de su actividad, está facultada, previa autorización del Superintendente de Compañías, </w:t>
      </w:r>
      <w:r>
        <w:rPr>
          <w:rFonts w:eastAsia="Times New Roman"/>
          <w:sz w:val="30"/>
          <w:szCs w:val="30"/>
          <w:lang w:val="es-ES"/>
        </w:rPr>
        <w:lastRenderedPageBreak/>
        <w:t>Valores y Segu</w:t>
      </w:r>
      <w:r>
        <w:rPr>
          <w:rFonts w:eastAsia="Times New Roman"/>
          <w:sz w:val="30"/>
          <w:szCs w:val="30"/>
          <w:lang w:val="es-ES"/>
        </w:rPr>
        <w:t>ros, para otorgar mediante la emisión de pólizas, por cuenta de terceros, a favor de personas naturales o jurídicas, de derecho público o privado, fianzas o garantías cuyo otorgamiento no esté prohibido por ley.</w:t>
      </w:r>
      <w:r>
        <w:rPr>
          <w:rFonts w:eastAsia="Times New Roman"/>
          <w:sz w:val="30"/>
          <w:szCs w:val="30"/>
          <w:lang w:val="es-ES"/>
        </w:rPr>
        <w:br/>
      </w:r>
      <w:r>
        <w:rPr>
          <w:rFonts w:eastAsia="Times New Roman"/>
          <w:sz w:val="30"/>
          <w:szCs w:val="30"/>
          <w:lang w:val="es-ES"/>
        </w:rPr>
        <w:br/>
        <w:t>El afianzado está obligado a entregar a fav</w:t>
      </w:r>
      <w:r>
        <w:rPr>
          <w:rFonts w:eastAsia="Times New Roman"/>
          <w:sz w:val="30"/>
          <w:szCs w:val="30"/>
          <w:lang w:val="es-ES"/>
        </w:rPr>
        <w:t>or de la entidad de seguros, las contragarantías personales o reales que respalden el riesgo asumido.</w:t>
      </w:r>
      <w:r>
        <w:rPr>
          <w:rFonts w:eastAsia="Times New Roman"/>
          <w:sz w:val="30"/>
          <w:szCs w:val="30"/>
          <w:lang w:val="es-ES"/>
        </w:rPr>
        <w:br/>
      </w:r>
      <w:r>
        <w:rPr>
          <w:rFonts w:eastAsia="Times New Roman"/>
          <w:sz w:val="30"/>
          <w:szCs w:val="30"/>
          <w:lang w:val="es-ES"/>
        </w:rPr>
        <w:br/>
        <w:t>El afianzado podrá ceder en favor de la empresa de seguros sus derechos para el cobro de valores por el anticipo a recibir, así como por las liquidacione</w:t>
      </w:r>
      <w:r>
        <w:rPr>
          <w:rFonts w:eastAsia="Times New Roman"/>
          <w:sz w:val="30"/>
          <w:szCs w:val="30"/>
          <w:lang w:val="es-ES"/>
        </w:rPr>
        <w:t>s por planillas a emitirse por los trabajos realizados tanto del contrato garantizado como de otros a los que tuviere derecho.</w:t>
      </w:r>
      <w:r>
        <w:rPr>
          <w:rFonts w:eastAsia="Times New Roman"/>
          <w:sz w:val="30"/>
          <w:szCs w:val="30"/>
          <w:lang w:val="es-ES"/>
        </w:rPr>
        <w:br/>
      </w:r>
      <w:r>
        <w:rPr>
          <w:rFonts w:eastAsia="Times New Roman"/>
          <w:sz w:val="30"/>
          <w:szCs w:val="30"/>
          <w:lang w:val="es-ES"/>
        </w:rPr>
        <w:br/>
        <w:t>La falta de pago de la prima no suspende ni termina los efectos de la garantía.</w:t>
      </w:r>
      <w:r>
        <w:rPr>
          <w:rFonts w:eastAsia="Times New Roman"/>
          <w:sz w:val="30"/>
          <w:szCs w:val="30"/>
          <w:lang w:val="es-ES"/>
        </w:rPr>
        <w:br/>
      </w:r>
      <w:r>
        <w:rPr>
          <w:rFonts w:eastAsia="Times New Roman"/>
          <w:sz w:val="30"/>
          <w:szCs w:val="30"/>
          <w:lang w:val="es-ES"/>
        </w:rPr>
        <w:br/>
        <w:t>También podrá convenir que en caso de que los b</w:t>
      </w:r>
      <w:r>
        <w:rPr>
          <w:rFonts w:eastAsia="Times New Roman"/>
          <w:sz w:val="30"/>
          <w:szCs w:val="30"/>
          <w:lang w:val="es-ES"/>
        </w:rPr>
        <w:t>eneficiarios del sector público ordenen la renovación de las garantías, las primas correspondientes sean pagadas por éstos con cargo a los valores que tengan retenidos a sus contratistas.</w:t>
      </w:r>
      <w:r>
        <w:rPr>
          <w:rFonts w:eastAsia="Times New Roman"/>
          <w:sz w:val="30"/>
          <w:szCs w:val="30"/>
          <w:lang w:val="es-ES"/>
        </w:rPr>
        <w:br/>
      </w:r>
      <w:r>
        <w:rPr>
          <w:rFonts w:eastAsia="Times New Roman"/>
          <w:sz w:val="30"/>
          <w:szCs w:val="30"/>
          <w:lang w:val="es-ES"/>
        </w:rPr>
        <w:br/>
        <w:t>La empresa de seguros podrá convenir que el pago de la prima por la</w:t>
      </w:r>
      <w:r>
        <w:rPr>
          <w:rFonts w:eastAsia="Times New Roman"/>
          <w:sz w:val="30"/>
          <w:szCs w:val="30"/>
          <w:lang w:val="es-ES"/>
        </w:rPr>
        <w:t xml:space="preserve"> emisión o renovación de la póliza, lo realice el solicitante, el afianzado o el asegurado.</w:t>
      </w:r>
      <w:r>
        <w:rPr>
          <w:rFonts w:eastAsia="Times New Roman"/>
          <w:sz w:val="30"/>
          <w:szCs w:val="30"/>
          <w:lang w:val="es-ES"/>
        </w:rPr>
        <w:br/>
      </w:r>
      <w:r>
        <w:rPr>
          <w:rFonts w:eastAsia="Times New Roman"/>
          <w:sz w:val="30"/>
          <w:szCs w:val="30"/>
          <w:lang w:val="es-ES"/>
        </w:rPr>
        <w:br/>
        <w:t>El recibo o factura de prima, debidamente certificado por la empresa de seguros, constituye título ejecutivo.</w:t>
      </w:r>
    </w:p>
    <w:p w:rsidR="00000000" w:rsidRDefault="0018461E">
      <w:pPr>
        <w:divId w:val="2091660662"/>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w:t>
      </w:r>
      <w:r>
        <w:rPr>
          <w:rFonts w:eastAsia="Times New Roman"/>
          <w:sz w:val="30"/>
          <w:szCs w:val="30"/>
          <w:lang w:val="es-ES"/>
        </w:rPr>
        <w:t>(Reformado por la Disposición Reformatoria Décima Sexta, num. 1 del Código Orgánico Monetario y Financiero; R.O. 332-2S, 12-IX-2014).- El afianzado está obligado a mantener en vigencia la póliza, de acuerdo a las disposiciones legales o contractuales a las</w:t>
      </w:r>
      <w:r>
        <w:rPr>
          <w:rFonts w:eastAsia="Times New Roman"/>
          <w:sz w:val="30"/>
          <w:szCs w:val="30"/>
          <w:lang w:val="es-ES"/>
        </w:rPr>
        <w:t xml:space="preserve"> que accede, hasta el total cumplimiento de las obligaciones garantizadas.</w:t>
      </w:r>
      <w:r>
        <w:rPr>
          <w:rFonts w:eastAsia="Times New Roman"/>
          <w:sz w:val="30"/>
          <w:szCs w:val="30"/>
          <w:lang w:val="es-ES"/>
        </w:rPr>
        <w:br/>
      </w:r>
      <w:r>
        <w:rPr>
          <w:rFonts w:eastAsia="Times New Roman"/>
          <w:sz w:val="30"/>
          <w:szCs w:val="30"/>
          <w:lang w:val="es-ES"/>
        </w:rPr>
        <w:br/>
        <w:t>La responsabilidad de la empresa de seguros no excederá de la suma máxima asegurada indicada en la póliza o sus anexos.</w:t>
      </w:r>
      <w:r>
        <w:rPr>
          <w:rFonts w:eastAsia="Times New Roman"/>
          <w:sz w:val="30"/>
          <w:szCs w:val="30"/>
          <w:lang w:val="es-ES"/>
        </w:rPr>
        <w:br/>
      </w:r>
      <w:r>
        <w:rPr>
          <w:rFonts w:eastAsia="Times New Roman"/>
          <w:sz w:val="30"/>
          <w:szCs w:val="30"/>
          <w:lang w:val="es-ES"/>
        </w:rPr>
        <w:br/>
        <w:t xml:space="preserve">En ningún caso la empresa de seguros podrá obligarse a más </w:t>
      </w:r>
      <w:r>
        <w:rPr>
          <w:rFonts w:eastAsia="Times New Roman"/>
          <w:sz w:val="30"/>
          <w:szCs w:val="30"/>
          <w:lang w:val="es-ES"/>
        </w:rPr>
        <w:t xml:space="preserve">de lo que deba el afianzado. De igual manera, el riesgo asegurado deberá </w:t>
      </w:r>
      <w:r>
        <w:rPr>
          <w:rFonts w:eastAsia="Times New Roman"/>
          <w:sz w:val="30"/>
          <w:szCs w:val="30"/>
          <w:lang w:val="es-ES"/>
        </w:rPr>
        <w:lastRenderedPageBreak/>
        <w:t>constar en forma clara y determinada sin que pueda extenderse la cobertura a otras obligaciones que por ley o contrato tenga el afianzado.</w:t>
      </w:r>
      <w:r>
        <w:rPr>
          <w:rFonts w:eastAsia="Times New Roman"/>
          <w:sz w:val="30"/>
          <w:szCs w:val="30"/>
          <w:lang w:val="es-ES"/>
        </w:rPr>
        <w:br/>
      </w:r>
      <w:r>
        <w:rPr>
          <w:rFonts w:eastAsia="Times New Roman"/>
          <w:sz w:val="30"/>
          <w:szCs w:val="30"/>
          <w:lang w:val="es-ES"/>
        </w:rPr>
        <w:br/>
        <w:t>En las fianzas por anticipos, la suma asegu</w:t>
      </w:r>
      <w:r>
        <w:rPr>
          <w:rFonts w:eastAsia="Times New Roman"/>
          <w:sz w:val="30"/>
          <w:szCs w:val="30"/>
          <w:lang w:val="es-ES"/>
        </w:rPr>
        <w:t>rada se reducirá a medida que se los vaya devengando.</w:t>
      </w:r>
      <w:r>
        <w:rPr>
          <w:rFonts w:eastAsia="Times New Roman"/>
          <w:sz w:val="30"/>
          <w:szCs w:val="30"/>
          <w:lang w:val="es-ES"/>
        </w:rPr>
        <w:br/>
      </w:r>
      <w:r>
        <w:rPr>
          <w:rFonts w:eastAsia="Times New Roman"/>
          <w:sz w:val="30"/>
          <w:szCs w:val="30"/>
          <w:lang w:val="es-ES"/>
        </w:rPr>
        <w:br/>
        <w:t>Se entiende causado el siniestro en los casos establecidos en la ley o el contrato.</w:t>
      </w:r>
      <w:r>
        <w:rPr>
          <w:rFonts w:eastAsia="Times New Roman"/>
          <w:sz w:val="30"/>
          <w:szCs w:val="30"/>
          <w:lang w:val="es-ES"/>
        </w:rPr>
        <w:br/>
      </w:r>
      <w:r>
        <w:rPr>
          <w:rFonts w:eastAsia="Times New Roman"/>
          <w:sz w:val="30"/>
          <w:szCs w:val="30"/>
          <w:lang w:val="es-ES"/>
        </w:rPr>
        <w:br/>
        <w:t xml:space="preserve">Para el cobro de la fianza, el asegurado deberá proceder de acuerdo con lo que la ley, la obligación principal y la </w:t>
      </w:r>
      <w:r>
        <w:rPr>
          <w:rFonts w:eastAsia="Times New Roman"/>
          <w:sz w:val="30"/>
          <w:szCs w:val="30"/>
          <w:lang w:val="es-ES"/>
        </w:rPr>
        <w:t>póliza establezcan en lo pertinente a notificación y trámite. Se adjuntarán los documentos que acrediten el incumplimiento en lo que se refiera a la obligación afianzada, así como a la naturaleza y monto del reclamo.</w:t>
      </w:r>
      <w:r>
        <w:rPr>
          <w:rFonts w:eastAsia="Times New Roman"/>
          <w:sz w:val="30"/>
          <w:szCs w:val="30"/>
          <w:lang w:val="es-ES"/>
        </w:rPr>
        <w:br/>
      </w:r>
      <w:r>
        <w:rPr>
          <w:rFonts w:eastAsia="Times New Roman"/>
          <w:sz w:val="30"/>
          <w:szCs w:val="30"/>
          <w:lang w:val="es-ES"/>
        </w:rPr>
        <w:br/>
        <w:t>Una vez expedida la resolución adminis</w:t>
      </w:r>
      <w:r>
        <w:rPr>
          <w:rFonts w:eastAsia="Times New Roman"/>
          <w:sz w:val="30"/>
          <w:szCs w:val="30"/>
          <w:lang w:val="es-ES"/>
        </w:rPr>
        <w:t>trativa de la Superintendencia de Compañías, Valores y Seguros o el fallo judicial que declare el incumplimiento de una compañía, se procederá dentro de los 15 días siguientes a la inscripción de la misma en el Registro de Incumplidos de la Contraloría Gen</w:t>
      </w:r>
      <w:r>
        <w:rPr>
          <w:rFonts w:eastAsia="Times New Roman"/>
          <w:sz w:val="30"/>
          <w:szCs w:val="30"/>
          <w:lang w:val="es-ES"/>
        </w:rPr>
        <w:t>eral del Estado.</w:t>
      </w:r>
      <w:r>
        <w:rPr>
          <w:rFonts w:eastAsia="Times New Roman"/>
          <w:sz w:val="30"/>
          <w:szCs w:val="30"/>
          <w:lang w:val="es-ES"/>
        </w:rPr>
        <w:br/>
      </w:r>
      <w:r>
        <w:rPr>
          <w:rFonts w:eastAsia="Times New Roman"/>
          <w:sz w:val="30"/>
          <w:szCs w:val="30"/>
          <w:lang w:val="es-ES"/>
        </w:rPr>
        <w:br/>
        <w:t>De igual forma, la empresa de seguros podrá también solicitar dicha inscripción, en el caso de mora de obligaciones por parte del contratista.</w:t>
      </w:r>
      <w:r>
        <w:rPr>
          <w:rFonts w:eastAsia="Times New Roman"/>
          <w:sz w:val="30"/>
          <w:szCs w:val="30"/>
          <w:lang w:val="es-ES"/>
        </w:rPr>
        <w:br/>
      </w:r>
      <w:r>
        <w:rPr>
          <w:rFonts w:eastAsia="Times New Roman"/>
          <w:sz w:val="30"/>
          <w:szCs w:val="30"/>
          <w:lang w:val="es-ES"/>
        </w:rPr>
        <w:br/>
        <w:t xml:space="preserve">En caso que la ley, reglamentos o contratos lo permitan, podrá la empresa de seguros gozar de </w:t>
      </w:r>
      <w:r>
        <w:rPr>
          <w:rFonts w:eastAsia="Times New Roman"/>
          <w:sz w:val="30"/>
          <w:szCs w:val="30"/>
          <w:lang w:val="es-ES"/>
        </w:rPr>
        <w:t>los beneficios de excusión u orden.</w:t>
      </w:r>
    </w:p>
    <w:p w:rsidR="00000000" w:rsidRDefault="0018461E">
      <w:pPr>
        <w:divId w:val="181937333"/>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La responsabilidad de la empresa de seguros termina:</w:t>
      </w:r>
      <w:r>
        <w:rPr>
          <w:rFonts w:eastAsia="Times New Roman"/>
          <w:sz w:val="30"/>
          <w:szCs w:val="30"/>
          <w:lang w:val="es-ES"/>
        </w:rPr>
        <w:br/>
      </w:r>
      <w:r>
        <w:rPr>
          <w:rFonts w:eastAsia="Times New Roman"/>
          <w:sz w:val="30"/>
          <w:szCs w:val="30"/>
          <w:lang w:val="es-ES"/>
        </w:rPr>
        <w:br/>
        <w:t xml:space="preserve">a) Por la suscripción del acta que declare extinguidas las obligaciones del afianzado o contratista; o por el vencimiento del plazo previsto en el contrato </w:t>
      </w:r>
      <w:r>
        <w:rPr>
          <w:rFonts w:eastAsia="Times New Roman"/>
          <w:sz w:val="30"/>
          <w:szCs w:val="30"/>
          <w:lang w:val="es-ES"/>
        </w:rPr>
        <w:t>principal;</w:t>
      </w:r>
      <w:r>
        <w:rPr>
          <w:rFonts w:eastAsia="Times New Roman"/>
          <w:sz w:val="30"/>
          <w:szCs w:val="30"/>
          <w:lang w:val="es-ES"/>
        </w:rPr>
        <w:br/>
      </w:r>
      <w:r>
        <w:rPr>
          <w:rFonts w:eastAsia="Times New Roman"/>
          <w:sz w:val="30"/>
          <w:szCs w:val="30"/>
          <w:lang w:val="es-ES"/>
        </w:rPr>
        <w:br/>
        <w:t>b) Por la devolución del original de la póliza y sus anexos;</w:t>
      </w:r>
      <w:r>
        <w:rPr>
          <w:rFonts w:eastAsia="Times New Roman"/>
          <w:sz w:val="30"/>
          <w:szCs w:val="30"/>
          <w:lang w:val="es-ES"/>
        </w:rPr>
        <w:br/>
      </w:r>
      <w:r>
        <w:rPr>
          <w:rFonts w:eastAsia="Times New Roman"/>
          <w:sz w:val="30"/>
          <w:szCs w:val="30"/>
          <w:lang w:val="es-ES"/>
        </w:rPr>
        <w:br/>
        <w:t>c) Por el pago de la fianza;</w:t>
      </w:r>
      <w:r>
        <w:rPr>
          <w:rFonts w:eastAsia="Times New Roman"/>
          <w:sz w:val="30"/>
          <w:szCs w:val="30"/>
          <w:lang w:val="es-ES"/>
        </w:rPr>
        <w:br/>
      </w:r>
      <w:r>
        <w:rPr>
          <w:rFonts w:eastAsia="Times New Roman"/>
          <w:sz w:val="30"/>
          <w:szCs w:val="30"/>
          <w:lang w:val="es-ES"/>
        </w:rPr>
        <w:br/>
        <w:t>d) Por la extinción de la obligación afianzada;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Por no haberse solicitado la renovación de la póliza o la ejecución de las fianzas, dentro de su vig</w:t>
      </w:r>
      <w:r>
        <w:rPr>
          <w:rFonts w:eastAsia="Times New Roman"/>
          <w:sz w:val="30"/>
          <w:szCs w:val="30"/>
          <w:lang w:val="es-ES"/>
        </w:rPr>
        <w:t>encia; y,</w:t>
      </w:r>
      <w:r>
        <w:rPr>
          <w:rFonts w:eastAsia="Times New Roman"/>
          <w:sz w:val="30"/>
          <w:szCs w:val="30"/>
          <w:lang w:val="es-ES"/>
        </w:rPr>
        <w:br/>
      </w:r>
      <w:r>
        <w:rPr>
          <w:rFonts w:eastAsia="Times New Roman"/>
          <w:sz w:val="30"/>
          <w:szCs w:val="30"/>
          <w:lang w:val="es-ES"/>
        </w:rPr>
        <w:br/>
        <w:t>f) Por las causas señaladas en la ley.</w:t>
      </w:r>
    </w:p>
    <w:p w:rsidR="00000000" w:rsidRDefault="0018461E">
      <w:pPr>
        <w:divId w:val="996110246"/>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Si el asegurado al momento de ocurrir el siniestro fuere deudor del afianzado por cualquier concepto, se compensarán las obligaciones hasta el monto correspondiente.</w:t>
      </w:r>
      <w:r>
        <w:rPr>
          <w:rFonts w:eastAsia="Times New Roman"/>
          <w:sz w:val="30"/>
          <w:szCs w:val="30"/>
          <w:lang w:val="es-ES"/>
        </w:rPr>
        <w:br/>
      </w:r>
      <w:r>
        <w:rPr>
          <w:rFonts w:eastAsia="Times New Roman"/>
          <w:sz w:val="30"/>
          <w:szCs w:val="30"/>
          <w:lang w:val="es-ES"/>
        </w:rPr>
        <w:br/>
        <w:t>La empresa de seguros podrá o</w:t>
      </w:r>
      <w:r>
        <w:rPr>
          <w:rFonts w:eastAsia="Times New Roman"/>
          <w:sz w:val="30"/>
          <w:szCs w:val="30"/>
          <w:lang w:val="es-ES"/>
        </w:rPr>
        <w:t>poner como excepciones todas aquellas que por ley y los contratos pueda plantear el afianzado.</w:t>
      </w:r>
    </w:p>
    <w:p w:rsidR="00000000" w:rsidRDefault="0018461E">
      <w:pPr>
        <w:divId w:val="1855799073"/>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(Reformado por la Disposición Reformatoria Décima Sexta, num. 1 del Código Orgánico Monetario y Financiero; R.O. 332-2S, 12-IX-2014).- El asegurador te</w:t>
      </w:r>
      <w:r>
        <w:rPr>
          <w:rFonts w:eastAsia="Times New Roman"/>
          <w:sz w:val="30"/>
          <w:szCs w:val="30"/>
          <w:lang w:val="es-ES"/>
        </w:rPr>
        <w:t>ndrá acción contra el afianzado para el reembolso de lo que haya pagado por él, con intereses y gastos, aún cuando dicho pago haya sido ignorado o rechazado por éste. Para este efecto la póliza en la que conste haberse efectuado el pago o el recibo de inde</w:t>
      </w:r>
      <w:r>
        <w:rPr>
          <w:rFonts w:eastAsia="Times New Roman"/>
          <w:sz w:val="30"/>
          <w:szCs w:val="30"/>
          <w:lang w:val="es-ES"/>
        </w:rPr>
        <w:t>mnización, constituirá título ejecutivo.</w:t>
      </w:r>
      <w:r>
        <w:rPr>
          <w:rFonts w:eastAsia="Times New Roman"/>
          <w:sz w:val="30"/>
          <w:szCs w:val="30"/>
          <w:lang w:val="es-ES"/>
        </w:rPr>
        <w:br/>
      </w:r>
      <w:r>
        <w:rPr>
          <w:rFonts w:eastAsia="Times New Roman"/>
          <w:sz w:val="30"/>
          <w:szCs w:val="30"/>
          <w:lang w:val="es-ES"/>
        </w:rPr>
        <w:br/>
        <w:t>Las contragarantías entregadas por el afianzado a la empresa de seguros podrán ser ejecutadas hasta por el monto demandado o adeudado, por los pagos parciales o cargos provenientes de las pólizas y de sus renovacio</w:t>
      </w:r>
      <w:r>
        <w:rPr>
          <w:rFonts w:eastAsia="Times New Roman"/>
          <w:sz w:val="30"/>
          <w:szCs w:val="30"/>
          <w:lang w:val="es-ES"/>
        </w:rPr>
        <w:t>nes realizadas por las empresas de seguros.</w:t>
      </w:r>
      <w:r>
        <w:rPr>
          <w:rFonts w:eastAsia="Times New Roman"/>
          <w:sz w:val="30"/>
          <w:szCs w:val="30"/>
          <w:lang w:val="es-ES"/>
        </w:rPr>
        <w:br/>
      </w:r>
      <w:r>
        <w:rPr>
          <w:rFonts w:eastAsia="Times New Roman"/>
          <w:sz w:val="30"/>
          <w:szCs w:val="30"/>
          <w:lang w:val="es-ES"/>
        </w:rPr>
        <w:br/>
        <w:t>El asegurado antes de proceder al pago de los valores correspondientes a la liquidación final del contrato, exigirá al contratista la presentación de un certificado de no constar, como deudor moroso, en la Centr</w:t>
      </w:r>
      <w:r>
        <w:rPr>
          <w:rFonts w:eastAsia="Times New Roman"/>
          <w:sz w:val="30"/>
          <w:szCs w:val="30"/>
          <w:lang w:val="es-ES"/>
        </w:rPr>
        <w:t>al de Deudores de la Superintendencia de Compañías, Valores y Seguros.</w:t>
      </w:r>
    </w:p>
    <w:p w:rsidR="00000000" w:rsidRDefault="0018461E">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LA CESIÓN Y FUSIÓN</w:t>
      </w:r>
    </w:p>
    <w:p w:rsidR="00000000" w:rsidRDefault="0018461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CESIÓN TOTAL DE NEGOCIOS</w:t>
      </w:r>
    </w:p>
    <w:p w:rsidR="00000000" w:rsidRDefault="0018461E">
      <w:pPr>
        <w:divId w:val="1614053266"/>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(Reformado por la Disposición Reformatoria Décima Sexta, num. 1 del Código Orgánico Monetario y Fin</w:t>
      </w:r>
      <w:r>
        <w:rPr>
          <w:rFonts w:eastAsia="Times New Roman"/>
          <w:sz w:val="30"/>
          <w:szCs w:val="30"/>
          <w:lang w:val="es-ES"/>
        </w:rPr>
        <w:t xml:space="preserve">anciero; R.O. 332-2S, 12-IX-2014).- Las empresas de seguros, con aprobación previa del Superintendente de Compañías, Valores y Seguros, podrán ceder la totalidad de sus negocios a otra u otras empresas de seguros </w:t>
      </w:r>
      <w:r>
        <w:rPr>
          <w:rFonts w:eastAsia="Times New Roman"/>
          <w:sz w:val="30"/>
          <w:szCs w:val="30"/>
          <w:lang w:val="es-ES"/>
        </w:rPr>
        <w:lastRenderedPageBreak/>
        <w:t xml:space="preserve">autorizadas para trabajar en el país en el </w:t>
      </w:r>
      <w:r>
        <w:rPr>
          <w:rFonts w:eastAsia="Times New Roman"/>
          <w:sz w:val="30"/>
          <w:szCs w:val="30"/>
          <w:lang w:val="es-ES"/>
        </w:rPr>
        <w:t>mismo ramo o ramos de los seguros objeto de la cesión; siempre que se hayan pagado las reclamaciones presentadas ante la cedente por los asegurados o beneficiarios o que la o las cesionarias se comprometan expresamente asumir dichos pagos.</w:t>
      </w:r>
      <w:r>
        <w:rPr>
          <w:rFonts w:eastAsia="Times New Roman"/>
          <w:sz w:val="30"/>
          <w:szCs w:val="30"/>
          <w:lang w:val="es-ES"/>
        </w:rPr>
        <w:br/>
      </w:r>
      <w:r>
        <w:rPr>
          <w:rFonts w:eastAsia="Times New Roman"/>
          <w:sz w:val="30"/>
          <w:szCs w:val="30"/>
          <w:lang w:val="es-ES"/>
        </w:rPr>
        <w:br/>
        <w:t>La aprobación d</w:t>
      </w:r>
      <w:r>
        <w:rPr>
          <w:rFonts w:eastAsia="Times New Roman"/>
          <w:sz w:val="30"/>
          <w:szCs w:val="30"/>
          <w:lang w:val="es-ES"/>
        </w:rPr>
        <w:t xml:space="preserve">el Superintendente de Compañías, Valores y Seguros a la cesión total de negocios que realice una empresa de seguros, acarreará la revocatoria automática de la autorización otorgada por la Superintendencia de Compañías, Valores y Seguros a la cedente, y la </w:t>
      </w:r>
      <w:r>
        <w:rPr>
          <w:rFonts w:eastAsia="Times New Roman"/>
          <w:sz w:val="30"/>
          <w:szCs w:val="30"/>
          <w:lang w:val="es-ES"/>
        </w:rPr>
        <w:t>consecuente inhabilidad legal para realizar nuevos negocios de seguros, sin perjuicio de la responsabilidad subsidiaria prevista en esta Sección.</w:t>
      </w:r>
    </w:p>
    <w:p w:rsidR="00000000" w:rsidRDefault="0018461E">
      <w:pPr>
        <w:divId w:val="653535899"/>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(Reformado por la Disposición Reformatoria Décima Sexta, num. 1 del Código Orgánico Monetario y Fina</w:t>
      </w:r>
      <w:r>
        <w:rPr>
          <w:rFonts w:eastAsia="Times New Roman"/>
          <w:sz w:val="30"/>
          <w:szCs w:val="30"/>
          <w:lang w:val="es-ES"/>
        </w:rPr>
        <w:t>nciero; R.O. 332-2S, 12-IX-2014).- Las empresas de seguros contratantes presentarán a la Superintendencia de Compañías, Valores y Seguros el proyecto de contrato de cesión y todos los documentos relativos al asunto, con sus estados financieros a la fecha d</w:t>
      </w:r>
      <w:r>
        <w:rPr>
          <w:rFonts w:eastAsia="Times New Roman"/>
          <w:sz w:val="30"/>
          <w:szCs w:val="30"/>
          <w:lang w:val="es-ES"/>
        </w:rPr>
        <w:t>e la negociación.</w:t>
      </w:r>
      <w:r>
        <w:rPr>
          <w:rFonts w:eastAsia="Times New Roman"/>
          <w:sz w:val="30"/>
          <w:szCs w:val="30"/>
          <w:lang w:val="es-ES"/>
        </w:rPr>
        <w:br/>
      </w:r>
      <w:r>
        <w:rPr>
          <w:rFonts w:eastAsia="Times New Roman"/>
          <w:sz w:val="30"/>
          <w:szCs w:val="30"/>
          <w:lang w:val="es-ES"/>
        </w:rPr>
        <w:br/>
        <w:t>De la cesión deberá notificarse previamente a los asegurados, para el efecto el Superintendente de Compañías, Valores y Seguros, ordenará a la cedente publique una síntesis del contrato en uno de los periódicos de mayor circulación a niv</w:t>
      </w:r>
      <w:r>
        <w:rPr>
          <w:rFonts w:eastAsia="Times New Roman"/>
          <w:sz w:val="30"/>
          <w:szCs w:val="30"/>
          <w:lang w:val="es-ES"/>
        </w:rPr>
        <w:t>el nacional, mediante tres avisos, con tres días de intervalo, y dirija una carta circular en que se comunique la cesión a cada uno de los asegurados.</w:t>
      </w:r>
      <w:r>
        <w:rPr>
          <w:rFonts w:eastAsia="Times New Roman"/>
          <w:sz w:val="30"/>
          <w:szCs w:val="30"/>
          <w:lang w:val="es-ES"/>
        </w:rPr>
        <w:br/>
      </w:r>
      <w:r>
        <w:rPr>
          <w:rFonts w:eastAsia="Times New Roman"/>
          <w:sz w:val="30"/>
          <w:szCs w:val="30"/>
          <w:lang w:val="es-ES"/>
        </w:rPr>
        <w:br/>
        <w:t>En ningún caso las condiciones en que se realice la cesión podrán gravar ni modificar los derechos de lo</w:t>
      </w:r>
      <w:r>
        <w:rPr>
          <w:rFonts w:eastAsia="Times New Roman"/>
          <w:sz w:val="30"/>
          <w:szCs w:val="30"/>
          <w:lang w:val="es-ES"/>
        </w:rPr>
        <w:t>s asegurados ni sus garantías.</w:t>
      </w:r>
      <w:r>
        <w:rPr>
          <w:rFonts w:eastAsia="Times New Roman"/>
          <w:sz w:val="30"/>
          <w:szCs w:val="30"/>
          <w:lang w:val="es-ES"/>
        </w:rPr>
        <w:br/>
      </w:r>
      <w:r>
        <w:rPr>
          <w:rFonts w:eastAsia="Times New Roman"/>
          <w:sz w:val="30"/>
          <w:szCs w:val="30"/>
          <w:lang w:val="es-ES"/>
        </w:rPr>
        <w:br/>
        <w:t>En el evento de que el asegurado cancele por esta circunstancia la póliza correspondiente, no habrá lugar a cobrar recargos de corto plazo y la liquidación se hará a prorrata.</w:t>
      </w:r>
    </w:p>
    <w:p w:rsidR="00000000" w:rsidRDefault="0018461E">
      <w:pPr>
        <w:divId w:val="220675046"/>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(Reformado por la Disposición Reformat</w:t>
      </w:r>
      <w:r>
        <w:rPr>
          <w:rFonts w:eastAsia="Times New Roman"/>
          <w:sz w:val="30"/>
          <w:szCs w:val="30"/>
          <w:lang w:val="es-ES"/>
        </w:rPr>
        <w:t>oria Décima Sexta, num. 1 del Código Orgánico Monetario y Financiero; R.O. 332-2S, 12-IX-2014).- Será condición expresa para aprobar la cesión total de negocios que la o las cesionarias se obliguen en los mismos términos que la cedente, asumiendo directame</w:t>
      </w:r>
      <w:r>
        <w:rPr>
          <w:rFonts w:eastAsia="Times New Roman"/>
          <w:sz w:val="30"/>
          <w:szCs w:val="30"/>
          <w:lang w:val="es-ES"/>
        </w:rPr>
        <w:t xml:space="preserve">nte el cumplimiento de todas las obligaciones contraídas por ésta. La cedente responderá subsidiariamente de tales obligaciones durante el plazo de dos años, </w:t>
      </w:r>
      <w:r>
        <w:rPr>
          <w:rFonts w:eastAsia="Times New Roman"/>
          <w:sz w:val="30"/>
          <w:szCs w:val="30"/>
          <w:lang w:val="es-ES"/>
        </w:rPr>
        <w:lastRenderedPageBreak/>
        <w:t xml:space="preserve">para cuyo efecto, mantendrá depositado en una entidad del sistema financiero el capital pagado, a </w:t>
      </w:r>
      <w:r>
        <w:rPr>
          <w:rFonts w:eastAsia="Times New Roman"/>
          <w:sz w:val="30"/>
          <w:szCs w:val="30"/>
          <w:lang w:val="es-ES"/>
        </w:rPr>
        <w:t>la orden de la Superintendencia, en una inversión que genere intereses. Vencido este plazo, cesará su responsabilidad y obtendrá la devolución del capital depositado con los correspondientes intereses.</w:t>
      </w:r>
      <w:r>
        <w:rPr>
          <w:rFonts w:eastAsia="Times New Roman"/>
          <w:sz w:val="30"/>
          <w:szCs w:val="30"/>
          <w:lang w:val="es-ES"/>
        </w:rPr>
        <w:br/>
      </w:r>
      <w:r>
        <w:rPr>
          <w:rFonts w:eastAsia="Times New Roman"/>
          <w:sz w:val="30"/>
          <w:szCs w:val="30"/>
          <w:lang w:val="es-ES"/>
        </w:rPr>
        <w:br/>
        <w:t>El Superintendente de Compañías, Valores y Seguros ex</w:t>
      </w:r>
      <w:r>
        <w:rPr>
          <w:rFonts w:eastAsia="Times New Roman"/>
          <w:sz w:val="30"/>
          <w:szCs w:val="30"/>
          <w:lang w:val="es-ES"/>
        </w:rPr>
        <w:t>aminará los documentos recibidos y verificará que no sufran menoscabo los derechos de los asegurados y, una vez que se hayan cumplido los requisitos que se determinan, expedirá la resolución aprobatoria de la cesión.</w:t>
      </w:r>
    </w:p>
    <w:p w:rsidR="00000000" w:rsidRDefault="0018461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CESIÓN PARCIAL DE NEG</w:t>
      </w:r>
      <w:r>
        <w:rPr>
          <w:rFonts w:eastAsia="Times New Roman"/>
          <w:b/>
          <w:bCs/>
          <w:sz w:val="36"/>
          <w:szCs w:val="36"/>
          <w:lang w:val="es-ES"/>
        </w:rPr>
        <w:t>OCIOS</w:t>
      </w:r>
    </w:p>
    <w:p w:rsidR="00000000" w:rsidRDefault="0018461E">
      <w:pPr>
        <w:divId w:val="2050915475"/>
        <w:rPr>
          <w:rFonts w:eastAsia="Times New Roman"/>
          <w:sz w:val="30"/>
          <w:szCs w:val="30"/>
          <w:lang w:val="es-ES"/>
        </w:rPr>
      </w:pPr>
      <w:r>
        <w:rPr>
          <w:rFonts w:eastAsia="Times New Roman"/>
          <w:b/>
          <w:bCs/>
          <w:sz w:val="30"/>
          <w:szCs w:val="30"/>
          <w:lang w:val="es-ES"/>
        </w:rPr>
        <w:t xml:space="preserve">Art. 51.- </w:t>
      </w:r>
      <w:r>
        <w:rPr>
          <w:rFonts w:eastAsia="Times New Roman"/>
          <w:sz w:val="30"/>
          <w:szCs w:val="30"/>
          <w:lang w:val="es-ES"/>
        </w:rPr>
        <w:t>(Reformado por la Disposición Reformatoria Décima Sexta, num. 1 del Código Orgánico Monetario y Financiero; R.O. 332-2S, 12-IX-2014).- Las empresas de seguros podrán ceder parcialmente su cartera a otra u otras empresas de seguros autorizad</w:t>
      </w:r>
      <w:r>
        <w:rPr>
          <w:rFonts w:eastAsia="Times New Roman"/>
          <w:sz w:val="30"/>
          <w:szCs w:val="30"/>
          <w:lang w:val="es-ES"/>
        </w:rPr>
        <w:t>as a operar en el país, en el o los ramos materia de la cesión; en cuyo caso no requerirán de autorización del Superintendente de Compañías, Valores y Seguros.</w:t>
      </w:r>
      <w:r>
        <w:rPr>
          <w:rFonts w:eastAsia="Times New Roman"/>
          <w:sz w:val="30"/>
          <w:szCs w:val="30"/>
          <w:lang w:val="es-ES"/>
        </w:rPr>
        <w:br/>
      </w:r>
      <w:r>
        <w:rPr>
          <w:rFonts w:eastAsia="Times New Roman"/>
          <w:sz w:val="30"/>
          <w:szCs w:val="30"/>
          <w:lang w:val="es-ES"/>
        </w:rPr>
        <w:br/>
        <w:t>Para la validez de dicha cesión, la cedente notificará en forma previa mediante comunicación ci</w:t>
      </w:r>
      <w:r>
        <w:rPr>
          <w:rFonts w:eastAsia="Times New Roman"/>
          <w:sz w:val="30"/>
          <w:szCs w:val="30"/>
          <w:lang w:val="es-ES"/>
        </w:rPr>
        <w:t>rcular a cada uno de los asegurados y la o las cesionarias se comprometan expresamente a asumir las obligaciones contraídas por la cedente en los mismos términos de los contratos de seguros materia de la cesión.</w:t>
      </w:r>
      <w:r>
        <w:rPr>
          <w:rFonts w:eastAsia="Times New Roman"/>
          <w:sz w:val="30"/>
          <w:szCs w:val="30"/>
          <w:lang w:val="es-ES"/>
        </w:rPr>
        <w:br/>
      </w:r>
      <w:r>
        <w:rPr>
          <w:rFonts w:eastAsia="Times New Roman"/>
          <w:sz w:val="30"/>
          <w:szCs w:val="30"/>
          <w:lang w:val="es-ES"/>
        </w:rPr>
        <w:br/>
        <w:t>En el evento de que el asegurado cancele po</w:t>
      </w:r>
      <w:r>
        <w:rPr>
          <w:rFonts w:eastAsia="Times New Roman"/>
          <w:sz w:val="30"/>
          <w:szCs w:val="30"/>
          <w:lang w:val="es-ES"/>
        </w:rPr>
        <w:t>r esta circunstancia la póliza correspondiente no habrá lugar a cobrar recargos de corto plazo y la liquidación se hará a prorrata.</w:t>
      </w:r>
      <w:r>
        <w:rPr>
          <w:rFonts w:eastAsia="Times New Roman"/>
          <w:sz w:val="30"/>
          <w:szCs w:val="30"/>
          <w:lang w:val="es-ES"/>
        </w:rPr>
        <w:br/>
      </w:r>
      <w:r>
        <w:rPr>
          <w:rFonts w:eastAsia="Times New Roman"/>
          <w:sz w:val="30"/>
          <w:szCs w:val="30"/>
          <w:lang w:val="es-ES"/>
        </w:rPr>
        <w:br/>
        <w:t>La cedente notificará del proceso de cesión a la Superintendencia de Compañías, Valores y Seguros dentro de los ocho días p</w:t>
      </w:r>
      <w:r>
        <w:rPr>
          <w:rFonts w:eastAsia="Times New Roman"/>
          <w:sz w:val="30"/>
          <w:szCs w:val="30"/>
          <w:lang w:val="es-ES"/>
        </w:rPr>
        <w:t>osteriores a la cesión, adjuntando los documentos justificativos.</w:t>
      </w:r>
    </w:p>
    <w:p w:rsidR="00000000" w:rsidRDefault="0018461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FUSIÓN</w:t>
      </w:r>
    </w:p>
    <w:p w:rsidR="00000000" w:rsidRDefault="0018461E">
      <w:pPr>
        <w:divId w:val="1187718696"/>
        <w:rPr>
          <w:rFonts w:eastAsia="Times New Roman"/>
          <w:sz w:val="30"/>
          <w:szCs w:val="30"/>
          <w:lang w:val="es-ES"/>
        </w:rPr>
      </w:pPr>
      <w:r>
        <w:rPr>
          <w:rFonts w:eastAsia="Times New Roman"/>
          <w:b/>
          <w:bCs/>
          <w:sz w:val="30"/>
          <w:szCs w:val="30"/>
          <w:lang w:val="es-ES"/>
        </w:rPr>
        <w:lastRenderedPageBreak/>
        <w:t>Art. 52.-</w:t>
      </w:r>
      <w:r>
        <w:rPr>
          <w:rFonts w:eastAsia="Times New Roman"/>
          <w:sz w:val="30"/>
          <w:szCs w:val="30"/>
          <w:lang w:val="es-ES"/>
        </w:rPr>
        <w:t xml:space="preserve"> (Reformado por la disposición reformatoria primera de la Ley 2001-55, R.O. 465-S, 30-XI-2001; y, por la Disposición Reformatoria Décima Sexta, nums. 1 y 2</w:t>
      </w:r>
      <w:r>
        <w:rPr>
          <w:rFonts w:eastAsia="Times New Roman"/>
          <w:sz w:val="30"/>
          <w:szCs w:val="30"/>
          <w:lang w:val="es-ES"/>
        </w:rPr>
        <w:t xml:space="preserve"> del Código Orgánico Monetario y Financiero; R.O. 332-2S, 12-IX-2014).- La fusión entre empresas de seguros o entre compañías de reaseguros, debe ser aprobada por la Superintendencia de Compañías, Valores y Seguros y regirse para su perfeccionamiento por e</w:t>
      </w:r>
      <w:r>
        <w:rPr>
          <w:rFonts w:eastAsia="Times New Roman"/>
          <w:sz w:val="30"/>
          <w:szCs w:val="30"/>
          <w:lang w:val="es-ES"/>
        </w:rPr>
        <w:t>l procedimiento determinado por la Junta de Política y Regulación Monetaria y Financiera. Se observarán los mismos requisitos que se exigen para la cesión total de negocios, en cuanto sean aplicables, cuidando que los intereses de los asegurados o reasegur</w:t>
      </w:r>
      <w:r>
        <w:rPr>
          <w:rFonts w:eastAsia="Times New Roman"/>
          <w:sz w:val="30"/>
          <w:szCs w:val="30"/>
          <w:lang w:val="es-ES"/>
        </w:rPr>
        <w:t>ados queden perfectamente garantizados.</w:t>
      </w:r>
    </w:p>
    <w:p w:rsidR="00000000" w:rsidRDefault="0018461E">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LA REGULARIZACIÓN</w:t>
      </w:r>
    </w:p>
    <w:p w:rsidR="00000000" w:rsidRDefault="0018461E">
      <w:pPr>
        <w:divId w:val="1715621884"/>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(Reformado por la Disposición Reformatoria Décima Sexta, num. 1 del Código Orgánico Monetario y Financiero; R.O. 332-2S, 12-IX-2014).- Las empresas de seguros y compañías d</w:t>
      </w:r>
      <w:r>
        <w:rPr>
          <w:rFonts w:eastAsia="Times New Roman"/>
          <w:sz w:val="30"/>
          <w:szCs w:val="30"/>
          <w:lang w:val="es-ES"/>
        </w:rPr>
        <w:t>e reaseguros están obligadas a informar a la Superintendencia de Compañías, Valores y Seguros las deficiencias del capital mínimo legal, o de inversiones con las cuales debe respaldar sus reservas técnicas y el margen de solvencia, establecido en el artícu</w:t>
      </w:r>
      <w:r>
        <w:rPr>
          <w:rFonts w:eastAsia="Times New Roman"/>
          <w:sz w:val="30"/>
          <w:szCs w:val="30"/>
          <w:lang w:val="es-ES"/>
        </w:rPr>
        <w:t>lo 22 de esta Ley, tan pronto ello sea detectado y comunicar dentro de los cinco días hábiles siguientes las medidas que hubiere adoptado o adoptará para su solución, las mismas que deberán encontrarse dentro del plan de regularización más adelante descrit</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 xml:space="preserve">En el evento que la empresa de seguros no cumpliere con la obligación de informar, señalare como fecha de ocurrencia del déficit una distinta a la efectiva o consignare datos no reales, y estas irregularidades fueren detectadas por la Superintendencia </w:t>
      </w:r>
      <w:r>
        <w:rPr>
          <w:rFonts w:eastAsia="Times New Roman"/>
          <w:sz w:val="30"/>
          <w:szCs w:val="30"/>
          <w:lang w:val="es-ES"/>
        </w:rPr>
        <w:t>de Compañías, Valores y Seguros, a más de las sanciones a que haya lugar, se aplicarán los procesos de regularización que se indican a continuación desde la fecha de la comunicación con la cual se hacen las observaciones por parte de la Superintendencia de</w:t>
      </w:r>
      <w:r>
        <w:rPr>
          <w:rFonts w:eastAsia="Times New Roman"/>
          <w:sz w:val="30"/>
          <w:szCs w:val="30"/>
          <w:lang w:val="es-ES"/>
        </w:rPr>
        <w:t xml:space="preserve"> Comapñías, Valores y Seguros:</w:t>
      </w:r>
      <w:r>
        <w:rPr>
          <w:rFonts w:eastAsia="Times New Roman"/>
          <w:sz w:val="30"/>
          <w:szCs w:val="30"/>
          <w:lang w:val="es-ES"/>
        </w:rPr>
        <w:br/>
      </w:r>
      <w:r>
        <w:rPr>
          <w:rFonts w:eastAsia="Times New Roman"/>
          <w:sz w:val="30"/>
          <w:szCs w:val="30"/>
          <w:lang w:val="es-ES"/>
        </w:rPr>
        <w:br/>
        <w:t>1. La reducción del capital a menos del mínimo legal, deberá ser cubierta en un plazo no superior a noventa días y cuyo aumento deberá ser pagado en dinero en efectivo; y,</w:t>
      </w:r>
      <w:r>
        <w:rPr>
          <w:rFonts w:eastAsia="Times New Roman"/>
          <w:sz w:val="30"/>
          <w:szCs w:val="30"/>
          <w:lang w:val="es-ES"/>
        </w:rPr>
        <w:br/>
      </w:r>
      <w:r>
        <w:rPr>
          <w:rFonts w:eastAsia="Times New Roman"/>
          <w:sz w:val="30"/>
          <w:szCs w:val="30"/>
          <w:lang w:val="es-ES"/>
        </w:rPr>
        <w:lastRenderedPageBreak/>
        <w:br/>
        <w:t>2. En caso de producirse un déficit en las inversio</w:t>
      </w:r>
      <w:r>
        <w:rPr>
          <w:rFonts w:eastAsia="Times New Roman"/>
          <w:sz w:val="30"/>
          <w:szCs w:val="30"/>
          <w:lang w:val="es-ES"/>
        </w:rPr>
        <w:t>nes con los cuales la empresa de seguros debe respaldar sus reservas técnicas y margen de solvencia, deberá adoptar las medidas tendientes a solucionarlo, tales como la contratación de reaseguros, la cesión de cartera, la sustitución de las inversiones o e</w:t>
      </w:r>
      <w:r>
        <w:rPr>
          <w:rFonts w:eastAsia="Times New Roman"/>
          <w:sz w:val="30"/>
          <w:szCs w:val="30"/>
          <w:lang w:val="es-ES"/>
        </w:rPr>
        <w:t>l aumento de capital.</w:t>
      </w:r>
      <w:r>
        <w:rPr>
          <w:rFonts w:eastAsia="Times New Roman"/>
          <w:sz w:val="30"/>
          <w:szCs w:val="30"/>
          <w:lang w:val="es-ES"/>
        </w:rPr>
        <w:br/>
      </w:r>
      <w:r>
        <w:rPr>
          <w:rFonts w:eastAsia="Times New Roman"/>
          <w:sz w:val="30"/>
          <w:szCs w:val="30"/>
          <w:lang w:val="es-ES"/>
        </w:rPr>
        <w:br/>
        <w:t>Si el déficit no sobrepasare el 5% de lo requerido, la empresa de seguros deberá adoptar las medidas tendientes a solucionarlo dentro de un plazo de hasta treinta días. Si el déficit correspondiente sobrepasare este porcentaje, el pl</w:t>
      </w:r>
      <w:r>
        <w:rPr>
          <w:rFonts w:eastAsia="Times New Roman"/>
          <w:sz w:val="30"/>
          <w:szCs w:val="30"/>
          <w:lang w:val="es-ES"/>
        </w:rPr>
        <w:t>azo para cubrirlo será de noventa días.</w:t>
      </w:r>
      <w:r>
        <w:rPr>
          <w:rFonts w:eastAsia="Times New Roman"/>
          <w:sz w:val="30"/>
          <w:szCs w:val="30"/>
          <w:lang w:val="es-ES"/>
        </w:rPr>
        <w:br/>
      </w:r>
      <w:r>
        <w:rPr>
          <w:rFonts w:eastAsia="Times New Roman"/>
          <w:sz w:val="30"/>
          <w:szCs w:val="30"/>
          <w:lang w:val="es-ES"/>
        </w:rPr>
        <w:br/>
        <w:t>En los casos de déficit, tanto del capital como de inversiones que respaldan las reservas técnicas y el margen de solvencia, el Superintendente de Compañías, Valores y Seguros podrá mientras estos no se superen, dis</w:t>
      </w:r>
      <w:r>
        <w:rPr>
          <w:rFonts w:eastAsia="Times New Roman"/>
          <w:sz w:val="30"/>
          <w:szCs w:val="30"/>
          <w:lang w:val="es-ES"/>
        </w:rPr>
        <w:t>poner la suspensión de la emisión de nuevas pólizas, la cesión de toda o parte de la cartera de seguros o adoptar ambas medidas.</w:t>
      </w:r>
      <w:r>
        <w:rPr>
          <w:rFonts w:eastAsia="Times New Roman"/>
          <w:sz w:val="30"/>
          <w:szCs w:val="30"/>
          <w:lang w:val="es-ES"/>
        </w:rPr>
        <w:br/>
      </w:r>
      <w:r>
        <w:rPr>
          <w:rFonts w:eastAsia="Times New Roman"/>
          <w:sz w:val="30"/>
          <w:szCs w:val="30"/>
          <w:lang w:val="es-ES"/>
        </w:rPr>
        <w:br/>
        <w:t>Si la empresa de seguros no se regularizare en los plazos señalados, el Superintendente de Compañías, Valores y Seguros dispon</w:t>
      </w:r>
      <w:r>
        <w:rPr>
          <w:rFonts w:eastAsia="Times New Roman"/>
          <w:sz w:val="30"/>
          <w:szCs w:val="30"/>
          <w:lang w:val="es-ES"/>
        </w:rPr>
        <w:t>drá la liquidación forzosa, en los términos de esta Ley.</w:t>
      </w:r>
    </w:p>
    <w:p w:rsidR="00000000" w:rsidRDefault="0018461E">
      <w:pPr>
        <w:divId w:val="351763634"/>
        <w:rPr>
          <w:rFonts w:eastAsia="Times New Roman"/>
          <w:sz w:val="30"/>
          <w:szCs w:val="30"/>
          <w:lang w:val="es-ES"/>
        </w:rPr>
      </w:pPr>
      <w:r>
        <w:rPr>
          <w:rFonts w:eastAsia="Times New Roman"/>
          <w:sz w:val="30"/>
          <w:szCs w:val="30"/>
          <w:lang w:val="es-ES"/>
        </w:rPr>
        <w:t>Art....- (Agregado por la Disposición Reformatoria Décima Sexta, num. 17 del Código Orgánico Monetario y Financiero; R.O. 332-2S, 12-IX-2014).- El Superintendente podrá ordenar la intervención de las</w:t>
      </w:r>
      <w:r>
        <w:rPr>
          <w:rFonts w:eastAsia="Times New Roman"/>
          <w:sz w:val="30"/>
          <w:szCs w:val="30"/>
          <w:lang w:val="es-ES"/>
        </w:rPr>
        <w:t xml:space="preserve"> empresas sujetas a su control y vigilancia según esta Ley, con arreglo a las normas de la sección XI y conexas de la Ley de Compañías.</w:t>
      </w:r>
    </w:p>
    <w:p w:rsidR="00000000" w:rsidRDefault="0018461E">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DE LAS LIQUIDACIONES</w:t>
      </w:r>
    </w:p>
    <w:p w:rsidR="00000000" w:rsidRDefault="0018461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VOLUNTARIA</w:t>
      </w:r>
    </w:p>
    <w:p w:rsidR="00000000" w:rsidRDefault="0018461E">
      <w:pPr>
        <w:divId w:val="1896117004"/>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(Reformado por la Disposición Reformatoria Déci</w:t>
      </w:r>
      <w:r>
        <w:rPr>
          <w:rFonts w:eastAsia="Times New Roman"/>
          <w:sz w:val="30"/>
          <w:szCs w:val="30"/>
          <w:lang w:val="es-ES"/>
        </w:rPr>
        <w:t>ma Sexta, num. 1 del Código Orgánico Monetario y Financiero; R.O. 332-2S, 12-IX-2014).- La entidad controlada que no quisiere continuar sus negocios en el país, podrá por resolución de la junta general o de la casa matriz en el caso de sucursales de empres</w:t>
      </w:r>
      <w:r>
        <w:rPr>
          <w:rFonts w:eastAsia="Times New Roman"/>
          <w:sz w:val="30"/>
          <w:szCs w:val="30"/>
          <w:lang w:val="es-ES"/>
        </w:rPr>
        <w:t xml:space="preserve">as extranjeras, solicitar </w:t>
      </w:r>
      <w:r>
        <w:rPr>
          <w:rFonts w:eastAsia="Times New Roman"/>
          <w:sz w:val="30"/>
          <w:szCs w:val="30"/>
          <w:lang w:val="es-ES"/>
        </w:rPr>
        <w:lastRenderedPageBreak/>
        <w:t>su liquidación voluntaria al Superintendente de Compañías, Valores y Seguros enviándole copia auténtica de dicha resolución.</w:t>
      </w:r>
      <w:r>
        <w:rPr>
          <w:rFonts w:eastAsia="Times New Roman"/>
          <w:sz w:val="30"/>
          <w:szCs w:val="30"/>
          <w:lang w:val="es-ES"/>
        </w:rPr>
        <w:br/>
      </w:r>
      <w:r>
        <w:rPr>
          <w:rFonts w:eastAsia="Times New Roman"/>
          <w:sz w:val="30"/>
          <w:szCs w:val="30"/>
          <w:lang w:val="es-ES"/>
        </w:rPr>
        <w:br/>
        <w:t>El Superintendente de Compañías, Valores y Seguros comprobando que la entidad solicitante no se encuentr</w:t>
      </w:r>
      <w:r>
        <w:rPr>
          <w:rFonts w:eastAsia="Times New Roman"/>
          <w:sz w:val="30"/>
          <w:szCs w:val="30"/>
          <w:lang w:val="es-ES"/>
        </w:rPr>
        <w:t>a en estado de liquidación forzosa, aceptará la solicitud y expedirá la respectiva resolución declarando el estado de liquidación voluntaria, resolución que se publicará en el Registro Oficial. Hecha esta publicación, entrará en liquidación, si fuere empre</w:t>
      </w:r>
      <w:r>
        <w:rPr>
          <w:rFonts w:eastAsia="Times New Roman"/>
          <w:sz w:val="30"/>
          <w:szCs w:val="30"/>
          <w:lang w:val="es-ES"/>
        </w:rPr>
        <w:t>sa nacional; y, si fuere extranjera, en liquidación para sus operaciones en el Ecuador.</w:t>
      </w:r>
      <w:r>
        <w:rPr>
          <w:rFonts w:eastAsia="Times New Roman"/>
          <w:sz w:val="30"/>
          <w:szCs w:val="30"/>
          <w:lang w:val="es-ES"/>
        </w:rPr>
        <w:br/>
      </w:r>
      <w:r>
        <w:rPr>
          <w:rFonts w:eastAsia="Times New Roman"/>
          <w:sz w:val="30"/>
          <w:szCs w:val="30"/>
          <w:lang w:val="es-ES"/>
        </w:rPr>
        <w:br/>
        <w:t>Declarada la liquidación en la forma prescrita, la entidad solicitante nombrará un liquidador, quien deberá elaborar los estados financieros, con los anexos que conten</w:t>
      </w:r>
      <w:r>
        <w:rPr>
          <w:rFonts w:eastAsia="Times New Roman"/>
          <w:sz w:val="30"/>
          <w:szCs w:val="30"/>
          <w:lang w:val="es-ES"/>
        </w:rPr>
        <w:t>gan la descomposición de cada una de las cuentas.</w:t>
      </w:r>
      <w:r>
        <w:rPr>
          <w:rFonts w:eastAsia="Times New Roman"/>
          <w:sz w:val="30"/>
          <w:szCs w:val="30"/>
          <w:lang w:val="es-ES"/>
        </w:rPr>
        <w:br/>
      </w:r>
      <w:r>
        <w:rPr>
          <w:rFonts w:eastAsia="Times New Roman"/>
          <w:sz w:val="30"/>
          <w:szCs w:val="30"/>
          <w:lang w:val="es-ES"/>
        </w:rPr>
        <w:br/>
        <w:t>El Superintendente de Comapñías, Valores y Seguros dispondrá la publicación de por lo menos tres avisos por la prensa dando cuenta al público de la liquidación para que las personas que se crean con derech</w:t>
      </w:r>
      <w:r>
        <w:rPr>
          <w:rFonts w:eastAsia="Times New Roman"/>
          <w:sz w:val="30"/>
          <w:szCs w:val="30"/>
          <w:lang w:val="es-ES"/>
        </w:rPr>
        <w:t>o presenten sus reclamaciones dentro del plazo que se señale en la publicación.</w:t>
      </w:r>
    </w:p>
    <w:p w:rsidR="00000000" w:rsidRDefault="0018461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FORZOSA</w:t>
      </w:r>
    </w:p>
    <w:p w:rsidR="00000000" w:rsidRDefault="0018461E">
      <w:pPr>
        <w:divId w:val="1144155448"/>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(Reformado por la Disposición Reformatoria Décima Sexta, num. 1 del Código Orgánico Monetario y Financiero; R.O. 332-2S, 12-IX-2014).- El Su</w:t>
      </w:r>
      <w:r>
        <w:rPr>
          <w:rFonts w:eastAsia="Times New Roman"/>
          <w:sz w:val="30"/>
          <w:szCs w:val="30"/>
          <w:lang w:val="es-ES"/>
        </w:rPr>
        <w:t>perintendente de Compañías Valores y Seguros dispondrá la liquidación forzosa, cuando una entidad controlada incurra en una o más de las siguientes causales:</w:t>
      </w:r>
      <w:r>
        <w:rPr>
          <w:rFonts w:eastAsia="Times New Roman"/>
          <w:sz w:val="30"/>
          <w:szCs w:val="30"/>
          <w:lang w:val="es-ES"/>
        </w:rPr>
        <w:br/>
      </w:r>
      <w:r>
        <w:rPr>
          <w:rFonts w:eastAsia="Times New Roman"/>
          <w:sz w:val="30"/>
          <w:szCs w:val="30"/>
          <w:lang w:val="es-ES"/>
        </w:rPr>
        <w:br/>
        <w:t>a) Suspensión de pagos en general;</w:t>
      </w:r>
      <w:r>
        <w:rPr>
          <w:rFonts w:eastAsia="Times New Roman"/>
          <w:sz w:val="30"/>
          <w:szCs w:val="30"/>
          <w:lang w:val="es-ES"/>
        </w:rPr>
        <w:br/>
      </w:r>
      <w:r>
        <w:rPr>
          <w:rFonts w:eastAsia="Times New Roman"/>
          <w:sz w:val="30"/>
          <w:szCs w:val="30"/>
          <w:lang w:val="es-ES"/>
        </w:rPr>
        <w:br/>
        <w:t>b) Incumplimiento del régimen de regularización;</w:t>
      </w:r>
      <w:r>
        <w:rPr>
          <w:rFonts w:eastAsia="Times New Roman"/>
          <w:sz w:val="30"/>
          <w:szCs w:val="30"/>
          <w:lang w:val="es-ES"/>
        </w:rPr>
        <w:br/>
      </w:r>
      <w:r>
        <w:rPr>
          <w:rFonts w:eastAsia="Times New Roman"/>
          <w:sz w:val="30"/>
          <w:szCs w:val="30"/>
          <w:lang w:val="es-ES"/>
        </w:rPr>
        <w:br/>
        <w:t>c) No efect</w:t>
      </w:r>
      <w:r>
        <w:rPr>
          <w:rFonts w:eastAsia="Times New Roman"/>
          <w:sz w:val="30"/>
          <w:szCs w:val="30"/>
          <w:lang w:val="es-ES"/>
        </w:rPr>
        <w:t>uar las remociones impartidas por la Superintendencia de Compañías, Valores y Seguros;</w:t>
      </w:r>
      <w:r>
        <w:rPr>
          <w:rFonts w:eastAsia="Times New Roman"/>
          <w:sz w:val="30"/>
          <w:szCs w:val="30"/>
          <w:lang w:val="es-ES"/>
        </w:rPr>
        <w:br/>
      </w:r>
      <w:r>
        <w:rPr>
          <w:rFonts w:eastAsia="Times New Roman"/>
          <w:sz w:val="30"/>
          <w:szCs w:val="30"/>
          <w:lang w:val="es-ES"/>
        </w:rPr>
        <w:br/>
        <w:t xml:space="preserve">d) Liquidación, disolución, suspensión de pagos o quiebra de la casa matriz de la sucursal de una entidad extranjera establecida en el </w:t>
      </w:r>
      <w:r>
        <w:rPr>
          <w:rFonts w:eastAsia="Times New Roman"/>
          <w:sz w:val="30"/>
          <w:szCs w:val="30"/>
          <w:lang w:val="es-ES"/>
        </w:rPr>
        <w:lastRenderedPageBreak/>
        <w:t>Ecuador;</w:t>
      </w:r>
      <w:r>
        <w:rPr>
          <w:rFonts w:eastAsia="Times New Roman"/>
          <w:sz w:val="30"/>
          <w:szCs w:val="30"/>
          <w:lang w:val="es-ES"/>
        </w:rPr>
        <w:br/>
      </w:r>
      <w:r>
        <w:rPr>
          <w:rFonts w:eastAsia="Times New Roman"/>
          <w:sz w:val="30"/>
          <w:szCs w:val="30"/>
          <w:lang w:val="es-ES"/>
        </w:rPr>
        <w:br/>
        <w:t>e) Vencimiento del plaz</w:t>
      </w:r>
      <w:r>
        <w:rPr>
          <w:rFonts w:eastAsia="Times New Roman"/>
          <w:sz w:val="30"/>
          <w:szCs w:val="30"/>
          <w:lang w:val="es-ES"/>
        </w:rPr>
        <w:t>o de duración de acuerdo a los estatutos;</w:t>
      </w:r>
      <w:r>
        <w:rPr>
          <w:rFonts w:eastAsia="Times New Roman"/>
          <w:sz w:val="30"/>
          <w:szCs w:val="30"/>
          <w:lang w:val="es-ES"/>
        </w:rPr>
        <w:br/>
      </w:r>
      <w:r>
        <w:rPr>
          <w:rFonts w:eastAsia="Times New Roman"/>
          <w:sz w:val="30"/>
          <w:szCs w:val="30"/>
          <w:lang w:val="es-ES"/>
        </w:rPr>
        <w:br/>
        <w:t>f) Si la entidad controlada no hubiese iniciado operaciones dentro de los seis meses siguientes a la fecha en que le fue otorgado el certificado de autorización; y,</w:t>
      </w:r>
      <w:r>
        <w:rPr>
          <w:rFonts w:eastAsia="Times New Roman"/>
          <w:sz w:val="30"/>
          <w:szCs w:val="30"/>
          <w:lang w:val="es-ES"/>
        </w:rPr>
        <w:br/>
      </w:r>
      <w:r>
        <w:rPr>
          <w:rFonts w:eastAsia="Times New Roman"/>
          <w:sz w:val="30"/>
          <w:szCs w:val="30"/>
          <w:lang w:val="es-ES"/>
        </w:rPr>
        <w:br/>
        <w:t>g) Cuando los administradores de la entidad aba</w:t>
      </w:r>
      <w:r>
        <w:rPr>
          <w:rFonts w:eastAsia="Times New Roman"/>
          <w:sz w:val="30"/>
          <w:szCs w:val="30"/>
          <w:lang w:val="es-ES"/>
        </w:rPr>
        <w:t>ndonen sus cargos y no sea posible designar sus reemplazos, dentro de los quince días calendario siguientes.</w:t>
      </w:r>
    </w:p>
    <w:p w:rsidR="00000000" w:rsidRDefault="0018461E">
      <w:pPr>
        <w:divId w:val="922377283"/>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(Reformado por la Disposición Reformatoria Décima Sexta, num. 1 del Código Orgánico Monetario y Financiero; R.O. 332-2S, 12-IX-2014).- En</w:t>
      </w:r>
      <w:r>
        <w:rPr>
          <w:rFonts w:eastAsia="Times New Roman"/>
          <w:sz w:val="30"/>
          <w:szCs w:val="30"/>
          <w:lang w:val="es-ES"/>
        </w:rPr>
        <w:t xml:space="preserve"> la resolución en que el Superintendente de Compañías, Valores y Seguros declare la liquidación forzosa de una de las entidades controladas, dispondrá expresamente lo siguiente:</w:t>
      </w:r>
      <w:r>
        <w:rPr>
          <w:rFonts w:eastAsia="Times New Roman"/>
          <w:sz w:val="30"/>
          <w:szCs w:val="30"/>
          <w:lang w:val="es-ES"/>
        </w:rPr>
        <w:br/>
      </w:r>
      <w:r>
        <w:rPr>
          <w:rFonts w:eastAsia="Times New Roman"/>
          <w:sz w:val="30"/>
          <w:szCs w:val="30"/>
          <w:lang w:val="es-ES"/>
        </w:rPr>
        <w:br/>
        <w:t>a) Que se halla en estado de liquidación forzosa, al hacerlo expresará las ca</w:t>
      </w:r>
      <w:r>
        <w:rPr>
          <w:rFonts w:eastAsia="Times New Roman"/>
          <w:sz w:val="30"/>
          <w:szCs w:val="30"/>
          <w:lang w:val="es-ES"/>
        </w:rPr>
        <w:t>usales y revocará la resolución mediante la cual se autorizó su funcionamiento;</w:t>
      </w:r>
      <w:r>
        <w:rPr>
          <w:rFonts w:eastAsia="Times New Roman"/>
          <w:sz w:val="30"/>
          <w:szCs w:val="30"/>
          <w:lang w:val="es-ES"/>
        </w:rPr>
        <w:br/>
      </w:r>
      <w:r>
        <w:rPr>
          <w:rFonts w:eastAsia="Times New Roman"/>
          <w:sz w:val="30"/>
          <w:szCs w:val="30"/>
          <w:lang w:val="es-ES"/>
        </w:rPr>
        <w:br/>
        <w:t xml:space="preserve">b) Que se hace cargo de la liquidación con las facultades que la ley le confiere y ordenará la prohibición de enajenar los bienes de la entidad, la misma que se inscribirá en </w:t>
      </w:r>
      <w:r>
        <w:rPr>
          <w:rFonts w:eastAsia="Times New Roman"/>
          <w:sz w:val="30"/>
          <w:szCs w:val="30"/>
          <w:lang w:val="es-ES"/>
        </w:rPr>
        <w:t>los respectivos registros de la propiedad y mercantil, dejando sin efecto las prohibiciones y embargos que constaren inscritos, a no ser que los mismos se originen en títulos hipotecarios, en acciones hipotecarias o laborales. En caso de suspenderse la liq</w:t>
      </w:r>
      <w:r>
        <w:rPr>
          <w:rFonts w:eastAsia="Times New Roman"/>
          <w:sz w:val="30"/>
          <w:szCs w:val="30"/>
          <w:lang w:val="es-ES"/>
        </w:rPr>
        <w:t>uidación, recobrarán vigencia las medidas precautelatorias anteriormente registradas;</w:t>
      </w:r>
      <w:r>
        <w:rPr>
          <w:rFonts w:eastAsia="Times New Roman"/>
          <w:sz w:val="30"/>
          <w:szCs w:val="30"/>
          <w:lang w:val="es-ES"/>
        </w:rPr>
        <w:br/>
      </w:r>
      <w:r>
        <w:rPr>
          <w:rFonts w:eastAsia="Times New Roman"/>
          <w:sz w:val="30"/>
          <w:szCs w:val="30"/>
          <w:lang w:val="es-ES"/>
        </w:rPr>
        <w:br/>
        <w:t>c) Que los representantes legales de la entidad cesan en sus funciones y quedan inhabilitados para la administración de los bienes sociales y para contraer nuevas obliga</w:t>
      </w:r>
      <w:r>
        <w:rPr>
          <w:rFonts w:eastAsia="Times New Roman"/>
          <w:sz w:val="30"/>
          <w:szCs w:val="30"/>
          <w:lang w:val="es-ES"/>
        </w:rPr>
        <w:t>ciones;</w:t>
      </w:r>
      <w:r>
        <w:rPr>
          <w:rFonts w:eastAsia="Times New Roman"/>
          <w:sz w:val="30"/>
          <w:szCs w:val="30"/>
          <w:lang w:val="es-ES"/>
        </w:rPr>
        <w:br/>
      </w:r>
      <w:r>
        <w:rPr>
          <w:rFonts w:eastAsia="Times New Roman"/>
          <w:sz w:val="30"/>
          <w:szCs w:val="30"/>
          <w:lang w:val="es-ES"/>
        </w:rPr>
        <w:br/>
        <w:t>d) Que no podrá celebrar nuevos contratos de seguros o de reaseguros, en los que sean aplicables;</w:t>
      </w:r>
      <w:r>
        <w:rPr>
          <w:rFonts w:eastAsia="Times New Roman"/>
          <w:sz w:val="30"/>
          <w:szCs w:val="30"/>
          <w:lang w:val="es-ES"/>
        </w:rPr>
        <w:br/>
      </w:r>
      <w:r>
        <w:rPr>
          <w:rFonts w:eastAsia="Times New Roman"/>
          <w:sz w:val="30"/>
          <w:szCs w:val="30"/>
          <w:lang w:val="es-ES"/>
        </w:rPr>
        <w:br/>
        <w:t>e) Que los deudores de la entidad en liquidación, no podrán hacer pagos ni entregas sino al Superintendente de Compañías, Valores y Seguros o a su d</w:t>
      </w:r>
      <w:r>
        <w:rPr>
          <w:rFonts w:eastAsia="Times New Roman"/>
          <w:sz w:val="30"/>
          <w:szCs w:val="30"/>
          <w:lang w:val="es-ES"/>
        </w:rPr>
        <w:t>elegado, bajo pena de nulidad;</w:t>
      </w:r>
      <w:r>
        <w:rPr>
          <w:rFonts w:eastAsia="Times New Roman"/>
          <w:sz w:val="30"/>
          <w:szCs w:val="30"/>
          <w:lang w:val="es-ES"/>
        </w:rPr>
        <w:br/>
      </w:r>
      <w:r>
        <w:rPr>
          <w:rFonts w:eastAsia="Times New Roman"/>
          <w:sz w:val="30"/>
          <w:szCs w:val="30"/>
          <w:lang w:val="es-ES"/>
        </w:rPr>
        <w:lastRenderedPageBreak/>
        <w:br/>
        <w:t>f) Que no podrá constituirse embargo, secuestro, retención o prohibición de enajenar sobre los bienes de la entidad una vez iniciada la liquidación, y que, los practicados con anterioridad a la liquidación, quedan sin efecto</w:t>
      </w:r>
      <w:r>
        <w:rPr>
          <w:rFonts w:eastAsia="Times New Roman"/>
          <w:sz w:val="30"/>
          <w:szCs w:val="30"/>
          <w:lang w:val="es-ES"/>
        </w:rPr>
        <w:t>, con excepción del embargo y de aquellos sobre los cuales hubiere hipotecas constituidas por dicha entidad a favor de terceros, las que se regirán por lo dispuesto en el Código Civil;</w:t>
      </w:r>
      <w:r>
        <w:rPr>
          <w:rFonts w:eastAsia="Times New Roman"/>
          <w:sz w:val="30"/>
          <w:szCs w:val="30"/>
          <w:lang w:val="es-ES"/>
        </w:rPr>
        <w:br/>
      </w:r>
      <w:r>
        <w:rPr>
          <w:rFonts w:eastAsia="Times New Roman"/>
          <w:sz w:val="30"/>
          <w:szCs w:val="30"/>
          <w:lang w:val="es-ES"/>
        </w:rPr>
        <w:br/>
        <w:t>g) Cuando la liquidación forzosa resultare a consecuencia del incumpli</w:t>
      </w:r>
      <w:r>
        <w:rPr>
          <w:rFonts w:eastAsia="Times New Roman"/>
          <w:sz w:val="30"/>
          <w:szCs w:val="30"/>
          <w:lang w:val="es-ES"/>
        </w:rPr>
        <w:t>miento del artículo 22 de la presente Ley, no se presumirá como acto fraudulento; y,</w:t>
      </w:r>
      <w:r>
        <w:rPr>
          <w:rFonts w:eastAsia="Times New Roman"/>
          <w:sz w:val="30"/>
          <w:szCs w:val="30"/>
          <w:lang w:val="es-ES"/>
        </w:rPr>
        <w:br/>
      </w:r>
      <w:r>
        <w:rPr>
          <w:rFonts w:eastAsia="Times New Roman"/>
          <w:sz w:val="30"/>
          <w:szCs w:val="30"/>
          <w:lang w:val="es-ES"/>
        </w:rPr>
        <w:br/>
        <w:t xml:space="preserve">h) El Superintendente de Compañías, Valores y Seguros dispondrá además que los respectivos jueces remitan a la Superintendencia de Compañías, Valores y Seguros todos los </w:t>
      </w:r>
      <w:r>
        <w:rPr>
          <w:rFonts w:eastAsia="Times New Roman"/>
          <w:sz w:val="30"/>
          <w:szCs w:val="30"/>
          <w:lang w:val="es-ES"/>
        </w:rPr>
        <w:t>juicios que se hallen en trámite contra la entidad en liquidación por obligaciones de dar o de hacer, excepto los seguidos por acción hipotecaria y aquellos en los cuales se haya ejecutado la acción hipotecaria. El Superintendente de Compañías, Valores y S</w:t>
      </w:r>
      <w:r>
        <w:rPr>
          <w:rFonts w:eastAsia="Times New Roman"/>
          <w:sz w:val="30"/>
          <w:szCs w:val="30"/>
          <w:lang w:val="es-ES"/>
        </w:rPr>
        <w:t>eguros tomará los datos necesarios como si se tratare de reclamaciones presentadas y luego los devolverá para su archivo, si aceptare la reclamación, o los devolverá para que continúe su trámite, si la rechazare.</w:t>
      </w:r>
    </w:p>
    <w:p w:rsidR="00000000" w:rsidRDefault="0018461E">
      <w:pPr>
        <w:divId w:val="564536642"/>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(Reformado por la Disposición Ref</w:t>
      </w:r>
      <w:r>
        <w:rPr>
          <w:rFonts w:eastAsia="Times New Roman"/>
          <w:sz w:val="30"/>
          <w:szCs w:val="30"/>
          <w:lang w:val="es-ES"/>
        </w:rPr>
        <w:t xml:space="preserve">ormatoria Décima Sexta, num. 1 del Código Orgánico Monetario y Financiero; R.O. 332-2S, 12-IX-2014).- Cuando una entidad controlada sea declarada en estado de liquidación forzosa, se presumirá que es a consecuencia de actos fraudulentos ejecutados por los </w:t>
      </w:r>
      <w:r>
        <w:rPr>
          <w:rFonts w:eastAsia="Times New Roman"/>
          <w:sz w:val="30"/>
          <w:szCs w:val="30"/>
          <w:lang w:val="es-ES"/>
        </w:rPr>
        <w:t>administradores, si existiere indicios, antecedentes o circunstancias graves, precisas y concordantes que permitan suponerlo, especialmente en los casos siguientes:</w:t>
      </w:r>
      <w:r>
        <w:rPr>
          <w:rFonts w:eastAsia="Times New Roman"/>
          <w:sz w:val="30"/>
          <w:szCs w:val="30"/>
          <w:lang w:val="es-ES"/>
        </w:rPr>
        <w:br/>
      </w:r>
      <w:r>
        <w:rPr>
          <w:rFonts w:eastAsia="Times New Roman"/>
          <w:sz w:val="30"/>
          <w:szCs w:val="30"/>
          <w:lang w:val="es-ES"/>
        </w:rPr>
        <w:br/>
        <w:t>a) Si hubiere reconocido obligaciones inexistentes o indebidas;</w:t>
      </w:r>
      <w:r>
        <w:rPr>
          <w:rFonts w:eastAsia="Times New Roman"/>
          <w:sz w:val="30"/>
          <w:szCs w:val="30"/>
          <w:lang w:val="es-ES"/>
        </w:rPr>
        <w:br/>
      </w:r>
      <w:r>
        <w:rPr>
          <w:rFonts w:eastAsia="Times New Roman"/>
          <w:sz w:val="30"/>
          <w:szCs w:val="30"/>
          <w:lang w:val="es-ES"/>
        </w:rPr>
        <w:br/>
        <w:t>b) Si hubiere simulado en</w:t>
      </w:r>
      <w:r>
        <w:rPr>
          <w:rFonts w:eastAsia="Times New Roman"/>
          <w:sz w:val="30"/>
          <w:szCs w:val="30"/>
          <w:lang w:val="es-ES"/>
        </w:rPr>
        <w:t>ajenaciones o gravámenes, en perjuicio de sus accionistas o de sus acreedores;</w:t>
      </w:r>
      <w:r>
        <w:rPr>
          <w:rFonts w:eastAsia="Times New Roman"/>
          <w:sz w:val="30"/>
          <w:szCs w:val="30"/>
          <w:lang w:val="es-ES"/>
        </w:rPr>
        <w:br/>
      </w:r>
      <w:r>
        <w:rPr>
          <w:rFonts w:eastAsia="Times New Roman"/>
          <w:sz w:val="30"/>
          <w:szCs w:val="30"/>
          <w:lang w:val="es-ES"/>
        </w:rPr>
        <w:br/>
        <w:t>c) Si dentro de los sesenta días anteriores a la fecha de declaración del estado de liquidación forzosa, hubiere pagado a un acreedor antes del vencimiento de la obligación;</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xml:space="preserve">) Si hubiere comprometido o dispuesto los bienes recibidos en </w:t>
      </w:r>
      <w:r>
        <w:rPr>
          <w:rFonts w:eastAsia="Times New Roman"/>
          <w:sz w:val="30"/>
          <w:szCs w:val="30"/>
          <w:lang w:val="es-ES"/>
        </w:rPr>
        <w:lastRenderedPageBreak/>
        <w:t>garantía o custodia;</w:t>
      </w:r>
      <w:r>
        <w:rPr>
          <w:rFonts w:eastAsia="Times New Roman"/>
          <w:sz w:val="30"/>
          <w:szCs w:val="30"/>
          <w:lang w:val="es-ES"/>
        </w:rPr>
        <w:br/>
      </w:r>
      <w:r>
        <w:rPr>
          <w:rFonts w:eastAsia="Times New Roman"/>
          <w:sz w:val="30"/>
          <w:szCs w:val="30"/>
          <w:lang w:val="es-ES"/>
        </w:rPr>
        <w:br/>
        <w:t>e) Si hubiere ocultado, alterado, falsificado o inutilizado los libros, registros y archivos de la entidad;</w:t>
      </w:r>
      <w:r>
        <w:rPr>
          <w:rFonts w:eastAsia="Times New Roman"/>
          <w:sz w:val="30"/>
          <w:szCs w:val="30"/>
          <w:lang w:val="es-ES"/>
        </w:rPr>
        <w:br/>
      </w:r>
      <w:r>
        <w:rPr>
          <w:rFonts w:eastAsia="Times New Roman"/>
          <w:sz w:val="30"/>
          <w:szCs w:val="30"/>
          <w:lang w:val="es-ES"/>
        </w:rPr>
        <w:br/>
        <w:t xml:space="preserve">f) Si hubiere vendido bienes de su activo a precios inferiores </w:t>
      </w:r>
      <w:r>
        <w:rPr>
          <w:rFonts w:eastAsia="Times New Roman"/>
          <w:sz w:val="30"/>
          <w:szCs w:val="30"/>
          <w:lang w:val="es-ES"/>
        </w:rPr>
        <w:t>al de mercado, o empleado otros arbitrios ilegítimos para proveerse de fondos; y,</w:t>
      </w:r>
      <w:r>
        <w:rPr>
          <w:rFonts w:eastAsia="Times New Roman"/>
          <w:sz w:val="30"/>
          <w:szCs w:val="30"/>
          <w:lang w:val="es-ES"/>
        </w:rPr>
        <w:br/>
      </w:r>
      <w:r>
        <w:rPr>
          <w:rFonts w:eastAsia="Times New Roman"/>
          <w:sz w:val="30"/>
          <w:szCs w:val="30"/>
          <w:lang w:val="es-ES"/>
        </w:rPr>
        <w:br/>
        <w:t>g) Si en general, hubiere ejecutado dolosamente operaciones dirigidas a disminuir los activos o a incrementar los pasivos de la entidad.</w:t>
      </w:r>
      <w:r>
        <w:rPr>
          <w:rFonts w:eastAsia="Times New Roman"/>
          <w:sz w:val="30"/>
          <w:szCs w:val="30"/>
          <w:lang w:val="es-ES"/>
        </w:rPr>
        <w:br/>
      </w:r>
      <w:r>
        <w:rPr>
          <w:rFonts w:eastAsia="Times New Roman"/>
          <w:sz w:val="30"/>
          <w:szCs w:val="30"/>
          <w:lang w:val="es-ES"/>
        </w:rPr>
        <w:br/>
        <w:t>El Superintendente de Compañías, Va</w:t>
      </w:r>
      <w:r>
        <w:rPr>
          <w:rFonts w:eastAsia="Times New Roman"/>
          <w:sz w:val="30"/>
          <w:szCs w:val="30"/>
          <w:lang w:val="es-ES"/>
        </w:rPr>
        <w:t>lores y Seguros, dependiendo de la gravedad de los actos, denunciará el hecho ante el fiscal o la policía judicial, y acompañará a la denuncia cualquier informe o documento que sirva de base para sustentar las presunciones.</w:t>
      </w:r>
    </w:p>
    <w:p w:rsidR="00000000" w:rsidRDefault="0018461E">
      <w:pPr>
        <w:divId w:val="1959989441"/>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(Reformado por la Disp</w:t>
      </w:r>
      <w:r>
        <w:rPr>
          <w:rFonts w:eastAsia="Times New Roman"/>
          <w:sz w:val="30"/>
          <w:szCs w:val="30"/>
          <w:lang w:val="es-ES"/>
        </w:rPr>
        <w:t>osición Reformatoria Décima Sexta, num. 1 del Código Orgánico Monetario y Financiero; R.O. 332-2S, 12-IX-2014).- Para los efectos de los literales f) y g) del artículo 56 de esta Ley, será nulo el embargo o secuestro, retención o prohibición de enajenar qu</w:t>
      </w:r>
      <w:r>
        <w:rPr>
          <w:rFonts w:eastAsia="Times New Roman"/>
          <w:sz w:val="30"/>
          <w:szCs w:val="30"/>
          <w:lang w:val="es-ES"/>
        </w:rPr>
        <w:t>e se decrete durante el proceso de liquidación y el juez de la causa procederá a cancelarlo tan pronto como lo pida el Superintendente de Compañías, Valores y Seguros o su delegado.</w:t>
      </w:r>
    </w:p>
    <w:p w:rsidR="00000000" w:rsidRDefault="0018461E">
      <w:pPr>
        <w:divId w:val="1249194431"/>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(Reformado por la Disposición Reformatoria Décima Sexta, num. 1 </w:t>
      </w:r>
      <w:r>
        <w:rPr>
          <w:rFonts w:eastAsia="Times New Roman"/>
          <w:sz w:val="30"/>
          <w:szCs w:val="30"/>
          <w:lang w:val="es-ES"/>
        </w:rPr>
        <w:t>del Código Orgánico Monetario y Financiero; R.O. 332-2S, 12-IX-2014).- El Superintendente de Compañías, Valores y Seguros representará judicial y extrajudicialmente a la entidad en proceso de liquidación forzosa; nombrará y removerá empleados; otorgará y r</w:t>
      </w:r>
      <w:r>
        <w:rPr>
          <w:rFonts w:eastAsia="Times New Roman"/>
          <w:sz w:val="30"/>
          <w:szCs w:val="30"/>
          <w:lang w:val="es-ES"/>
        </w:rPr>
        <w:t>evocará mandatos; aceptará o negará a nombre de la entidad en liquidación, las reclamaciones que le fueren presentadas; realizará los bienes que formen el activo de la liquidación; y, en general, llevará a efecto cualquier operación o transacción con las m</w:t>
      </w:r>
      <w:r>
        <w:rPr>
          <w:rFonts w:eastAsia="Times New Roman"/>
          <w:sz w:val="30"/>
          <w:szCs w:val="30"/>
          <w:lang w:val="es-ES"/>
        </w:rPr>
        <w:t>ás amplias facultades.</w:t>
      </w:r>
      <w:r>
        <w:rPr>
          <w:rFonts w:eastAsia="Times New Roman"/>
          <w:sz w:val="30"/>
          <w:szCs w:val="30"/>
          <w:lang w:val="es-ES"/>
        </w:rPr>
        <w:br/>
      </w:r>
      <w:r>
        <w:rPr>
          <w:rFonts w:eastAsia="Times New Roman"/>
          <w:sz w:val="30"/>
          <w:szCs w:val="30"/>
          <w:lang w:val="es-ES"/>
        </w:rPr>
        <w:br/>
        <w:t>El Superintendente de Compañías, Valores y Seguros podrá nombrar un liquidador para que lo represente en la liquidación, delegando las atribuciones que le confiere la ley.</w:t>
      </w:r>
      <w:r>
        <w:rPr>
          <w:rFonts w:eastAsia="Times New Roman"/>
          <w:sz w:val="30"/>
          <w:szCs w:val="30"/>
          <w:lang w:val="es-ES"/>
        </w:rPr>
        <w:br/>
      </w:r>
      <w:r>
        <w:rPr>
          <w:rFonts w:eastAsia="Times New Roman"/>
          <w:sz w:val="30"/>
          <w:szCs w:val="30"/>
          <w:lang w:val="es-ES"/>
        </w:rPr>
        <w:br/>
        <w:t>El Superintendente de Compañías, Valores y Seguros pagará t</w:t>
      </w:r>
      <w:r>
        <w:rPr>
          <w:rFonts w:eastAsia="Times New Roman"/>
          <w:sz w:val="30"/>
          <w:szCs w:val="30"/>
          <w:lang w:val="es-ES"/>
        </w:rPr>
        <w:t xml:space="preserve">odos los gastos de la liquidación, incluyendo honorarios de asesores y </w:t>
      </w:r>
      <w:r>
        <w:rPr>
          <w:rFonts w:eastAsia="Times New Roman"/>
          <w:sz w:val="30"/>
          <w:szCs w:val="30"/>
          <w:lang w:val="es-ES"/>
        </w:rPr>
        <w:lastRenderedPageBreak/>
        <w:t>asistentes, con los fondos que de ella disponga, excepto en los casos que sean funcionarios de la Superintendencia de Compañías, Valores y Seguros.</w:t>
      </w:r>
    </w:p>
    <w:p w:rsidR="00000000" w:rsidRDefault="0018461E">
      <w:pPr>
        <w:divId w:val="2135370621"/>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(Reformado por la Disposici</w:t>
      </w:r>
      <w:r>
        <w:rPr>
          <w:rFonts w:eastAsia="Times New Roman"/>
          <w:sz w:val="30"/>
          <w:szCs w:val="30"/>
          <w:lang w:val="es-ES"/>
        </w:rPr>
        <w:t xml:space="preserve">ón Reformatoria Décima Sexta, num. 1; y, reformado por la Disposición Reformatoria Décima Sexta, num. 18 del Código Orgánico Monetario y Financiero; R.O. 332-2S, 12-IX-2014).- Al iniciar la liquidación forzosa de una entidad controlada, el Superintendente </w:t>
      </w:r>
      <w:r>
        <w:rPr>
          <w:rFonts w:eastAsia="Times New Roman"/>
          <w:sz w:val="30"/>
          <w:szCs w:val="30"/>
          <w:lang w:val="es-ES"/>
        </w:rPr>
        <w:t>deCompañías, Valores y Seguros o el liquidador estará obligado a:</w:t>
      </w:r>
      <w:r>
        <w:rPr>
          <w:rFonts w:eastAsia="Times New Roman"/>
          <w:sz w:val="30"/>
          <w:szCs w:val="30"/>
          <w:lang w:val="es-ES"/>
        </w:rPr>
        <w:br/>
      </w:r>
      <w:r>
        <w:rPr>
          <w:rFonts w:eastAsia="Times New Roman"/>
          <w:sz w:val="30"/>
          <w:szCs w:val="30"/>
          <w:lang w:val="es-ES"/>
        </w:rPr>
        <w:br/>
        <w:t>1. Elaborar los estados financieros y el inventario de todos los activos y pasivos de la entidad a la fecha de la liquidación;</w:t>
      </w:r>
      <w:r>
        <w:rPr>
          <w:rFonts w:eastAsia="Times New Roman"/>
          <w:sz w:val="30"/>
          <w:szCs w:val="30"/>
          <w:lang w:val="es-ES"/>
        </w:rPr>
        <w:br/>
      </w:r>
      <w:r>
        <w:rPr>
          <w:rFonts w:eastAsia="Times New Roman"/>
          <w:sz w:val="30"/>
          <w:szCs w:val="30"/>
          <w:lang w:val="es-ES"/>
        </w:rPr>
        <w:br/>
        <w:t>2. Devolver a los interesados, previa la respectiva comprobac</w:t>
      </w:r>
      <w:r>
        <w:rPr>
          <w:rFonts w:eastAsia="Times New Roman"/>
          <w:sz w:val="30"/>
          <w:szCs w:val="30"/>
          <w:lang w:val="es-ES"/>
        </w:rPr>
        <w:t>ión, los valores y demás bienes que hayan dejado en custodia. Los bienes entregados en administración o cualquier otro tipo de tenencia serán devueltos previo saneamiento de las eventuales obligaciones que hubieren existido a favor de la compañía al tiempo</w:t>
      </w:r>
      <w:r>
        <w:rPr>
          <w:rFonts w:eastAsia="Times New Roman"/>
          <w:sz w:val="30"/>
          <w:szCs w:val="30"/>
          <w:lang w:val="es-ES"/>
        </w:rPr>
        <w:t xml:space="preserve"> de la liquidación; y,</w:t>
      </w:r>
      <w:r>
        <w:rPr>
          <w:rFonts w:eastAsia="Times New Roman"/>
          <w:sz w:val="30"/>
          <w:szCs w:val="30"/>
          <w:lang w:val="es-ES"/>
        </w:rPr>
        <w:br/>
      </w:r>
      <w:r>
        <w:rPr>
          <w:rFonts w:eastAsia="Times New Roman"/>
          <w:sz w:val="30"/>
          <w:szCs w:val="30"/>
          <w:lang w:val="es-ES"/>
        </w:rPr>
        <w:br/>
        <w:t>3. Notificar a las personas que puedan tener reclamaciones contra la entidad en proceso de liquidación, para que presenten la prueba de sus créditos y señalen domicilio, en el plazo de sesenta días a partir de la notificación, la qu</w:t>
      </w:r>
      <w:r>
        <w:rPr>
          <w:rFonts w:eastAsia="Times New Roman"/>
          <w:sz w:val="30"/>
          <w:szCs w:val="30"/>
          <w:lang w:val="es-ES"/>
        </w:rPr>
        <w:t>e se hará mediante tres publicaciones en un periódico de circulación nacional, entre las cuales deberá mediar al menos diez días.</w:t>
      </w:r>
      <w:r>
        <w:rPr>
          <w:rFonts w:eastAsia="Times New Roman"/>
          <w:sz w:val="30"/>
          <w:szCs w:val="30"/>
          <w:lang w:val="es-ES"/>
        </w:rPr>
        <w:br/>
      </w:r>
      <w:r>
        <w:rPr>
          <w:rFonts w:eastAsia="Times New Roman"/>
          <w:sz w:val="30"/>
          <w:szCs w:val="30"/>
          <w:lang w:val="es-ES"/>
        </w:rPr>
        <w:br/>
        <w:t>Los reclamos presentados luego del plazo señalado se sustentarán ante la justicia ordinaria en juicio verbal sumario.</w:t>
      </w:r>
      <w:r>
        <w:rPr>
          <w:rFonts w:eastAsia="Times New Roman"/>
          <w:sz w:val="30"/>
          <w:szCs w:val="30"/>
          <w:lang w:val="es-ES"/>
        </w:rPr>
        <w:br/>
      </w:r>
      <w:r>
        <w:rPr>
          <w:rFonts w:eastAsia="Times New Roman"/>
          <w:sz w:val="30"/>
          <w:szCs w:val="30"/>
          <w:lang w:val="es-ES"/>
        </w:rPr>
        <w:br/>
        <w:t>En vir</w:t>
      </w:r>
      <w:r>
        <w:rPr>
          <w:rFonts w:eastAsia="Times New Roman"/>
          <w:sz w:val="30"/>
          <w:szCs w:val="30"/>
          <w:lang w:val="es-ES"/>
        </w:rPr>
        <w:t>tud del estado de liquidación, son exigibles las obligaciones de plazo no vencido que haya contraído la entidad y desde ese momento ninguna de las obligaciones devengará intereses de cualquier clase.</w:t>
      </w:r>
      <w:r>
        <w:rPr>
          <w:rFonts w:eastAsia="Times New Roman"/>
          <w:sz w:val="30"/>
          <w:szCs w:val="30"/>
          <w:lang w:val="es-ES"/>
        </w:rPr>
        <w:br/>
      </w:r>
      <w:r>
        <w:rPr>
          <w:rFonts w:eastAsia="Times New Roman"/>
          <w:sz w:val="30"/>
          <w:szCs w:val="30"/>
          <w:lang w:val="es-ES"/>
        </w:rPr>
        <w:br/>
        <w:t>Una vez vencido el plazo señalado en el numeral tercero</w:t>
      </w:r>
      <w:r>
        <w:rPr>
          <w:rFonts w:eastAsia="Times New Roman"/>
          <w:sz w:val="30"/>
          <w:szCs w:val="30"/>
          <w:lang w:val="es-ES"/>
        </w:rPr>
        <w:t>, el Superintendente de Bancos y Seguros o el liquidador formulará una lista completa de todas las reclamaciones presentadas, especificando el número de orden, la fecha, el nombre del reclamante, su domicilio, el concepto y el importe de cada una de ellas.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Superintendente de Bancos y Seguros o el liquidador notificará por escrito a los interesados la aceptación o rechazo de sus reclamaciones.</w:t>
      </w:r>
      <w:r>
        <w:rPr>
          <w:rFonts w:eastAsia="Times New Roman"/>
          <w:sz w:val="30"/>
          <w:szCs w:val="30"/>
          <w:lang w:val="es-ES"/>
        </w:rPr>
        <w:br/>
      </w:r>
      <w:r>
        <w:rPr>
          <w:rFonts w:eastAsia="Times New Roman"/>
          <w:sz w:val="30"/>
          <w:szCs w:val="30"/>
          <w:lang w:val="es-ES"/>
        </w:rPr>
        <w:br/>
        <w:t>Los interesados cuyas reclamaciones hubieren sido rechazadas y no hubieren demandado a la entidad en liquidació</w:t>
      </w:r>
      <w:r>
        <w:rPr>
          <w:rFonts w:eastAsia="Times New Roman"/>
          <w:sz w:val="30"/>
          <w:szCs w:val="30"/>
          <w:lang w:val="es-ES"/>
        </w:rPr>
        <w:t>n, previamente a la declaratoria de la liquidación, podrán demandar el reconocimiento judicial de sus derechos, dentro del plazo de treinta días, a partir de la fecha de notificación del rechazo. La demanda se circunscribirá a la reclamación originaria y e</w:t>
      </w:r>
      <w:r>
        <w:rPr>
          <w:rFonts w:eastAsia="Times New Roman"/>
          <w:sz w:val="30"/>
          <w:szCs w:val="30"/>
          <w:lang w:val="es-ES"/>
        </w:rPr>
        <w:t>n la ejecución de la sentencia el actor no tendrá mayor participación que la de los demás reclamantes.</w:t>
      </w:r>
      <w:r>
        <w:rPr>
          <w:rFonts w:eastAsia="Times New Roman"/>
          <w:sz w:val="30"/>
          <w:szCs w:val="30"/>
          <w:lang w:val="es-ES"/>
        </w:rPr>
        <w:br/>
      </w:r>
      <w:r>
        <w:rPr>
          <w:rFonts w:eastAsia="Times New Roman"/>
          <w:sz w:val="30"/>
          <w:szCs w:val="30"/>
          <w:lang w:val="es-ES"/>
        </w:rPr>
        <w:br/>
        <w:t>A partir de la liquidación, se consideran de plazo vencido y son exigibles las operaciones activas con personas vinculadas a la entidad, sin necesidad d</w:t>
      </w:r>
      <w:r>
        <w:rPr>
          <w:rFonts w:eastAsia="Times New Roman"/>
          <w:sz w:val="30"/>
          <w:szCs w:val="30"/>
          <w:lang w:val="es-ES"/>
        </w:rPr>
        <w:t>e requerimiento. En caso de falta de pago, el liquidador cobrará la obligación mediante coactiva, pudiendo sujetarse a los principios y procedimientos de la Ley de Defensa de los Derechos Laborales.</w:t>
      </w:r>
      <w:r>
        <w:rPr>
          <w:rFonts w:eastAsia="Times New Roman"/>
          <w:sz w:val="30"/>
          <w:szCs w:val="30"/>
          <w:lang w:val="es-ES"/>
        </w:rPr>
        <w:br/>
      </w:r>
      <w:r>
        <w:rPr>
          <w:rFonts w:eastAsia="Times New Roman"/>
          <w:sz w:val="30"/>
          <w:szCs w:val="30"/>
          <w:lang w:val="es-ES"/>
        </w:rPr>
        <w:br/>
        <w:t>En relación a las operaciones pasivas vinculadas, no ser</w:t>
      </w:r>
      <w:r>
        <w:rPr>
          <w:rFonts w:eastAsia="Times New Roman"/>
          <w:sz w:val="30"/>
          <w:szCs w:val="30"/>
          <w:lang w:val="es-ES"/>
        </w:rPr>
        <w:t>án exigibles sino luego de pagados todos los demás acreedores, determinados en el artículo 62. Será ineficaz toda decisión administrativa o judicial que vulnere este principio.</w:t>
      </w:r>
    </w:p>
    <w:p w:rsidR="00000000" w:rsidRDefault="0018461E">
      <w:pPr>
        <w:divId w:val="2069566652"/>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Los recursos que se interpongan ante el Tribunal Distrital de lo Cont</w:t>
      </w:r>
      <w:r>
        <w:rPr>
          <w:rFonts w:eastAsia="Times New Roman"/>
          <w:sz w:val="30"/>
          <w:szCs w:val="30"/>
          <w:lang w:val="es-ES"/>
        </w:rPr>
        <w:t xml:space="preserve">encioso Administrativo, no interrumpirán la ejecución o cumplimiento de la resolución administrativa de la que se recurre, ni restará competencia a la autoridad de control para continuar actuando conforme a derecho. Estos recursos sólo podrán interponerse </w:t>
      </w:r>
      <w:r>
        <w:rPr>
          <w:rFonts w:eastAsia="Times New Roman"/>
          <w:sz w:val="30"/>
          <w:szCs w:val="30"/>
          <w:lang w:val="es-ES"/>
        </w:rPr>
        <w:t>dentro de los sesenta días contados a partir de la fecha de expedición de la resolución de liquidación.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Código Orgánico de la Función Judicial (R.O. 544-S, 9-III-2009) modificó la estructura orgánica de la Función Judicial, transfiriendo las comp</w:t>
      </w:r>
      <w:r>
        <w:rPr>
          <w:rFonts w:eastAsia="Times New Roman"/>
          <w:i/>
          <w:iCs/>
          <w:sz w:val="30"/>
          <w:szCs w:val="30"/>
          <w:lang w:val="es-ES"/>
        </w:rPr>
        <w:t>etencias de los tribunales distritales de lo contencioso administrativo a las salas de lo contencioso administrativo de las Cortes Provinciales, sin embargo, éstos seguirán en funciones hasta que el Consejo de la Judicatura integre las salas.</w:t>
      </w:r>
    </w:p>
    <w:p w:rsidR="00000000" w:rsidRDefault="0018461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r>
      <w:r>
        <w:rPr>
          <w:rFonts w:eastAsia="Times New Roman"/>
          <w:b/>
          <w:bCs/>
          <w:sz w:val="36"/>
          <w:szCs w:val="36"/>
          <w:lang w:val="es-ES"/>
        </w:rPr>
        <w:lastRenderedPageBreak/>
        <w:t>DISPOSICIONES COMUNES A LAS LIQUIDACIONES VOLUNTARIAS Y FORZOSAS</w:t>
      </w:r>
    </w:p>
    <w:p w:rsidR="00000000" w:rsidRDefault="0018461E">
      <w:pPr>
        <w:divId w:val="1889410223"/>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w:t>
      </w:r>
      <w:r>
        <w:rPr>
          <w:rFonts w:eastAsia="Times New Roman"/>
          <w:sz w:val="30"/>
          <w:szCs w:val="30"/>
          <w:lang w:val="es-ES"/>
        </w:rPr>
        <w:t>(Reformado por la Disposición Reformatoria Décima Sexta, num. 1; y, sustituido por la Disposición Reformatoria Décima Sexta, num. 22 del Código Orgánico Monetario y Financiero; R.O. 332-2S, 12-IX-2014).- En toda liquidación los pagos se sujetarán al siguie</w:t>
      </w:r>
      <w:r>
        <w:rPr>
          <w:rFonts w:eastAsia="Times New Roman"/>
          <w:sz w:val="30"/>
          <w:szCs w:val="30"/>
          <w:lang w:val="es-ES"/>
        </w:rPr>
        <w:t>nte orden de preferencia:</w:t>
      </w:r>
      <w:r>
        <w:rPr>
          <w:rFonts w:eastAsia="Times New Roman"/>
          <w:sz w:val="30"/>
          <w:szCs w:val="30"/>
          <w:lang w:val="es-ES"/>
        </w:rPr>
        <w:br/>
      </w:r>
      <w:r>
        <w:rPr>
          <w:rFonts w:eastAsia="Times New Roman"/>
          <w:sz w:val="30"/>
          <w:szCs w:val="30"/>
          <w:lang w:val="es-ES"/>
        </w:rPr>
        <w:br/>
        <w:t>1. Las deudas provenientes de vencimientos, siniestros y valores de rescate en el ramo de vida, de conformidad con las respectivas pólizas y costas judiciales;</w:t>
      </w:r>
      <w:r>
        <w:rPr>
          <w:rFonts w:eastAsia="Times New Roman"/>
          <w:sz w:val="30"/>
          <w:szCs w:val="30"/>
          <w:lang w:val="es-ES"/>
        </w:rPr>
        <w:br/>
      </w:r>
      <w:r>
        <w:rPr>
          <w:rFonts w:eastAsia="Times New Roman"/>
          <w:sz w:val="30"/>
          <w:szCs w:val="30"/>
          <w:lang w:val="es-ES"/>
        </w:rPr>
        <w:br/>
        <w:t>2. Las obligaciones por siniestros en ramos generales, se considerar</w:t>
      </w:r>
      <w:r>
        <w:rPr>
          <w:rFonts w:eastAsia="Times New Roman"/>
          <w:sz w:val="30"/>
          <w:szCs w:val="30"/>
          <w:lang w:val="es-ES"/>
        </w:rPr>
        <w:t>án privilegiadas sobre todos los créditos y obligaciones comunes. Esta prelación no afecta a los derechos de los acreedores prendarios sobre los bienes empeñados. El Superintendente de Compañías, Seguros y Valores aplicará las disposiciones que al respecto</w:t>
      </w:r>
      <w:r>
        <w:rPr>
          <w:rFonts w:eastAsia="Times New Roman"/>
          <w:sz w:val="30"/>
          <w:szCs w:val="30"/>
          <w:lang w:val="es-ES"/>
        </w:rPr>
        <w:t xml:space="preserve"> contiene el Código de Procedimiento Civil;</w:t>
      </w:r>
      <w:r>
        <w:rPr>
          <w:rFonts w:eastAsia="Times New Roman"/>
          <w:sz w:val="30"/>
          <w:szCs w:val="30"/>
          <w:lang w:val="es-ES"/>
        </w:rPr>
        <w:br/>
      </w:r>
      <w:r>
        <w:rPr>
          <w:rFonts w:eastAsia="Times New Roman"/>
          <w:sz w:val="30"/>
          <w:szCs w:val="30"/>
          <w:lang w:val="es-ES"/>
        </w:rPr>
        <w:br/>
        <w:t xml:space="preserve">3. Los valores que se adeuden a los trabajadores por salarios, sueldos, indemnizaciones, fondos de reserva y pensiones jubilares con cargo al empleador, hasta por el monto de las liquidaciones que se practiquen </w:t>
      </w:r>
      <w:r>
        <w:rPr>
          <w:rFonts w:eastAsia="Times New Roman"/>
          <w:sz w:val="30"/>
          <w:szCs w:val="30"/>
          <w:lang w:val="es-ES"/>
        </w:rPr>
        <w:t xml:space="preserve">en los términos del Código del Trabajo, y las obligaciones para con el Instituto Ecuatoriano de Seguridad Social derivadas de las relaciones laborales; </w:t>
      </w:r>
      <w:r>
        <w:rPr>
          <w:rFonts w:eastAsia="Times New Roman"/>
          <w:sz w:val="30"/>
          <w:szCs w:val="30"/>
          <w:lang w:val="es-ES"/>
        </w:rPr>
        <w:br/>
      </w:r>
      <w:r>
        <w:rPr>
          <w:rFonts w:eastAsia="Times New Roman"/>
          <w:sz w:val="30"/>
          <w:szCs w:val="30"/>
          <w:lang w:val="es-ES"/>
        </w:rPr>
        <w:br/>
        <w:t>4. Los valores pagados por la Corporación del Seguro de Depósitos, Fondeo de Liquidez y Fondo del Segu</w:t>
      </w:r>
      <w:r>
        <w:rPr>
          <w:rFonts w:eastAsia="Times New Roman"/>
          <w:sz w:val="30"/>
          <w:szCs w:val="30"/>
          <w:lang w:val="es-ES"/>
        </w:rPr>
        <w:t>ro Privado; y,</w:t>
      </w:r>
      <w:r>
        <w:rPr>
          <w:rFonts w:eastAsia="Times New Roman"/>
          <w:sz w:val="30"/>
          <w:szCs w:val="30"/>
          <w:lang w:val="es-ES"/>
        </w:rPr>
        <w:br/>
      </w:r>
      <w:r>
        <w:rPr>
          <w:rFonts w:eastAsia="Times New Roman"/>
          <w:sz w:val="30"/>
          <w:szCs w:val="30"/>
          <w:lang w:val="es-ES"/>
        </w:rPr>
        <w:br/>
        <w:t>5. Los impuestos y contribuciones.</w:t>
      </w:r>
      <w:r>
        <w:rPr>
          <w:rFonts w:eastAsia="Times New Roman"/>
          <w:sz w:val="30"/>
          <w:szCs w:val="30"/>
          <w:lang w:val="es-ES"/>
        </w:rPr>
        <w:br/>
      </w:r>
      <w:r>
        <w:rPr>
          <w:rFonts w:eastAsia="Times New Roman"/>
          <w:sz w:val="30"/>
          <w:szCs w:val="30"/>
          <w:lang w:val="es-ES"/>
        </w:rPr>
        <w:br/>
        <w:t>Luego se atenderán los otros créditos de acuerdo al orden y forma determinados en el Código Civil, en cuanto fueren pertinentes.</w:t>
      </w:r>
      <w:r>
        <w:rPr>
          <w:rFonts w:eastAsia="Times New Roman"/>
          <w:sz w:val="30"/>
          <w:szCs w:val="30"/>
          <w:lang w:val="es-ES"/>
        </w:rPr>
        <w:br/>
      </w:r>
      <w:r>
        <w:rPr>
          <w:rFonts w:eastAsia="Times New Roman"/>
          <w:sz w:val="30"/>
          <w:szCs w:val="30"/>
          <w:lang w:val="es-ES"/>
        </w:rPr>
        <w:br/>
        <w:t>El Superintendente de Compañías, Valores y Seguros podrá ordenar pagos par</w:t>
      </w:r>
      <w:r>
        <w:rPr>
          <w:rFonts w:eastAsia="Times New Roman"/>
          <w:sz w:val="30"/>
          <w:szCs w:val="30"/>
          <w:lang w:val="es-ES"/>
        </w:rPr>
        <w:t>ciales, de acuerdo con los fondos de que disponga la liquidación.</w:t>
      </w:r>
    </w:p>
    <w:p w:rsidR="00000000" w:rsidRDefault="0018461E">
      <w:pPr>
        <w:divId w:val="1815948790"/>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(Reformado por la Disposición Reformatoria Décima Sexta, num. 1 del Código Orgánico Monetario y Financiero; R.O. 332-2S, 12-IX-2014).- Al principio de una liquidación y al final de</w:t>
      </w:r>
      <w:r>
        <w:rPr>
          <w:rFonts w:eastAsia="Times New Roman"/>
          <w:sz w:val="30"/>
          <w:szCs w:val="30"/>
          <w:lang w:val="es-ES"/>
        </w:rPr>
        <w:t xml:space="preserve"> cada </w:t>
      </w:r>
      <w:r>
        <w:rPr>
          <w:rFonts w:eastAsia="Times New Roman"/>
          <w:sz w:val="30"/>
          <w:szCs w:val="30"/>
          <w:lang w:val="es-ES"/>
        </w:rPr>
        <w:lastRenderedPageBreak/>
        <w:t>trimestre o con la frecuencia que el Superintendente de Compañías, Valores y Seguros indique se calcularán las reservas correspondientes a los riesgos en vigor, las cuales figurarán en el pasivo de los balances.</w:t>
      </w:r>
    </w:p>
    <w:p w:rsidR="00000000" w:rsidRDefault="0018461E">
      <w:pPr>
        <w:divId w:val="1558399118"/>
        <w:rPr>
          <w:rFonts w:eastAsia="Times New Roman"/>
          <w:sz w:val="30"/>
          <w:szCs w:val="30"/>
          <w:lang w:val="es-ES"/>
        </w:rPr>
      </w:pPr>
      <w:r>
        <w:rPr>
          <w:rFonts w:eastAsia="Times New Roman"/>
          <w:b/>
          <w:bCs/>
          <w:sz w:val="30"/>
          <w:szCs w:val="30"/>
          <w:lang w:val="es-ES"/>
        </w:rPr>
        <w:t xml:space="preserve">Art. 64.- </w:t>
      </w:r>
      <w:r>
        <w:rPr>
          <w:rFonts w:eastAsia="Times New Roman"/>
          <w:sz w:val="30"/>
          <w:szCs w:val="30"/>
          <w:lang w:val="es-ES"/>
        </w:rPr>
        <w:t>(Reformado por la Disposición Reformatoria Décima Sexta, num. 1; y reformado por la Disposición Reformatoria Décima Sexta, num. 19 del Código Orgánico Monetario y Financiero; R.O. 332-2S, 12-IX-2014).- La resolución que declare la liquidación de una entida</w:t>
      </w:r>
      <w:r>
        <w:rPr>
          <w:rFonts w:eastAsia="Times New Roman"/>
          <w:sz w:val="30"/>
          <w:szCs w:val="30"/>
          <w:lang w:val="es-ES"/>
        </w:rPr>
        <w:t>d controlada se publicará en el Registro Oficial y en el o los diarios que designe el Superintendente de Compañías, Valores y Seguros y se inscribirá en el registro mercantil.</w:t>
      </w:r>
      <w:r>
        <w:rPr>
          <w:rFonts w:eastAsia="Times New Roman"/>
          <w:sz w:val="30"/>
          <w:szCs w:val="30"/>
          <w:lang w:val="es-ES"/>
        </w:rPr>
        <w:br/>
      </w:r>
      <w:r>
        <w:rPr>
          <w:rFonts w:eastAsia="Times New Roman"/>
          <w:sz w:val="30"/>
          <w:szCs w:val="30"/>
          <w:lang w:val="es-ES"/>
        </w:rPr>
        <w:br/>
        <w:t>El Superintendente de Compañías, Valores y Seguros vigilará el proceso de liqui</w:t>
      </w:r>
      <w:r>
        <w:rPr>
          <w:rFonts w:eastAsia="Times New Roman"/>
          <w:sz w:val="30"/>
          <w:szCs w:val="30"/>
          <w:lang w:val="es-ES"/>
        </w:rPr>
        <w:t>dación y cuando éste termine, expedirá la correspondiente resolución que declare la terminación del proceso liquidatorio, la cual deberá inscribirse en el registro mercantil del cantón donde la entidad tenga su sede principal y publicarse en el Registro Of</w:t>
      </w:r>
      <w:r>
        <w:rPr>
          <w:rFonts w:eastAsia="Times New Roman"/>
          <w:sz w:val="30"/>
          <w:szCs w:val="30"/>
          <w:lang w:val="es-ES"/>
        </w:rPr>
        <w:t>icial. En la resolución dispondrá la cancelación de la matrícula de comercio, de la cual se tomará nota al margen de la misma.</w:t>
      </w:r>
      <w:r>
        <w:rPr>
          <w:rFonts w:eastAsia="Times New Roman"/>
          <w:sz w:val="30"/>
          <w:szCs w:val="30"/>
          <w:lang w:val="es-ES"/>
        </w:rPr>
        <w:br/>
      </w:r>
      <w:r>
        <w:rPr>
          <w:rFonts w:eastAsia="Times New Roman"/>
          <w:sz w:val="30"/>
          <w:szCs w:val="30"/>
          <w:lang w:val="es-ES"/>
        </w:rPr>
        <w:br/>
        <w:t>Durante la liquidación, sea esta voluntaria o forzosa, no se contratarán nuevos seguros y los que estuvieren en vigor, continuar</w:t>
      </w:r>
      <w:r>
        <w:rPr>
          <w:rFonts w:eastAsia="Times New Roman"/>
          <w:sz w:val="30"/>
          <w:szCs w:val="30"/>
          <w:lang w:val="es-ES"/>
        </w:rPr>
        <w:t>án según las cláusulas de las respectivas pólizas, hasta su vencimiento o hasta que el asegurado, el Superintendente de Bancos y Seguros o el liquidador, según el caso, soliciten su resolución, salvo para los seguros de vida.</w:t>
      </w:r>
      <w:r>
        <w:rPr>
          <w:rFonts w:eastAsia="Times New Roman"/>
          <w:sz w:val="30"/>
          <w:szCs w:val="30"/>
          <w:lang w:val="es-ES"/>
        </w:rPr>
        <w:br/>
      </w:r>
      <w:r>
        <w:rPr>
          <w:rFonts w:eastAsia="Times New Roman"/>
          <w:sz w:val="30"/>
          <w:szCs w:val="30"/>
          <w:lang w:val="es-ES"/>
        </w:rPr>
        <w:br/>
        <w:t>Cuando los asegurados con pól</w:t>
      </w:r>
      <w:r>
        <w:rPr>
          <w:rFonts w:eastAsia="Times New Roman"/>
          <w:sz w:val="30"/>
          <w:szCs w:val="30"/>
          <w:lang w:val="es-ES"/>
        </w:rPr>
        <w:t>izas de seguros de vida, no deseen resolver sus contratos, el Superintendente de Bancos y Seguros, podrá transferirlos a la empresa de seguros establecida en el país que él designe, mediante la entrega de los correspondientes valores de rescate.</w:t>
      </w:r>
      <w:r>
        <w:rPr>
          <w:rFonts w:eastAsia="Times New Roman"/>
          <w:sz w:val="30"/>
          <w:szCs w:val="30"/>
          <w:lang w:val="es-ES"/>
        </w:rPr>
        <w:br/>
      </w:r>
      <w:r>
        <w:rPr>
          <w:rFonts w:eastAsia="Times New Roman"/>
          <w:sz w:val="30"/>
          <w:szCs w:val="30"/>
          <w:lang w:val="es-ES"/>
        </w:rPr>
        <w:br/>
        <w:t>Con la fi</w:t>
      </w:r>
      <w:r>
        <w:rPr>
          <w:rFonts w:eastAsia="Times New Roman"/>
          <w:sz w:val="30"/>
          <w:szCs w:val="30"/>
          <w:lang w:val="es-ES"/>
        </w:rPr>
        <w:t xml:space="preserve">nalidad de concluir los procesos de liquidación, el Superintendente de acuerdo con las normas que dicte la Junta podrá autorizar o disponer que los activos y pasivos de entidades que se encuentren en liquidación, sean aportados temporal o irrevocablemente </w:t>
      </w:r>
      <w:r>
        <w:rPr>
          <w:rFonts w:eastAsia="Times New Roman"/>
          <w:sz w:val="30"/>
          <w:szCs w:val="30"/>
          <w:lang w:val="es-ES"/>
        </w:rPr>
        <w:t xml:space="preserve">a un fideicomiso de modo que puedan ser administrados conjuntamente los activos y pasivos provenientes de dichas entidades, con el encargo de cumplir con el pago de </w:t>
      </w:r>
      <w:r>
        <w:rPr>
          <w:rFonts w:eastAsia="Times New Roman"/>
          <w:sz w:val="30"/>
          <w:szCs w:val="30"/>
          <w:lang w:val="es-ES"/>
        </w:rPr>
        <w:lastRenderedPageBreak/>
        <w:t>obligaciones en la medida que se realicen los activos. La Superintendencia continuará ejerc</w:t>
      </w:r>
      <w:r>
        <w:rPr>
          <w:rFonts w:eastAsia="Times New Roman"/>
          <w:sz w:val="30"/>
          <w:szCs w:val="30"/>
          <w:lang w:val="es-ES"/>
        </w:rPr>
        <w:t>iendo la jurisdicción coactiva por cuenta del fideicomiso, a fin de que lo que se recaude le sea entregado a para cumplir con aquellas obligaciones.</w:t>
      </w:r>
    </w:p>
    <w:p w:rsidR="00000000" w:rsidRDefault="0018461E">
      <w:pPr>
        <w:divId w:val="78333523"/>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La liquidación de las sucursales de compañías extranjeras se regirá por las disposiciones de esta</w:t>
      </w:r>
      <w:r>
        <w:rPr>
          <w:rFonts w:eastAsia="Times New Roman"/>
          <w:sz w:val="30"/>
          <w:szCs w:val="30"/>
          <w:lang w:val="es-ES"/>
        </w:rPr>
        <w:t xml:space="preserve"> Ley. En caso de liquidación de la matriz, los bienes ubicados en el Ecuador servirán para satisfacer las obligaciones contraídas en el país y el saldo será integrado a la masa común.</w:t>
      </w:r>
    </w:p>
    <w:p w:rsidR="00000000" w:rsidRDefault="0018461E">
      <w:pPr>
        <w:divId w:val="2124837380"/>
        <w:rPr>
          <w:rFonts w:eastAsia="Times New Roman"/>
          <w:sz w:val="30"/>
          <w:szCs w:val="30"/>
          <w:lang w:val="es-ES"/>
        </w:rPr>
      </w:pPr>
      <w:r>
        <w:rPr>
          <w:rFonts w:eastAsia="Times New Roman"/>
          <w:sz w:val="30"/>
          <w:szCs w:val="30"/>
          <w:lang w:val="es-ES"/>
        </w:rPr>
        <w:t xml:space="preserve">Art.... .- (Agregado por la Disposición Reformatoria Décima Sexta, num. </w:t>
      </w:r>
      <w:r>
        <w:rPr>
          <w:rFonts w:eastAsia="Times New Roman"/>
          <w:sz w:val="30"/>
          <w:szCs w:val="30"/>
          <w:lang w:val="es-ES"/>
        </w:rPr>
        <w:t>20 del Código Orgánico Monetario y Financiero; R.O. 332-2S, 12-IX-2014).- Los representante legales o convencionales, vocales del directorio, administradores, y accionistas con 12% o más de participación en el capital, o que ejerzan influencia significativ</w:t>
      </w:r>
      <w:r>
        <w:rPr>
          <w:rFonts w:eastAsia="Times New Roman"/>
          <w:sz w:val="30"/>
          <w:szCs w:val="30"/>
          <w:lang w:val="es-ES"/>
        </w:rPr>
        <w:t>a en la administración, serán responsables personal y pecuniariamente por el déficit que se determine para cubrir los pasivos de la entidad en liquidación. Para el cobro de esta obligación, el Superintendente podrá hacerlo mediante coactiva, previa resoluc</w:t>
      </w:r>
      <w:r>
        <w:rPr>
          <w:rFonts w:eastAsia="Times New Roman"/>
          <w:sz w:val="30"/>
          <w:szCs w:val="30"/>
          <w:lang w:val="es-ES"/>
        </w:rPr>
        <w:t>ión debidamente motivada cuya impugnación no suspenderá la orden de cobro.</w:t>
      </w:r>
    </w:p>
    <w:p w:rsidR="00000000" w:rsidRDefault="0018461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DISPOSICIONES GENERALES, DEROGATORIAS Y TRANSITORIAS</w:t>
      </w:r>
    </w:p>
    <w:p w:rsidR="00000000" w:rsidRDefault="00184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18461E">
      <w:pPr>
        <w:divId w:val="760222122"/>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(Reformado por la Disposición Reformatoria Décima Sexta, num. 1 del Có</w:t>
      </w:r>
      <w:r>
        <w:rPr>
          <w:rFonts w:eastAsia="Times New Roman"/>
          <w:sz w:val="30"/>
          <w:szCs w:val="30"/>
          <w:lang w:val="es-ES"/>
        </w:rPr>
        <w:t>digo Orgánico Monetario y Financiero; R.O. 332-2S, 12-IX-2014).- Se prohíbe celebrar en territorio ecuatoriano los siguientes contratos de seguros con empresas de seguros no establecidas legalmente en el país:</w:t>
      </w:r>
      <w:r>
        <w:rPr>
          <w:rFonts w:eastAsia="Times New Roman"/>
          <w:sz w:val="30"/>
          <w:szCs w:val="30"/>
          <w:lang w:val="es-ES"/>
        </w:rPr>
        <w:br/>
      </w:r>
      <w:r>
        <w:rPr>
          <w:rFonts w:eastAsia="Times New Roman"/>
          <w:sz w:val="30"/>
          <w:szCs w:val="30"/>
          <w:lang w:val="es-ES"/>
        </w:rPr>
        <w:br/>
        <w:t>a) Seguro de personas, cuando el asegurado se</w:t>
      </w:r>
      <w:r>
        <w:rPr>
          <w:rFonts w:eastAsia="Times New Roman"/>
          <w:sz w:val="30"/>
          <w:szCs w:val="30"/>
          <w:lang w:val="es-ES"/>
        </w:rPr>
        <w:t xml:space="preserve"> encuentre en la República al celebrarse el contrato;</w:t>
      </w:r>
      <w:r>
        <w:rPr>
          <w:rFonts w:eastAsia="Times New Roman"/>
          <w:sz w:val="30"/>
          <w:szCs w:val="30"/>
          <w:lang w:val="es-ES"/>
        </w:rPr>
        <w:br/>
      </w:r>
      <w:r>
        <w:rPr>
          <w:rFonts w:eastAsia="Times New Roman"/>
          <w:sz w:val="30"/>
          <w:szCs w:val="30"/>
          <w:lang w:val="es-ES"/>
        </w:rPr>
        <w:br/>
        <w:t>b) Seguro contra incendio y riesgos adicionales sobre bienes ubicados en el territorio nacional;</w:t>
      </w:r>
      <w:r>
        <w:rPr>
          <w:rFonts w:eastAsia="Times New Roman"/>
          <w:sz w:val="30"/>
          <w:szCs w:val="30"/>
          <w:lang w:val="es-ES"/>
        </w:rPr>
        <w:br/>
      </w:r>
      <w:r>
        <w:rPr>
          <w:rFonts w:eastAsia="Times New Roman"/>
          <w:sz w:val="30"/>
          <w:szCs w:val="30"/>
          <w:lang w:val="es-ES"/>
        </w:rPr>
        <w:br/>
        <w:t xml:space="preserve">c) Seguro de casco de naves marítimas o aéreas, cuando éstos se </w:t>
      </w:r>
      <w:r>
        <w:rPr>
          <w:rFonts w:eastAsia="Times New Roman"/>
          <w:sz w:val="30"/>
          <w:szCs w:val="30"/>
          <w:lang w:val="es-ES"/>
        </w:rPr>
        <w:lastRenderedPageBreak/>
        <w:t>hallen bajo matrícula ecuatoriana;</w:t>
      </w:r>
      <w:r>
        <w:rPr>
          <w:rFonts w:eastAsia="Times New Roman"/>
          <w:sz w:val="30"/>
          <w:szCs w:val="30"/>
          <w:lang w:val="es-ES"/>
        </w:rPr>
        <w:br/>
      </w:r>
      <w:r>
        <w:rPr>
          <w:rFonts w:eastAsia="Times New Roman"/>
          <w:sz w:val="30"/>
          <w:szCs w:val="30"/>
          <w:lang w:val="es-ES"/>
        </w:rPr>
        <w:br/>
        <w:t xml:space="preserve">d) </w:t>
      </w:r>
      <w:r>
        <w:rPr>
          <w:rFonts w:eastAsia="Times New Roman"/>
          <w:sz w:val="30"/>
          <w:szCs w:val="30"/>
          <w:lang w:val="es-ES"/>
        </w:rPr>
        <w:t>Seguros de transporte de mercancías o bienes que se importen al país; y,</w:t>
      </w:r>
      <w:r>
        <w:rPr>
          <w:rFonts w:eastAsia="Times New Roman"/>
          <w:sz w:val="30"/>
          <w:szCs w:val="30"/>
          <w:lang w:val="es-ES"/>
        </w:rPr>
        <w:br/>
      </w:r>
      <w:r>
        <w:rPr>
          <w:rFonts w:eastAsia="Times New Roman"/>
          <w:sz w:val="30"/>
          <w:szCs w:val="30"/>
          <w:lang w:val="es-ES"/>
        </w:rPr>
        <w:br/>
        <w:t>e) Seguros de los demás ramos contra riesgos que puedan ocurrir en territorio ecuatoriano.</w:t>
      </w:r>
      <w:r>
        <w:rPr>
          <w:rFonts w:eastAsia="Times New Roman"/>
          <w:sz w:val="30"/>
          <w:szCs w:val="30"/>
          <w:lang w:val="es-ES"/>
        </w:rPr>
        <w:br/>
      </w:r>
      <w:r>
        <w:rPr>
          <w:rFonts w:eastAsia="Times New Roman"/>
          <w:sz w:val="30"/>
          <w:szCs w:val="30"/>
          <w:lang w:val="es-ES"/>
        </w:rPr>
        <w:br/>
        <w:t>En el caso que ninguna empresa de seguros autorizada para operar en el país pueda asumir d</w:t>
      </w:r>
      <w:r>
        <w:rPr>
          <w:rFonts w:eastAsia="Times New Roman"/>
          <w:sz w:val="30"/>
          <w:szCs w:val="30"/>
          <w:lang w:val="es-ES"/>
        </w:rPr>
        <w:t>eterminado riesgo, el interesado previa autorización del Superintendente de Compañías, Valores y Seguros, podrá contratar el seguro sobre ese riesgo en el exterior.</w:t>
      </w:r>
    </w:p>
    <w:p w:rsidR="00000000" w:rsidRDefault="0018461E">
      <w:pPr>
        <w:divId w:val="718210528"/>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(Reformado por la Disposición Reformatoria Décima Sexta, num.1; y, sustituido por</w:t>
      </w:r>
      <w:r>
        <w:rPr>
          <w:rFonts w:eastAsia="Times New Roman"/>
          <w:sz w:val="30"/>
          <w:szCs w:val="30"/>
          <w:lang w:val="es-ES"/>
        </w:rPr>
        <w:t xml:space="preserve"> la Disposición Reformatoria Décima Sexta, num. 3 del Código Orgánico Monetario y Financiero; R.O. 332-2S, 12-IX-2014).- Los fondos para atender los gastos del órgano de control del área de seguros privados y los aportes al Fondo de Seguros Privados se obt</w:t>
      </w:r>
      <w:r>
        <w:rPr>
          <w:rFonts w:eastAsia="Times New Roman"/>
          <w:sz w:val="30"/>
          <w:szCs w:val="30"/>
          <w:lang w:val="es-ES"/>
        </w:rPr>
        <w:t>endrán de la contribución del 3,5% sobre el valor de las primas netas de seguros directos, las que podrán aumentarse hasta el 5%, por resolución de la Junta de Política y Regulación Monetaria y Financiera y a petición del titular de éste órgano de control,</w:t>
      </w:r>
      <w:r>
        <w:rPr>
          <w:rFonts w:eastAsia="Times New Roman"/>
          <w:sz w:val="30"/>
          <w:szCs w:val="30"/>
          <w:lang w:val="es-ES"/>
        </w:rPr>
        <w:t xml:space="preserve"> conforme a las atribuciones constantes en la ley para la aprobación del presupuesto del organismo de control. Las empresas de seguros actuarán como agentes de retención de esta contribución.</w:t>
      </w:r>
    </w:p>
    <w:p w:rsidR="00000000" w:rsidRDefault="0018461E">
      <w:pPr>
        <w:divId w:val="1650866100"/>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La empresa de seguros que hubiere pagado una indemniza</w:t>
      </w:r>
      <w:r>
        <w:rPr>
          <w:rFonts w:eastAsia="Times New Roman"/>
          <w:sz w:val="30"/>
          <w:szCs w:val="30"/>
          <w:lang w:val="es-ES"/>
        </w:rPr>
        <w:t>ción por el valor total de los bienes asegurados, adquiere la propiedad de los mismos sobre los cuales versa el contrato de seguro.</w:t>
      </w:r>
      <w:r>
        <w:rPr>
          <w:rFonts w:eastAsia="Times New Roman"/>
          <w:sz w:val="30"/>
          <w:szCs w:val="30"/>
          <w:lang w:val="es-ES"/>
        </w:rPr>
        <w:br/>
      </w:r>
      <w:r>
        <w:rPr>
          <w:rFonts w:eastAsia="Times New Roman"/>
          <w:sz w:val="30"/>
          <w:szCs w:val="30"/>
          <w:lang w:val="es-ES"/>
        </w:rPr>
        <w:br/>
        <w:t>En los casos de pérdida parcial, los bienes siniestrados pasarán a propiedad de la empresa de seguros, cuando éstos hayan s</w:t>
      </w:r>
      <w:r>
        <w:rPr>
          <w:rFonts w:eastAsia="Times New Roman"/>
          <w:sz w:val="30"/>
          <w:szCs w:val="30"/>
          <w:lang w:val="es-ES"/>
        </w:rPr>
        <w:t>ido reemplazados, a menos que renuncie a este derecho.</w:t>
      </w:r>
      <w:r>
        <w:rPr>
          <w:rFonts w:eastAsia="Times New Roman"/>
          <w:sz w:val="30"/>
          <w:szCs w:val="30"/>
          <w:lang w:val="es-ES"/>
        </w:rPr>
        <w:br/>
      </w:r>
      <w:r>
        <w:rPr>
          <w:rFonts w:eastAsia="Times New Roman"/>
          <w:sz w:val="30"/>
          <w:szCs w:val="30"/>
          <w:lang w:val="es-ES"/>
        </w:rPr>
        <w:br/>
        <w:t>El acta de finiquito constituye título de propiedad, no obstante el asegurado o beneficiario, está obligado a realizar todos los actos tendientes a consolidar el dominio del asegurador sobre dichos bi</w:t>
      </w:r>
      <w:r>
        <w:rPr>
          <w:rFonts w:eastAsia="Times New Roman"/>
          <w:sz w:val="30"/>
          <w:szCs w:val="30"/>
          <w:lang w:val="es-ES"/>
        </w:rPr>
        <w:t>enes y a entregarle todos los documentos inherentes a ellos.</w:t>
      </w:r>
    </w:p>
    <w:p w:rsidR="00000000" w:rsidRDefault="0018461E">
      <w:pPr>
        <w:divId w:val="2122139055"/>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(Reformado por la Disposición Reformatoria Décima Sexta, num. 1 del Código Orgánico Monetario y Financiero; R.O. 332-2S, 12-IX-2014).- La Superintendencia de Compañías, Valores y Seguro</w:t>
      </w:r>
      <w:r>
        <w:rPr>
          <w:rFonts w:eastAsia="Times New Roman"/>
          <w:sz w:val="30"/>
          <w:szCs w:val="30"/>
          <w:lang w:val="es-ES"/>
        </w:rPr>
        <w:t xml:space="preserve">s, expedirá mediante resoluciones las normas necesarias para la </w:t>
      </w:r>
      <w:r>
        <w:rPr>
          <w:rFonts w:eastAsia="Times New Roman"/>
          <w:sz w:val="30"/>
          <w:szCs w:val="30"/>
          <w:lang w:val="es-ES"/>
        </w:rPr>
        <w:lastRenderedPageBreak/>
        <w:t>aplicación de esta Ley, las que se publicarán en el Registro Oficial.</w:t>
      </w:r>
      <w:r>
        <w:rPr>
          <w:rFonts w:eastAsia="Times New Roman"/>
          <w:sz w:val="30"/>
          <w:szCs w:val="30"/>
          <w:lang w:val="es-ES"/>
        </w:rPr>
        <w:br/>
      </w:r>
      <w:r>
        <w:rPr>
          <w:rFonts w:eastAsia="Times New Roman"/>
          <w:sz w:val="30"/>
          <w:szCs w:val="30"/>
          <w:lang w:val="es-ES"/>
        </w:rPr>
        <w:br/>
        <w:t>Las atribuciones que la ley confiere a la Superintendencia o Superintendente de Compañías, serán, respecto de las entidad</w:t>
      </w:r>
      <w:r>
        <w:rPr>
          <w:rFonts w:eastAsia="Times New Roman"/>
          <w:sz w:val="30"/>
          <w:szCs w:val="30"/>
          <w:lang w:val="es-ES"/>
        </w:rPr>
        <w:t>es del sistema de seguro privado, ejercidas exclusivamente por la Superintendencia o el Superintendente de Compañías, Valores y Seguros.</w:t>
      </w:r>
    </w:p>
    <w:p w:rsidR="00000000" w:rsidRDefault="0018461E">
      <w:pPr>
        <w:divId w:val="1513759350"/>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(Reformado por la Disposición Reformatoria Décima Sexta, num. 1; y, sustituido por la Disposición Reformatori</w:t>
      </w:r>
      <w:r>
        <w:rPr>
          <w:rFonts w:eastAsia="Times New Roman"/>
          <w:sz w:val="30"/>
          <w:szCs w:val="30"/>
          <w:lang w:val="es-ES"/>
        </w:rPr>
        <w:t>a Décima Sexta, num. 21 del Código Orgánico Monetario y Financiero; R.O. 332-2S, 12-IX-2014).- De las resoluciones expidas por el órgano competente de la Superintendencia de Compañías, Valores y Seguros, en el ámbito regulado por la presente Ley, podrá int</w:t>
      </w:r>
      <w:r>
        <w:rPr>
          <w:rFonts w:eastAsia="Times New Roman"/>
          <w:sz w:val="30"/>
          <w:szCs w:val="30"/>
          <w:lang w:val="es-ES"/>
        </w:rPr>
        <w:t>erponerse recurso de apelación ante el Superintendente, en el plazo de diez (10) días contados desde la fecha de notificación de la resolución. La decisión que el Superintendente adopte causará estado, sin perjuicio de las acciones contencioso administrati</w:t>
      </w:r>
      <w:r>
        <w:rPr>
          <w:rFonts w:eastAsia="Times New Roman"/>
          <w:sz w:val="30"/>
          <w:szCs w:val="30"/>
          <w:lang w:val="es-ES"/>
        </w:rPr>
        <w:t>vas, y de lo preceptuado en el artículo 42 de esta ley. No procede recurso alguno respecto de lo resuelto por el Superintendente de Compañías, Valores y Seguros, ni en caso de que su pronunciamiento haya sido expedido en primera instancia administrativa.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t>Extraordinariamente, mediante revisión, el Superintendente de Compañías, Valores y Seguros podrá revocar o reformar cualquier acto administrativo, sea de oficio o con motivo de la presentación del respectivo recurso, dentro del plazo de un año, que se cont</w:t>
      </w:r>
      <w:r>
        <w:rPr>
          <w:rFonts w:eastAsia="Times New Roman"/>
          <w:sz w:val="30"/>
          <w:szCs w:val="30"/>
          <w:lang w:val="es-ES"/>
        </w:rPr>
        <w:t>ará a partir de la notificación de dicho acto.</w:t>
      </w:r>
      <w:r>
        <w:rPr>
          <w:rFonts w:eastAsia="Times New Roman"/>
          <w:sz w:val="30"/>
          <w:szCs w:val="30"/>
          <w:lang w:val="es-ES"/>
        </w:rPr>
        <w:br/>
      </w:r>
      <w:r>
        <w:rPr>
          <w:rFonts w:eastAsia="Times New Roman"/>
          <w:sz w:val="30"/>
          <w:szCs w:val="30"/>
          <w:lang w:val="es-ES"/>
        </w:rPr>
        <w:br/>
        <w:t>La revisión solo tendrá lugar si el acto administrativo impugnado hubiere sido dictado con evidente error de hecho o de derecho que aparezca de los documentos que figuren en el expediente o de disposiciones l</w:t>
      </w:r>
      <w:r>
        <w:rPr>
          <w:rFonts w:eastAsia="Times New Roman"/>
          <w:sz w:val="30"/>
          <w:szCs w:val="30"/>
          <w:lang w:val="es-ES"/>
        </w:rPr>
        <w:t>egales expresas; o, cuando, con posterioridad, aparecieren documentos de valor trascendental ignorados al expedirse el acto o resolución que se trate.</w:t>
      </w:r>
    </w:p>
    <w:p w:rsidR="00000000" w:rsidRDefault="0018461E">
      <w:pPr>
        <w:divId w:val="719863214"/>
        <w:rPr>
          <w:rFonts w:eastAsia="Times New Roman"/>
          <w:sz w:val="30"/>
          <w:szCs w:val="30"/>
          <w:lang w:val="es-ES"/>
        </w:rPr>
      </w:pPr>
      <w:r>
        <w:rPr>
          <w:rFonts w:eastAsia="Times New Roman"/>
          <w:b/>
          <w:bCs/>
          <w:sz w:val="30"/>
          <w:szCs w:val="30"/>
          <w:lang w:val="es-ES"/>
        </w:rPr>
        <w:t xml:space="preserve">Art. 71.- </w:t>
      </w:r>
      <w:r>
        <w:rPr>
          <w:rFonts w:eastAsia="Times New Roman"/>
          <w:sz w:val="30"/>
          <w:szCs w:val="30"/>
          <w:lang w:val="es-ES"/>
        </w:rPr>
        <w:t>(Reformado por la Disposición Reformatoria Décima Sexta, num. 1 del Código Orgánico Monetario y</w:t>
      </w:r>
      <w:r>
        <w:rPr>
          <w:rFonts w:eastAsia="Times New Roman"/>
          <w:sz w:val="30"/>
          <w:szCs w:val="30"/>
          <w:lang w:val="es-ES"/>
        </w:rPr>
        <w:t xml:space="preserve"> Financiero; R.O. 332-2S, 12-IX-2014).- El Superintendente de Compañías, Valores y Seguros podrá solicitar al Superintendente de Compañías proporcione datos relacionados con cualquier entidad sujeta a la vigilancia y control de ésta. Igualmente el Superint</w:t>
      </w:r>
      <w:r>
        <w:rPr>
          <w:rFonts w:eastAsia="Times New Roman"/>
          <w:sz w:val="30"/>
          <w:szCs w:val="30"/>
          <w:lang w:val="es-ES"/>
        </w:rPr>
        <w:t xml:space="preserve">endente de Compañías, podrá solicitar al </w:t>
      </w:r>
      <w:r>
        <w:rPr>
          <w:rFonts w:eastAsia="Times New Roman"/>
          <w:sz w:val="30"/>
          <w:szCs w:val="30"/>
          <w:lang w:val="es-ES"/>
        </w:rPr>
        <w:lastRenderedPageBreak/>
        <w:t>Superintendente de Compañías, Valores y Seguros, le proporcione datos e informes relacionados con cualquier entidad del sistema de seguro privado. Se especificará en la solicitud las causas que la motivan.</w:t>
      </w:r>
      <w:r>
        <w:rPr>
          <w:rFonts w:eastAsia="Times New Roman"/>
          <w:sz w:val="30"/>
          <w:szCs w:val="30"/>
          <w:lang w:val="es-ES"/>
        </w:rPr>
        <w:br/>
      </w:r>
      <w:r>
        <w:rPr>
          <w:rFonts w:eastAsia="Times New Roman"/>
          <w:sz w:val="30"/>
          <w:szCs w:val="30"/>
          <w:lang w:val="es-ES"/>
        </w:rPr>
        <w:br/>
        <w:t>Estos da</w:t>
      </w:r>
      <w:r>
        <w:rPr>
          <w:rFonts w:eastAsia="Times New Roman"/>
          <w:sz w:val="30"/>
          <w:szCs w:val="30"/>
          <w:lang w:val="es-ES"/>
        </w:rPr>
        <w:t>tos e informes se considerarán reservados y las personas que los conozcan quedarán sujetas a las prohibiciones y sanciones mencionadas en la Ley de Compañías y en la presente Ley, según el caso.</w:t>
      </w:r>
    </w:p>
    <w:p w:rsidR="00000000" w:rsidRDefault="0018461E">
      <w:pPr>
        <w:divId w:val="1484467526"/>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(Reformado por la Disposición Reformatoria Décima S</w:t>
      </w:r>
      <w:r>
        <w:rPr>
          <w:rFonts w:eastAsia="Times New Roman"/>
          <w:sz w:val="30"/>
          <w:szCs w:val="30"/>
          <w:lang w:val="es-ES"/>
        </w:rPr>
        <w:t xml:space="preserve">exta, num. 1 del Código Orgánico Monetario y Financiero; R.O. 332-2S, 12-IX-2014).- La certificación del Superintendente de Compañías, Valores y Seguros, respecto a la existencia legal de quienes integran el sistema de seguro privado y de quienes ostentan </w:t>
      </w:r>
      <w:r>
        <w:rPr>
          <w:rFonts w:eastAsia="Times New Roman"/>
          <w:sz w:val="30"/>
          <w:szCs w:val="30"/>
          <w:lang w:val="es-ES"/>
        </w:rPr>
        <w:t>la representación legal, constituirá prueba suficiente y plena de tales hechos ante cualesquiera autoridad judicial o administrativa.</w:t>
      </w:r>
    </w:p>
    <w:p w:rsidR="00000000" w:rsidRDefault="0018461E">
      <w:pPr>
        <w:divId w:val="1513497010"/>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(Reformado por la Disposición Reformatoria Décima Sexta, num. 1 del Código Orgánico Monetario y Financiero; R.O.</w:t>
      </w:r>
      <w:r>
        <w:rPr>
          <w:rFonts w:eastAsia="Times New Roman"/>
          <w:sz w:val="30"/>
          <w:szCs w:val="30"/>
          <w:lang w:val="es-ES"/>
        </w:rPr>
        <w:t xml:space="preserve"> 332-2S, 12-IX-2014).- El Superintendente de Compañías, Valores y Seguros podrá intervenir como parte personalmente o podrá delegar la representación en cualquier juicio que se promoviere por infracciones de la presente Ley.</w:t>
      </w:r>
    </w:p>
    <w:p w:rsidR="00000000" w:rsidRDefault="0018461E">
      <w:pPr>
        <w:divId w:val="909116432"/>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Para la contratación </w:t>
      </w:r>
      <w:r>
        <w:rPr>
          <w:rFonts w:eastAsia="Times New Roman"/>
          <w:sz w:val="30"/>
          <w:szCs w:val="30"/>
          <w:lang w:val="es-ES"/>
        </w:rPr>
        <w:t>de seguros, todas las instituciones y entidades del sector público se sujetarán a concurso de ofertas entre empresas de seguros constituidas y establecidas legalmente en el país.</w:t>
      </w:r>
    </w:p>
    <w:p w:rsidR="00000000" w:rsidRDefault="0018461E">
      <w:pPr>
        <w:divId w:val="1438600491"/>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Las condiciones de las pólizas y las tarifas serán el resultado del</w:t>
      </w:r>
      <w:r>
        <w:rPr>
          <w:rFonts w:eastAsia="Times New Roman"/>
          <w:sz w:val="30"/>
          <w:szCs w:val="30"/>
          <w:lang w:val="es-ES"/>
        </w:rPr>
        <w:t xml:space="preserve"> régimen de libre competencia del mercado de seguros.</w:t>
      </w:r>
    </w:p>
    <w:p w:rsidR="00000000" w:rsidRDefault="00184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INFRACCIONES Y LAS PENAS</w:t>
      </w:r>
    </w:p>
    <w:p w:rsidR="00000000" w:rsidRDefault="0018461E">
      <w:pPr>
        <w:jc w:val="center"/>
        <w:divId w:val="194317785"/>
        <w:rPr>
          <w:rFonts w:eastAsia="Times New Roman"/>
          <w:sz w:val="30"/>
          <w:szCs w:val="30"/>
          <w:lang w:val="es-ES"/>
        </w:rPr>
      </w:pPr>
      <w:r>
        <w:rPr>
          <w:rFonts w:eastAsia="Times New Roman"/>
          <w:b/>
          <w:bCs/>
          <w:sz w:val="30"/>
          <w:szCs w:val="30"/>
          <w:lang w:val="es-ES"/>
        </w:rPr>
        <w:t>(Derogado por la Disposición Derogatoria Décimo Cuarta del Código Orgánico Integral Penal; R.O. 180-S, 10-II-2014).</w:t>
      </w:r>
    </w:p>
    <w:p w:rsidR="00000000" w:rsidRDefault="0018461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DEROGATORIAS</w:t>
      </w:r>
    </w:p>
    <w:p w:rsidR="00000000" w:rsidRDefault="0018461E">
      <w:pPr>
        <w:divId w:val="1495797371"/>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Deró</w:t>
      </w:r>
      <w:r>
        <w:rPr>
          <w:rFonts w:eastAsia="Times New Roman"/>
          <w:sz w:val="30"/>
          <w:szCs w:val="30"/>
          <w:lang w:val="es-ES"/>
        </w:rPr>
        <w:t>ganse las disposiciones legales y reglamentarias que se opongan a la presente Ley, y especialmente las siguientes:</w:t>
      </w:r>
      <w:r>
        <w:rPr>
          <w:rFonts w:eastAsia="Times New Roman"/>
          <w:sz w:val="30"/>
          <w:szCs w:val="30"/>
          <w:lang w:val="es-ES"/>
        </w:rPr>
        <w:br/>
      </w:r>
      <w:r>
        <w:rPr>
          <w:rFonts w:eastAsia="Times New Roman"/>
          <w:sz w:val="30"/>
          <w:szCs w:val="30"/>
          <w:lang w:val="es-ES"/>
        </w:rPr>
        <w:br/>
        <w:t xml:space="preserve">1. Ley General de Compañías de Seguros, codificada por la </w:t>
      </w:r>
      <w:r>
        <w:rPr>
          <w:rFonts w:eastAsia="Times New Roman"/>
          <w:sz w:val="30"/>
          <w:szCs w:val="30"/>
          <w:lang w:val="es-ES"/>
        </w:rPr>
        <w:lastRenderedPageBreak/>
        <w:t>Superintendencia de Bancos mediante Resolución No. 67-09-S, promulgada en el Regis</w:t>
      </w:r>
      <w:r>
        <w:rPr>
          <w:rFonts w:eastAsia="Times New Roman"/>
          <w:sz w:val="30"/>
          <w:szCs w:val="30"/>
          <w:lang w:val="es-ES"/>
        </w:rPr>
        <w:t>tro Oficial No. 83 de 13 de marzo de 1967;</w:t>
      </w:r>
      <w:r>
        <w:rPr>
          <w:rFonts w:eastAsia="Times New Roman"/>
          <w:sz w:val="30"/>
          <w:szCs w:val="30"/>
          <w:lang w:val="es-ES"/>
        </w:rPr>
        <w:br/>
      </w:r>
      <w:r>
        <w:rPr>
          <w:rFonts w:eastAsia="Times New Roman"/>
          <w:sz w:val="30"/>
          <w:szCs w:val="30"/>
          <w:lang w:val="es-ES"/>
        </w:rPr>
        <w:br/>
        <w:t>2. Ley No. 155 C.L.P., promulgada en el Registro Oficial No. 216 de 21 de julio de 1969 y su reforma constante en el artículo 3 de la Ley No. 80, promulgada en el Registro Oficial No. 479 de 13 de julio de 1990;</w:t>
      </w:r>
      <w:r>
        <w:rPr>
          <w:rFonts w:eastAsia="Times New Roman"/>
          <w:sz w:val="30"/>
          <w:szCs w:val="30"/>
          <w:lang w:val="es-ES"/>
        </w:rPr>
        <w:br/>
      </w:r>
      <w:r>
        <w:rPr>
          <w:rFonts w:eastAsia="Times New Roman"/>
          <w:sz w:val="30"/>
          <w:szCs w:val="30"/>
          <w:lang w:val="es-ES"/>
        </w:rPr>
        <w:br/>
        <w:t>3. Decreto No. 763, promulgado en el Registro Oficial No. 181 de 28 de septiembre de 1976; y, Decreto No. 593 de 26 de julio de 1976, promulgado en el Registro Oficial No. 147 de 11 de agosto de 1976;</w:t>
      </w:r>
      <w:r>
        <w:rPr>
          <w:rFonts w:eastAsia="Times New Roman"/>
          <w:sz w:val="30"/>
          <w:szCs w:val="30"/>
          <w:lang w:val="es-ES"/>
        </w:rPr>
        <w:br/>
      </w:r>
      <w:r>
        <w:rPr>
          <w:rFonts w:eastAsia="Times New Roman"/>
          <w:sz w:val="30"/>
          <w:szCs w:val="30"/>
          <w:lang w:val="es-ES"/>
        </w:rPr>
        <w:br/>
        <w:t>4. Artículo primero del Decreto 1554, promulgado en e</w:t>
      </w:r>
      <w:r>
        <w:rPr>
          <w:rFonts w:eastAsia="Times New Roman"/>
          <w:sz w:val="30"/>
          <w:szCs w:val="30"/>
          <w:lang w:val="es-ES"/>
        </w:rPr>
        <w:t>l Registro Oficial No. 373 de 6 de julio de 1997;</w:t>
      </w:r>
      <w:r>
        <w:rPr>
          <w:rFonts w:eastAsia="Times New Roman"/>
          <w:sz w:val="30"/>
          <w:szCs w:val="30"/>
          <w:lang w:val="es-ES"/>
        </w:rPr>
        <w:br/>
      </w:r>
      <w:r>
        <w:rPr>
          <w:rFonts w:eastAsia="Times New Roman"/>
          <w:sz w:val="30"/>
          <w:szCs w:val="30"/>
          <w:lang w:val="es-ES"/>
        </w:rPr>
        <w:br/>
        <w:t>5. Artículo 31 de la Ley No. 121, promulgada en el Registro Oficial, Suplemento No. 453 de 17 de marzo de 1983;</w:t>
      </w:r>
      <w:r>
        <w:rPr>
          <w:rFonts w:eastAsia="Times New Roman"/>
          <w:sz w:val="30"/>
          <w:szCs w:val="30"/>
          <w:lang w:val="es-ES"/>
        </w:rPr>
        <w:br/>
      </w:r>
      <w:r>
        <w:rPr>
          <w:rFonts w:eastAsia="Times New Roman"/>
          <w:sz w:val="30"/>
          <w:szCs w:val="30"/>
          <w:lang w:val="es-ES"/>
        </w:rPr>
        <w:br/>
        <w:t>6. Numeral sexto del artículo 171 del Decreto Ley No. 02, promulgado en el Registro Oficial,</w:t>
      </w:r>
      <w:r>
        <w:rPr>
          <w:rFonts w:eastAsia="Times New Roman"/>
          <w:sz w:val="30"/>
          <w:szCs w:val="30"/>
          <w:lang w:val="es-ES"/>
        </w:rPr>
        <w:t xml:space="preserve"> Suplemento No. 930 de 7 de mayo de 1992;</w:t>
      </w:r>
      <w:r>
        <w:rPr>
          <w:rFonts w:eastAsia="Times New Roman"/>
          <w:sz w:val="30"/>
          <w:szCs w:val="30"/>
          <w:lang w:val="es-ES"/>
        </w:rPr>
        <w:br/>
      </w:r>
      <w:r>
        <w:rPr>
          <w:rFonts w:eastAsia="Times New Roman"/>
          <w:sz w:val="30"/>
          <w:szCs w:val="30"/>
          <w:lang w:val="es-ES"/>
        </w:rPr>
        <w:br/>
        <w:t>7. Artículo 68 de la Ley de Mercado de Valores publicada en el Registro Oficial, Suplemento No. 199 de 28 de mayo de 1993;</w:t>
      </w:r>
      <w:r>
        <w:rPr>
          <w:rFonts w:eastAsia="Times New Roman"/>
          <w:sz w:val="30"/>
          <w:szCs w:val="30"/>
          <w:lang w:val="es-ES"/>
        </w:rPr>
        <w:br/>
      </w:r>
      <w:r>
        <w:rPr>
          <w:rFonts w:eastAsia="Times New Roman"/>
          <w:sz w:val="30"/>
          <w:szCs w:val="30"/>
          <w:lang w:val="es-ES"/>
        </w:rPr>
        <w:br/>
        <w:t>8. Artículo 116 de la Ley de Cooperativas, de 7 de septiembre de 1966, publicada en el Re</w:t>
      </w:r>
      <w:r>
        <w:rPr>
          <w:rFonts w:eastAsia="Times New Roman"/>
          <w:sz w:val="30"/>
          <w:szCs w:val="30"/>
          <w:lang w:val="es-ES"/>
        </w:rPr>
        <w:t>gistro Oficial No. 123 de 20 de septiembre de 1966;</w:t>
      </w:r>
      <w:r>
        <w:rPr>
          <w:rFonts w:eastAsia="Times New Roman"/>
          <w:sz w:val="30"/>
          <w:szCs w:val="30"/>
          <w:lang w:val="es-ES"/>
        </w:rPr>
        <w:br/>
      </w:r>
      <w:r>
        <w:rPr>
          <w:rFonts w:eastAsia="Times New Roman"/>
          <w:sz w:val="30"/>
          <w:szCs w:val="30"/>
          <w:lang w:val="es-ES"/>
        </w:rPr>
        <w:br/>
        <w:t>9. Artículo 32 de la Ley de Regulación Económica y Control del Gasto Público, publicada en el Registro Oficial No. 453 Suplemento del 17 de marzo de 1983;</w:t>
      </w:r>
      <w:r>
        <w:rPr>
          <w:rFonts w:eastAsia="Times New Roman"/>
          <w:sz w:val="30"/>
          <w:szCs w:val="30"/>
          <w:lang w:val="es-ES"/>
        </w:rPr>
        <w:br/>
      </w:r>
      <w:r>
        <w:rPr>
          <w:rFonts w:eastAsia="Times New Roman"/>
          <w:sz w:val="30"/>
          <w:szCs w:val="30"/>
          <w:lang w:val="es-ES"/>
        </w:rPr>
        <w:br/>
        <w:t>10. Resoluciones dictadas por la Superintendenc</w:t>
      </w:r>
      <w:r>
        <w:rPr>
          <w:rFonts w:eastAsia="Times New Roman"/>
          <w:sz w:val="30"/>
          <w:szCs w:val="30"/>
          <w:lang w:val="es-ES"/>
        </w:rPr>
        <w:t>ia de Bancos Nos. 80-087-S, promulgada en el Registro Oficial No. 208 de 12 de junio de 1980 y su reforma constante de la Resolución No. 80-172-S, publicada en el Registro Oficial No. 262 de 28 de agosto de 1980; 83-216-S de 8 de septiembre de 1983; 91-187</w:t>
      </w:r>
      <w:r>
        <w:rPr>
          <w:rFonts w:eastAsia="Times New Roman"/>
          <w:sz w:val="30"/>
          <w:szCs w:val="30"/>
          <w:lang w:val="es-ES"/>
        </w:rPr>
        <w:t xml:space="preserve"> publicada en el Registro Oficial No. 807 de 7 de noviembre de 1991; y, 92-204-S reformatoria de la anterior, de 9 de junio de 1992.</w:t>
      </w:r>
    </w:p>
    <w:p w:rsidR="00000000" w:rsidRDefault="0018461E">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DISPOSICIONES TRANSITORIAS</w:t>
      </w:r>
    </w:p>
    <w:p w:rsidR="00000000" w:rsidRDefault="0018461E">
      <w:pPr>
        <w:divId w:val="11930662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El sistema de cálculo para las reservas de riesgos en curso está en vigen</w:t>
      </w:r>
      <w:r>
        <w:rPr>
          <w:rFonts w:eastAsia="Times New Roman"/>
          <w:sz w:val="30"/>
          <w:szCs w:val="30"/>
          <w:lang w:val="es-ES"/>
        </w:rPr>
        <w:t>cia desde el 1 de enero de 1998.</w:t>
      </w:r>
    </w:p>
    <w:p w:rsidR="00000000" w:rsidRDefault="0018461E">
      <w:pPr>
        <w:divId w:val="182354406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(Reformado por la Disposición Reformatoria Décima Sexta, num. 1 del Código Orgánico Monetario y Financiero; R.O. 332-2S, 12-IX-2014).- Los reclamos administrativos presentados ante la Superintendencia de Compañías</w:t>
      </w:r>
      <w:r>
        <w:rPr>
          <w:rFonts w:eastAsia="Times New Roman"/>
          <w:sz w:val="30"/>
          <w:szCs w:val="30"/>
          <w:lang w:val="es-ES"/>
        </w:rPr>
        <w:t>, Valores y Seguros con anterioridad a la vigencia de esta Ley, se tramitarán con el proceso vigente a la fecha de su presentación.</w:t>
      </w:r>
    </w:p>
    <w:p w:rsidR="00000000" w:rsidRDefault="0018461E">
      <w:pPr>
        <w:divId w:val="350490894"/>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(Reformado por la Disposición Reformatoria Décima Sexta, num. 1 del Código Orgánico Monetario y Financiero; R.O. 3</w:t>
      </w:r>
      <w:r>
        <w:rPr>
          <w:rFonts w:eastAsia="Times New Roman"/>
          <w:sz w:val="30"/>
          <w:szCs w:val="30"/>
          <w:lang w:val="es-ES"/>
        </w:rPr>
        <w:t>32-2S, 12-IX-2014).- La Superintendencia de Compañías, Valores y Seguros dictará las normas que sean necesarias para la aplicación de esta Ley y los códigos de cuentas e instructivos para el sistema de seguro privado.</w:t>
      </w:r>
    </w:p>
    <w:p w:rsidR="00000000" w:rsidRDefault="0018461E">
      <w:pPr>
        <w:divId w:val="1565335102"/>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(Reformado por la Disposición</w:t>
      </w:r>
      <w:r>
        <w:rPr>
          <w:rFonts w:eastAsia="Times New Roman"/>
          <w:sz w:val="30"/>
          <w:szCs w:val="30"/>
          <w:lang w:val="es-ES"/>
        </w:rPr>
        <w:t xml:space="preserve"> Reformatoria Décima Sexta, num. 1 del Código Orgánico Monetario y Financiero; R.O. 332-2S, 12-IX-2014).- Las resoluciones y disposiciones administrativas dictadas por la Superintendencia de Compañías, Valores y Seguros, que no se hubieren derogado expresa</w:t>
      </w:r>
      <w:r>
        <w:rPr>
          <w:rFonts w:eastAsia="Times New Roman"/>
          <w:sz w:val="30"/>
          <w:szCs w:val="30"/>
          <w:lang w:val="es-ES"/>
        </w:rPr>
        <w:t>mente, se mantendrán vigentes y serán aplicados en todo lo que no se oponga a esta Ley y hasta que la Superintendencia de Compañías, Valores y Seguros dicte las nuevas normas.</w:t>
      </w:r>
    </w:p>
    <w:p w:rsidR="00000000" w:rsidRDefault="0018461E">
      <w:pPr>
        <w:divId w:val="1023871091"/>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La presente Ley tiene el carácter de especial, prevalecerá sobr</w:t>
      </w:r>
      <w:r>
        <w:rPr>
          <w:rFonts w:eastAsia="Times New Roman"/>
          <w:sz w:val="30"/>
          <w:szCs w:val="30"/>
          <w:lang w:val="es-ES"/>
        </w:rPr>
        <w:t>e otras leyes especiales y generales que se le opongan y rige desde la fecha de su promulgación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 xml:space="preserve">Esta Codificación fue elaborada por la Comisión de Legislación y Codificación, de acuerdo con </w:t>
      </w:r>
      <w:r>
        <w:rPr>
          <w:rFonts w:eastAsia="Times New Roman"/>
          <w:sz w:val="30"/>
          <w:szCs w:val="30"/>
          <w:lang w:val="es-ES"/>
        </w:rPr>
        <w:t>lo dispuesto en el número 2 del Art. 139 (120, num. 6) de la Constitución Política de la República.</w:t>
      </w:r>
      <w:r>
        <w:rPr>
          <w:rFonts w:eastAsia="Times New Roman"/>
          <w:sz w:val="30"/>
          <w:szCs w:val="30"/>
          <w:lang w:val="es-ES"/>
        </w:rPr>
        <w:br/>
      </w:r>
      <w:r>
        <w:rPr>
          <w:rFonts w:eastAsia="Times New Roman"/>
          <w:sz w:val="30"/>
          <w:szCs w:val="30"/>
          <w:lang w:val="es-ES"/>
        </w:rPr>
        <w:br/>
        <w:t>Cumplidos los presupuestos del Art. 160 de la Constitución Política de la República, publíquese en el Registro Oficial.</w:t>
      </w:r>
      <w:r>
        <w:rPr>
          <w:rFonts w:eastAsia="Times New Roman"/>
          <w:sz w:val="30"/>
          <w:szCs w:val="30"/>
          <w:lang w:val="es-ES"/>
        </w:rPr>
        <w:br/>
      </w:r>
      <w:r>
        <w:rPr>
          <w:rFonts w:eastAsia="Times New Roman"/>
          <w:sz w:val="30"/>
          <w:szCs w:val="30"/>
          <w:lang w:val="es-ES"/>
        </w:rPr>
        <w:br/>
        <w:t>Quito, 7 de noviembre de 2006.</w:t>
      </w:r>
    </w:p>
    <w:p w:rsidR="00000000" w:rsidRDefault="0018461E">
      <w:pPr>
        <w:jc w:val="center"/>
        <w:rPr>
          <w:rFonts w:eastAsia="Times New Roman"/>
          <w:sz w:val="30"/>
          <w:szCs w:val="30"/>
          <w:lang w:val="es-ES"/>
        </w:rPr>
      </w:pPr>
      <w:r>
        <w:rPr>
          <w:rFonts w:eastAsia="Times New Roman"/>
          <w:sz w:val="30"/>
          <w:szCs w:val="30"/>
          <w:lang w:val="es-ES"/>
        </w:rPr>
        <w:lastRenderedPageBreak/>
        <w:br/>
      </w:r>
      <w:r>
        <w:rPr>
          <w:rFonts w:eastAsia="Times New Roman"/>
          <w:b/>
          <w:bCs/>
          <w:sz w:val="30"/>
          <w:szCs w:val="30"/>
          <w:lang w:val="es-ES"/>
        </w:rPr>
        <w:t>FU</w:t>
      </w:r>
      <w:r>
        <w:rPr>
          <w:rFonts w:eastAsia="Times New Roman"/>
          <w:b/>
          <w:bCs/>
          <w:sz w:val="30"/>
          <w:szCs w:val="30"/>
          <w:lang w:val="es-ES"/>
        </w:rPr>
        <w:t>ENTES DE LA CODIFICACIÓN DE LA LEY GENERAL DE SEGUROS</w:t>
      </w:r>
    </w:p>
    <w:p w:rsidR="00000000" w:rsidRDefault="0018461E">
      <w:pPr>
        <w:divId w:val="865171716"/>
        <w:rPr>
          <w:rFonts w:eastAsia="Times New Roman"/>
          <w:sz w:val="30"/>
          <w:szCs w:val="30"/>
          <w:lang w:val="es-ES"/>
        </w:rPr>
      </w:pPr>
      <w:r>
        <w:rPr>
          <w:rFonts w:eastAsia="Times New Roman"/>
          <w:sz w:val="30"/>
          <w:szCs w:val="30"/>
          <w:lang w:val="es-ES"/>
        </w:rPr>
        <w:br/>
        <w:t>1.- Constitución Política de la República del Ecuador;</w:t>
      </w:r>
      <w:r>
        <w:rPr>
          <w:rFonts w:eastAsia="Times New Roman"/>
          <w:sz w:val="30"/>
          <w:szCs w:val="30"/>
          <w:lang w:val="es-ES"/>
        </w:rPr>
        <w:br/>
      </w:r>
      <w:r>
        <w:rPr>
          <w:rFonts w:eastAsia="Times New Roman"/>
          <w:sz w:val="30"/>
          <w:szCs w:val="30"/>
          <w:lang w:val="es-ES"/>
        </w:rPr>
        <w:br/>
        <w:t>2.- Ley No. 74, publicada en el Registro Oficial No. 290 de 3 de abril de 1998;</w:t>
      </w:r>
      <w:r>
        <w:rPr>
          <w:rFonts w:eastAsia="Times New Roman"/>
          <w:sz w:val="30"/>
          <w:szCs w:val="30"/>
          <w:lang w:val="es-ES"/>
        </w:rPr>
        <w:br/>
      </w:r>
      <w:r>
        <w:rPr>
          <w:rFonts w:eastAsia="Times New Roman"/>
          <w:sz w:val="30"/>
          <w:szCs w:val="30"/>
          <w:lang w:val="es-ES"/>
        </w:rPr>
        <w:br/>
      </w:r>
      <w:r>
        <w:rPr>
          <w:rFonts w:eastAsia="Times New Roman"/>
          <w:sz w:val="30"/>
          <w:szCs w:val="30"/>
          <w:lang w:val="es-ES"/>
        </w:rPr>
        <w:t>3.- Fe de Erratas, publicada en el Registro Oficial No. 329 de 1 de junio de 1998;</w:t>
      </w:r>
      <w:r>
        <w:rPr>
          <w:rFonts w:eastAsia="Times New Roman"/>
          <w:sz w:val="30"/>
          <w:szCs w:val="30"/>
          <w:lang w:val="es-ES"/>
        </w:rPr>
        <w:br/>
      </w:r>
      <w:r>
        <w:rPr>
          <w:rFonts w:eastAsia="Times New Roman"/>
          <w:sz w:val="30"/>
          <w:szCs w:val="30"/>
          <w:lang w:val="es-ES"/>
        </w:rPr>
        <w:br/>
        <w:t>4.- Resolución 211-98-TC, publicada en el Registro Oficial No. 7, 19 de agosto de 1998;</w:t>
      </w:r>
      <w:r>
        <w:rPr>
          <w:rFonts w:eastAsia="Times New Roman"/>
          <w:sz w:val="30"/>
          <w:szCs w:val="30"/>
          <w:lang w:val="es-ES"/>
        </w:rPr>
        <w:br/>
      </w:r>
      <w:r>
        <w:rPr>
          <w:rFonts w:eastAsia="Times New Roman"/>
          <w:sz w:val="30"/>
          <w:szCs w:val="30"/>
          <w:lang w:val="es-ES"/>
        </w:rPr>
        <w:br/>
        <w:t>5.- Ley No. 98-12, publicada en el Suplemento del Registro Oficial No. 20 de 7 de s</w:t>
      </w:r>
      <w:r>
        <w:rPr>
          <w:rFonts w:eastAsia="Times New Roman"/>
          <w:sz w:val="30"/>
          <w:szCs w:val="30"/>
          <w:lang w:val="es-ES"/>
        </w:rPr>
        <w:t>eptiembre de 1998;</w:t>
      </w:r>
      <w:r>
        <w:rPr>
          <w:rFonts w:eastAsia="Times New Roman"/>
          <w:sz w:val="30"/>
          <w:szCs w:val="30"/>
          <w:lang w:val="es-ES"/>
        </w:rPr>
        <w:br/>
      </w:r>
      <w:r>
        <w:rPr>
          <w:rFonts w:eastAsia="Times New Roman"/>
          <w:sz w:val="30"/>
          <w:szCs w:val="30"/>
          <w:lang w:val="es-ES"/>
        </w:rPr>
        <w:br/>
        <w:t>6.- Ley No. 2000-4, publicada en el Suplemento del Registro Oficial No. 34 de 13 de marzo de 2000;</w:t>
      </w:r>
      <w:r>
        <w:rPr>
          <w:rFonts w:eastAsia="Times New Roman"/>
          <w:sz w:val="30"/>
          <w:szCs w:val="30"/>
          <w:lang w:val="es-ES"/>
        </w:rPr>
        <w:br/>
      </w:r>
      <w:r>
        <w:rPr>
          <w:rFonts w:eastAsia="Times New Roman"/>
          <w:sz w:val="30"/>
          <w:szCs w:val="30"/>
          <w:lang w:val="es-ES"/>
        </w:rPr>
        <w:br/>
        <w:t>7.- Ley No. 2000-10, publicada en el Suplemento del Registro Oficial No. 48 de 31 de marzo del 2000;</w:t>
      </w:r>
      <w:r>
        <w:rPr>
          <w:rFonts w:eastAsia="Times New Roman"/>
          <w:sz w:val="30"/>
          <w:szCs w:val="30"/>
          <w:lang w:val="es-ES"/>
        </w:rPr>
        <w:br/>
      </w:r>
      <w:r>
        <w:rPr>
          <w:rFonts w:eastAsia="Times New Roman"/>
          <w:sz w:val="30"/>
          <w:szCs w:val="30"/>
          <w:lang w:val="es-ES"/>
        </w:rPr>
        <w:br/>
        <w:t>8.- Ley General de Instituciones d</w:t>
      </w:r>
      <w:r>
        <w:rPr>
          <w:rFonts w:eastAsia="Times New Roman"/>
          <w:sz w:val="30"/>
          <w:szCs w:val="30"/>
          <w:lang w:val="es-ES"/>
        </w:rPr>
        <w:t>el Sistema Financiero, codificación publicada en el Registro Oficial No. 250, de fecha 23 de enero del 2001; y,</w:t>
      </w:r>
      <w:r>
        <w:rPr>
          <w:rFonts w:eastAsia="Times New Roman"/>
          <w:sz w:val="30"/>
          <w:szCs w:val="30"/>
          <w:lang w:val="es-ES"/>
        </w:rPr>
        <w:br/>
      </w:r>
      <w:r>
        <w:rPr>
          <w:rFonts w:eastAsia="Times New Roman"/>
          <w:sz w:val="30"/>
          <w:szCs w:val="30"/>
          <w:lang w:val="es-ES"/>
        </w:rPr>
        <w:br/>
        <w:t>9.- Ley No. 2001-55, publicada en el Suplemento del Registro Oficial No. 465 de 30 de noviembre del 2001.</w:t>
      </w:r>
    </w:p>
    <w:p w:rsidR="00000000" w:rsidRDefault="0018461E">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CONCORDANCIAS DE LA CODIFICACIÓN DE </w:t>
      </w:r>
      <w:r>
        <w:rPr>
          <w:rFonts w:eastAsia="Times New Roman"/>
          <w:b/>
          <w:bCs/>
          <w:sz w:val="30"/>
          <w:szCs w:val="30"/>
          <w:lang w:val="es-ES"/>
        </w:rPr>
        <w:t>LA LEY GENERAL DE SEGUROS</w:t>
      </w:r>
    </w:p>
    <w:p w:rsidR="00000000" w:rsidRDefault="0018461E">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1327"/>
        <w:gridCol w:w="1327"/>
        <w:gridCol w:w="1327"/>
        <w:gridCol w:w="1327"/>
        <w:gridCol w:w="1327"/>
      </w:tblGrid>
      <w:tr w:rsidR="00000000">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b/>
                <w:bCs/>
              </w:rPr>
              <w:t>Numeración</w:t>
            </w:r>
            <w:r>
              <w:rPr>
                <w:rFonts w:eastAsia="Times New Roman"/>
                <w:b/>
                <w:bCs/>
              </w:rPr>
              <w:br/>
              <w:t>Anterior </w:t>
            </w:r>
          </w:p>
        </w:tc>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b/>
                <w:bCs/>
              </w:rPr>
              <w:t>Numeración</w:t>
            </w:r>
            <w:r>
              <w:rPr>
                <w:rFonts w:eastAsia="Times New Roman"/>
                <w:b/>
                <w:bCs/>
              </w:rPr>
              <w:br/>
              <w:t>Actual </w:t>
            </w:r>
          </w:p>
        </w:tc>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b/>
                <w:bCs/>
              </w:rPr>
              <w:t>Numeración</w:t>
            </w:r>
            <w:r>
              <w:rPr>
                <w:rFonts w:eastAsia="Times New Roman"/>
                <w:b/>
                <w:bCs/>
              </w:rPr>
              <w:br/>
              <w:t>Anterior </w:t>
            </w:r>
          </w:p>
        </w:tc>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b/>
                <w:bCs/>
              </w:rPr>
              <w:t>Numeración</w:t>
            </w:r>
            <w:r>
              <w:rPr>
                <w:rFonts w:eastAsia="Times New Roman"/>
                <w:b/>
                <w:bCs/>
              </w:rPr>
              <w:br/>
              <w:t>Actual </w:t>
            </w:r>
          </w:p>
        </w:tc>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b/>
                <w:bCs/>
              </w:rPr>
              <w:t>Numeración</w:t>
            </w:r>
            <w:r>
              <w:rPr>
                <w:rFonts w:eastAsia="Times New Roman"/>
                <w:b/>
                <w:bCs/>
              </w:rPr>
              <w:br/>
              <w:t>Anterior </w:t>
            </w:r>
          </w:p>
        </w:tc>
        <w:tc>
          <w:tcPr>
            <w:tcW w:w="0" w:type="auto"/>
            <w:tcBorders>
              <w:top w:val="outset"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b/>
                <w:bCs/>
              </w:rPr>
              <w:t>Numeración</w:t>
            </w:r>
            <w:r>
              <w:rPr>
                <w:rFonts w:eastAsia="Times New Roman"/>
                <w:b/>
                <w:bCs/>
              </w:rPr>
              <w:br/>
              <w:t>Actual </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63</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64</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64</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65</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65</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66</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66</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67</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67</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68</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68</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69</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69</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70</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71</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72</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72</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73</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73</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74</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74</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75</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75</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76</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76</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77</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77</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78</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78</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79</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79</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1ra.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2da.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3ra.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1ra. D.T.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4ta.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2da. D.T.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5ta.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6ta.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3ra. D.T.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7ma.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8va.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9na.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10ma. D.T</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4ta. D.T.</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Art. Final</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Art. Final</w:t>
            </w:r>
          </w:p>
        </w:tc>
      </w:tr>
      <w:tr w:rsidR="00000000">
        <w:trPr>
          <w:tblCellSpacing w:w="0" w:type="dxa"/>
          <w:jc w:val="center"/>
        </w:trPr>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61E">
            <w:pPr>
              <w:jc w:val="cente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outset" w:sz="6" w:space="0" w:color="000000"/>
            </w:tcBorders>
            <w:vAlign w:val="center"/>
            <w:hideMark/>
          </w:tcPr>
          <w:p w:rsidR="00000000" w:rsidRDefault="0018461E">
            <w:pPr>
              <w:jc w:val="center"/>
              <w:rPr>
                <w:rFonts w:eastAsia="Times New Roman"/>
              </w:rPr>
            </w:pPr>
            <w:r>
              <w:rPr>
                <w:rFonts w:eastAsia="Times New Roman"/>
              </w:rPr>
              <w:t> </w:t>
            </w:r>
          </w:p>
        </w:tc>
      </w:tr>
      <w:tr w:rsidR="00000000">
        <w:trPr>
          <w:tblCellSpacing w:w="0" w:type="dxa"/>
          <w:jc w:val="center"/>
        </w:trPr>
        <w:tc>
          <w:tcPr>
            <w:tcW w:w="0" w:type="auto"/>
            <w:tcBorders>
              <w:top w:val="single" w:sz="6" w:space="0" w:color="000000"/>
              <w:left w:val="outset" w:sz="6" w:space="0" w:color="000000"/>
              <w:bottom w:val="outset" w:sz="6" w:space="0" w:color="000000"/>
              <w:right w:val="single" w:sz="6" w:space="0" w:color="000000"/>
            </w:tcBorders>
            <w:vAlign w:val="center"/>
            <w:hideMark/>
          </w:tcPr>
          <w:p w:rsidR="00000000" w:rsidRDefault="0018461E">
            <w:pPr>
              <w:jc w:val="center"/>
              <w:rPr>
                <w:rFonts w:eastAsia="Times New Roman"/>
              </w:rPr>
            </w:pPr>
            <w:r>
              <w:rPr>
                <w:rFonts w:eastAsia="Times New Roman"/>
              </w:rPr>
              <w:t>31</w:t>
            </w:r>
          </w:p>
        </w:tc>
        <w:tc>
          <w:tcPr>
            <w:tcW w:w="0" w:type="auto"/>
            <w:tcBorders>
              <w:top w:val="single" w:sz="6" w:space="0" w:color="000000"/>
              <w:left w:val="single" w:sz="6" w:space="0" w:color="000000"/>
              <w:bottom w:val="outset" w:sz="6" w:space="0" w:color="000000"/>
              <w:right w:val="single" w:sz="6" w:space="0" w:color="000000"/>
            </w:tcBorders>
            <w:vAlign w:val="center"/>
            <w:hideMark/>
          </w:tcPr>
          <w:p w:rsidR="00000000" w:rsidRDefault="0018461E">
            <w:pPr>
              <w:jc w:val="center"/>
              <w:rPr>
                <w:rFonts w:eastAsia="Times New Roman"/>
              </w:rPr>
            </w:pPr>
            <w:r>
              <w:rPr>
                <w:rFonts w:eastAsia="Times New Roman"/>
              </w:rPr>
              <w:t>31</w:t>
            </w:r>
          </w:p>
        </w:tc>
        <w:tc>
          <w:tcPr>
            <w:tcW w:w="0" w:type="auto"/>
            <w:tcBorders>
              <w:top w:val="single" w:sz="6" w:space="0" w:color="000000"/>
              <w:left w:val="single" w:sz="6" w:space="0" w:color="000000"/>
              <w:bottom w:val="outset" w:sz="6" w:space="0" w:color="000000"/>
              <w:right w:val="single" w:sz="6" w:space="0" w:color="000000"/>
            </w:tcBorders>
            <w:vAlign w:val="center"/>
            <w:hideMark/>
          </w:tcPr>
          <w:p w:rsidR="00000000" w:rsidRDefault="0018461E">
            <w:pPr>
              <w:jc w:val="center"/>
              <w:rPr>
                <w:rFonts w:eastAsia="Times New Roman"/>
              </w:rPr>
            </w:pPr>
            <w:r>
              <w:rPr>
                <w:rFonts w:eastAsia="Times New Roman"/>
              </w:rPr>
              <w:t>62</w:t>
            </w:r>
          </w:p>
        </w:tc>
        <w:tc>
          <w:tcPr>
            <w:tcW w:w="0" w:type="auto"/>
            <w:tcBorders>
              <w:top w:val="single" w:sz="6" w:space="0" w:color="000000"/>
              <w:left w:val="single" w:sz="6" w:space="0" w:color="000000"/>
              <w:bottom w:val="outset" w:sz="6" w:space="0" w:color="000000"/>
              <w:right w:val="single" w:sz="6" w:space="0" w:color="000000"/>
            </w:tcBorders>
            <w:vAlign w:val="center"/>
            <w:hideMark/>
          </w:tcPr>
          <w:p w:rsidR="00000000" w:rsidRDefault="0018461E">
            <w:pPr>
              <w:jc w:val="center"/>
              <w:rPr>
                <w:rFonts w:eastAsia="Times New Roman"/>
              </w:rPr>
            </w:pPr>
            <w:r>
              <w:rPr>
                <w:rFonts w:eastAsia="Times New Roman"/>
              </w:rPr>
              <w:t>62</w:t>
            </w:r>
          </w:p>
        </w:tc>
        <w:tc>
          <w:tcPr>
            <w:tcW w:w="0" w:type="auto"/>
            <w:tcBorders>
              <w:top w:val="single" w:sz="6" w:space="0" w:color="000000"/>
              <w:left w:val="single" w:sz="6" w:space="0" w:color="000000"/>
              <w:bottom w:val="outset" w:sz="6" w:space="0" w:color="000000"/>
              <w:right w:val="single" w:sz="6" w:space="0" w:color="000000"/>
            </w:tcBorders>
            <w:vAlign w:val="center"/>
            <w:hideMark/>
          </w:tcPr>
          <w:p w:rsidR="00000000" w:rsidRDefault="0018461E">
            <w:pPr>
              <w:jc w:val="center"/>
              <w:rPr>
                <w:rFonts w:eastAsia="Times New Roman"/>
              </w:rPr>
            </w:pPr>
            <w:r>
              <w:rPr>
                <w:rFonts w:eastAsia="Times New Roman"/>
              </w:rPr>
              <w:t> </w:t>
            </w:r>
          </w:p>
        </w:tc>
        <w:tc>
          <w:tcPr>
            <w:tcW w:w="0" w:type="auto"/>
            <w:tcBorders>
              <w:top w:val="single" w:sz="6" w:space="0" w:color="000000"/>
              <w:left w:val="single" w:sz="6" w:space="0" w:color="000000"/>
              <w:bottom w:val="outset" w:sz="6" w:space="0" w:color="000000"/>
              <w:right w:val="outset" w:sz="6" w:space="0" w:color="000000"/>
            </w:tcBorders>
            <w:vAlign w:val="center"/>
            <w:hideMark/>
          </w:tcPr>
          <w:p w:rsidR="00000000" w:rsidRDefault="0018461E">
            <w:pPr>
              <w:jc w:val="center"/>
              <w:rPr>
                <w:rFonts w:eastAsia="Times New Roman"/>
              </w:rPr>
            </w:pPr>
            <w:r>
              <w:rPr>
                <w:rFonts w:eastAsia="Times New Roman"/>
              </w:rPr>
              <w:t> </w:t>
            </w:r>
          </w:p>
        </w:tc>
      </w:tr>
    </w:tbl>
    <w:p w:rsidR="00000000" w:rsidRDefault="0018461E">
      <w:pPr>
        <w:jc w:val="center"/>
        <w:rPr>
          <w:rFonts w:eastAsia="Times New Roman"/>
          <w:sz w:val="36"/>
          <w:szCs w:val="36"/>
          <w:lang w:val="es-ES"/>
        </w:rPr>
      </w:pPr>
      <w:r>
        <w:rPr>
          <w:rFonts w:eastAsia="Times New Roman"/>
          <w:b/>
          <w:bCs/>
          <w:sz w:val="36"/>
          <w:szCs w:val="36"/>
          <w:lang w:val="es-ES"/>
        </w:rPr>
        <w:br/>
        <w:t>FUENTES DE LA PRESENTE EDICIÓN DE LA LEY GENERAL DE SEGUROS</w:t>
      </w:r>
    </w:p>
    <w:p w:rsidR="00000000" w:rsidRDefault="0018461E">
      <w:pPr>
        <w:divId w:val="1337920347"/>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Codificación 2006-010 (Registro Oficial 403, 23-XI-2006)</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(Suplemento del Registro Oficial 395, 4-VIII-2008)</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(Segundo Suplemento del Registro Oficial 100, 14-X-2013)</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w:t>
      </w:r>
      <w:r>
        <w:rPr>
          <w:rFonts w:eastAsia="Times New Roman"/>
          <w:sz w:val="30"/>
          <w:szCs w:val="30"/>
          <w:lang w:val="es-ES"/>
        </w:rPr>
        <w:t xml:space="preserve"> Código Orgánico Integral Penal ( Suplemento del Registro Oficial </w:t>
      </w:r>
      <w:r>
        <w:rPr>
          <w:rFonts w:eastAsia="Times New Roman"/>
          <w:sz w:val="30"/>
          <w:szCs w:val="30"/>
          <w:lang w:val="es-ES"/>
        </w:rPr>
        <w:lastRenderedPageBreak/>
        <w:t>No. 180, 10-II-2014)</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Ley s/n (Suplemento del Registro Oficial 249, 20-V-2014).</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Código Orgánico Monetario y Fina</w:t>
      </w:r>
      <w:r>
        <w:rPr>
          <w:rFonts w:eastAsia="Times New Roman"/>
          <w:sz w:val="30"/>
          <w:szCs w:val="30"/>
          <w:lang w:val="es-ES"/>
        </w:rPr>
        <w:t>nciero (Segundo Suplemento del Registro Oficial 332, 12-IX-2014).</w:t>
      </w:r>
    </w:p>
    <w:p w:rsidR="00000000" w:rsidRDefault="00184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ORGÁNICO MONETARIO Y FINANCIERO</w:t>
      </w:r>
    </w:p>
    <w:p w:rsidR="0018461E" w:rsidRDefault="0018461E">
      <w:pPr>
        <w:divId w:val="568659269"/>
        <w:rPr>
          <w:rFonts w:eastAsia="Times New Roman"/>
          <w:sz w:val="30"/>
          <w:szCs w:val="30"/>
          <w:lang w:val="es-ES"/>
        </w:rPr>
      </w:pP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(Segundo Suplemento del Registro Oficial 332, 12-IX-2014)</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(Tercer Suplemento del Regist</w:t>
      </w:r>
      <w:r>
        <w:rPr>
          <w:rFonts w:eastAsia="Times New Roman"/>
          <w:sz w:val="30"/>
          <w:szCs w:val="30"/>
          <w:lang w:val="es-ES"/>
        </w:rPr>
        <w:t>ro Oficial 598, 30-IX-2015)</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(Suplemento del Registro Oficial 615, 26-X-2015)</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(Suplemento del Registro Oficial 652, 18-XII-2015)</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Código s/n (Suplemento del Registro Oficial 506, 22-V-2015)</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 xml:space="preserve">Ley s/n (Segundo Suplemento del </w:t>
      </w:r>
      <w:r>
        <w:rPr>
          <w:rFonts w:eastAsia="Times New Roman"/>
          <w:sz w:val="30"/>
          <w:szCs w:val="30"/>
          <w:lang w:val="es-ES"/>
        </w:rPr>
        <w:t>Registro Oficial 802, 21-VII-2016)</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Ley s/n (Sexto Suplemento del Registro Oficial 913, 30-XII-2016).</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w:t>
      </w:r>
      <w:r>
        <w:rPr>
          <w:rFonts w:eastAsia="Times New Roman"/>
          <w:sz w:val="30"/>
          <w:szCs w:val="30"/>
          <w:lang w:val="es-ES"/>
        </w:rPr>
        <w:t>Ley s/n (Segundo Suplemento del Registro Oficial 966, 20-III-2017).</w:t>
      </w:r>
      <w:r>
        <w:rPr>
          <w:rFonts w:eastAsia="Times New Roman"/>
          <w:sz w:val="30"/>
          <w:szCs w:val="30"/>
          <w:lang w:val="es-ES"/>
        </w:rPr>
        <w:br/>
      </w:r>
      <w:r>
        <w:rPr>
          <w:rFonts w:eastAsia="Times New Roman"/>
          <w:sz w:val="30"/>
          <w:szCs w:val="30"/>
          <w:lang w:val="es-ES"/>
        </w:rPr>
        <w:br/>
        <w:t>9.-</w:t>
      </w:r>
      <w:r>
        <w:rPr>
          <w:rFonts w:eastAsia="Times New Roman"/>
          <w:sz w:val="30"/>
          <w:szCs w:val="30"/>
          <w:lang w:val="es-ES"/>
        </w:rPr>
        <w:t xml:space="preserve"> </w:t>
      </w:r>
      <w:r>
        <w:rPr>
          <w:rFonts w:eastAsia="Times New Roman"/>
          <w:sz w:val="30"/>
          <w:szCs w:val="30"/>
          <w:lang w:val="es-ES"/>
        </w:rPr>
        <w:t>Ley s/n (Suplemento del Registro Oficial 986, 18-IV-2017).</w:t>
      </w:r>
    </w:p>
    <w:sectPr w:rsidR="00184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B2E24"/>
    <w:rsid w:val="0018461E"/>
    <w:rsid w:val="009B2E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4DEB1E-3FED-48DC-83DA-1129B124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06">
      <w:marLeft w:val="0"/>
      <w:marRight w:val="0"/>
      <w:marTop w:val="0"/>
      <w:marBottom w:val="0"/>
      <w:divBdr>
        <w:top w:val="none" w:sz="0" w:space="0" w:color="auto"/>
        <w:left w:val="none" w:sz="0" w:space="0" w:color="auto"/>
        <w:bottom w:val="none" w:sz="0" w:space="0" w:color="auto"/>
        <w:right w:val="none" w:sz="0" w:space="0" w:color="auto"/>
      </w:divBdr>
    </w:div>
    <w:div w:id="2904228">
      <w:marLeft w:val="0"/>
      <w:marRight w:val="0"/>
      <w:marTop w:val="0"/>
      <w:marBottom w:val="0"/>
      <w:divBdr>
        <w:top w:val="none" w:sz="0" w:space="0" w:color="auto"/>
        <w:left w:val="none" w:sz="0" w:space="0" w:color="auto"/>
        <w:bottom w:val="none" w:sz="0" w:space="0" w:color="auto"/>
        <w:right w:val="none" w:sz="0" w:space="0" w:color="auto"/>
      </w:divBdr>
    </w:div>
    <w:div w:id="4327767">
      <w:marLeft w:val="0"/>
      <w:marRight w:val="0"/>
      <w:marTop w:val="0"/>
      <w:marBottom w:val="0"/>
      <w:divBdr>
        <w:top w:val="none" w:sz="0" w:space="0" w:color="auto"/>
        <w:left w:val="none" w:sz="0" w:space="0" w:color="auto"/>
        <w:bottom w:val="none" w:sz="0" w:space="0" w:color="auto"/>
        <w:right w:val="none" w:sz="0" w:space="0" w:color="auto"/>
      </w:divBdr>
    </w:div>
    <w:div w:id="5208624">
      <w:marLeft w:val="0"/>
      <w:marRight w:val="0"/>
      <w:marTop w:val="0"/>
      <w:marBottom w:val="0"/>
      <w:divBdr>
        <w:top w:val="none" w:sz="0" w:space="0" w:color="auto"/>
        <w:left w:val="none" w:sz="0" w:space="0" w:color="auto"/>
        <w:bottom w:val="none" w:sz="0" w:space="0" w:color="auto"/>
        <w:right w:val="none" w:sz="0" w:space="0" w:color="auto"/>
      </w:divBdr>
    </w:div>
    <w:div w:id="9063620">
      <w:marLeft w:val="0"/>
      <w:marRight w:val="0"/>
      <w:marTop w:val="0"/>
      <w:marBottom w:val="0"/>
      <w:divBdr>
        <w:top w:val="none" w:sz="0" w:space="0" w:color="auto"/>
        <w:left w:val="none" w:sz="0" w:space="0" w:color="auto"/>
        <w:bottom w:val="none" w:sz="0" w:space="0" w:color="auto"/>
        <w:right w:val="none" w:sz="0" w:space="0" w:color="auto"/>
      </w:divBdr>
    </w:div>
    <w:div w:id="11802779">
      <w:marLeft w:val="0"/>
      <w:marRight w:val="0"/>
      <w:marTop w:val="0"/>
      <w:marBottom w:val="0"/>
      <w:divBdr>
        <w:top w:val="none" w:sz="0" w:space="0" w:color="auto"/>
        <w:left w:val="none" w:sz="0" w:space="0" w:color="auto"/>
        <w:bottom w:val="none" w:sz="0" w:space="0" w:color="auto"/>
        <w:right w:val="none" w:sz="0" w:space="0" w:color="auto"/>
      </w:divBdr>
    </w:div>
    <w:div w:id="11880131">
      <w:marLeft w:val="0"/>
      <w:marRight w:val="0"/>
      <w:marTop w:val="0"/>
      <w:marBottom w:val="0"/>
      <w:divBdr>
        <w:top w:val="none" w:sz="0" w:space="0" w:color="auto"/>
        <w:left w:val="none" w:sz="0" w:space="0" w:color="auto"/>
        <w:bottom w:val="none" w:sz="0" w:space="0" w:color="auto"/>
        <w:right w:val="none" w:sz="0" w:space="0" w:color="auto"/>
      </w:divBdr>
    </w:div>
    <w:div w:id="12611821">
      <w:marLeft w:val="0"/>
      <w:marRight w:val="0"/>
      <w:marTop w:val="0"/>
      <w:marBottom w:val="0"/>
      <w:divBdr>
        <w:top w:val="none" w:sz="0" w:space="0" w:color="auto"/>
        <w:left w:val="none" w:sz="0" w:space="0" w:color="auto"/>
        <w:bottom w:val="none" w:sz="0" w:space="0" w:color="auto"/>
        <w:right w:val="none" w:sz="0" w:space="0" w:color="auto"/>
      </w:divBdr>
    </w:div>
    <w:div w:id="14381966">
      <w:marLeft w:val="0"/>
      <w:marRight w:val="0"/>
      <w:marTop w:val="0"/>
      <w:marBottom w:val="0"/>
      <w:divBdr>
        <w:top w:val="none" w:sz="0" w:space="0" w:color="auto"/>
        <w:left w:val="none" w:sz="0" w:space="0" w:color="auto"/>
        <w:bottom w:val="none" w:sz="0" w:space="0" w:color="auto"/>
        <w:right w:val="none" w:sz="0" w:space="0" w:color="auto"/>
      </w:divBdr>
    </w:div>
    <w:div w:id="17704480">
      <w:marLeft w:val="0"/>
      <w:marRight w:val="0"/>
      <w:marTop w:val="0"/>
      <w:marBottom w:val="0"/>
      <w:divBdr>
        <w:top w:val="none" w:sz="0" w:space="0" w:color="auto"/>
        <w:left w:val="none" w:sz="0" w:space="0" w:color="auto"/>
        <w:bottom w:val="none" w:sz="0" w:space="0" w:color="auto"/>
        <w:right w:val="none" w:sz="0" w:space="0" w:color="auto"/>
      </w:divBdr>
    </w:div>
    <w:div w:id="19355072">
      <w:marLeft w:val="0"/>
      <w:marRight w:val="0"/>
      <w:marTop w:val="0"/>
      <w:marBottom w:val="0"/>
      <w:divBdr>
        <w:top w:val="none" w:sz="0" w:space="0" w:color="auto"/>
        <w:left w:val="none" w:sz="0" w:space="0" w:color="auto"/>
        <w:bottom w:val="none" w:sz="0" w:space="0" w:color="auto"/>
        <w:right w:val="none" w:sz="0" w:space="0" w:color="auto"/>
      </w:divBdr>
    </w:div>
    <w:div w:id="19555237">
      <w:marLeft w:val="0"/>
      <w:marRight w:val="0"/>
      <w:marTop w:val="0"/>
      <w:marBottom w:val="0"/>
      <w:divBdr>
        <w:top w:val="none" w:sz="0" w:space="0" w:color="auto"/>
        <w:left w:val="none" w:sz="0" w:space="0" w:color="auto"/>
        <w:bottom w:val="none" w:sz="0" w:space="0" w:color="auto"/>
        <w:right w:val="none" w:sz="0" w:space="0" w:color="auto"/>
      </w:divBdr>
    </w:div>
    <w:div w:id="20009503">
      <w:marLeft w:val="0"/>
      <w:marRight w:val="0"/>
      <w:marTop w:val="0"/>
      <w:marBottom w:val="0"/>
      <w:divBdr>
        <w:top w:val="none" w:sz="0" w:space="0" w:color="auto"/>
        <w:left w:val="none" w:sz="0" w:space="0" w:color="auto"/>
        <w:bottom w:val="none" w:sz="0" w:space="0" w:color="auto"/>
        <w:right w:val="none" w:sz="0" w:space="0" w:color="auto"/>
      </w:divBdr>
    </w:div>
    <w:div w:id="20325738">
      <w:marLeft w:val="0"/>
      <w:marRight w:val="0"/>
      <w:marTop w:val="0"/>
      <w:marBottom w:val="0"/>
      <w:divBdr>
        <w:top w:val="none" w:sz="0" w:space="0" w:color="auto"/>
        <w:left w:val="none" w:sz="0" w:space="0" w:color="auto"/>
        <w:bottom w:val="none" w:sz="0" w:space="0" w:color="auto"/>
        <w:right w:val="none" w:sz="0" w:space="0" w:color="auto"/>
      </w:divBdr>
    </w:div>
    <w:div w:id="20785561">
      <w:marLeft w:val="0"/>
      <w:marRight w:val="0"/>
      <w:marTop w:val="0"/>
      <w:marBottom w:val="0"/>
      <w:divBdr>
        <w:top w:val="none" w:sz="0" w:space="0" w:color="auto"/>
        <w:left w:val="none" w:sz="0" w:space="0" w:color="auto"/>
        <w:bottom w:val="none" w:sz="0" w:space="0" w:color="auto"/>
        <w:right w:val="none" w:sz="0" w:space="0" w:color="auto"/>
      </w:divBdr>
    </w:div>
    <w:div w:id="24595943">
      <w:marLeft w:val="0"/>
      <w:marRight w:val="0"/>
      <w:marTop w:val="0"/>
      <w:marBottom w:val="0"/>
      <w:divBdr>
        <w:top w:val="none" w:sz="0" w:space="0" w:color="auto"/>
        <w:left w:val="none" w:sz="0" w:space="0" w:color="auto"/>
        <w:bottom w:val="none" w:sz="0" w:space="0" w:color="auto"/>
        <w:right w:val="none" w:sz="0" w:space="0" w:color="auto"/>
      </w:divBdr>
    </w:div>
    <w:div w:id="27459665">
      <w:marLeft w:val="0"/>
      <w:marRight w:val="0"/>
      <w:marTop w:val="0"/>
      <w:marBottom w:val="0"/>
      <w:divBdr>
        <w:top w:val="none" w:sz="0" w:space="0" w:color="auto"/>
        <w:left w:val="none" w:sz="0" w:space="0" w:color="auto"/>
        <w:bottom w:val="none" w:sz="0" w:space="0" w:color="auto"/>
        <w:right w:val="none" w:sz="0" w:space="0" w:color="auto"/>
      </w:divBdr>
    </w:div>
    <w:div w:id="29425970">
      <w:marLeft w:val="0"/>
      <w:marRight w:val="0"/>
      <w:marTop w:val="0"/>
      <w:marBottom w:val="0"/>
      <w:divBdr>
        <w:top w:val="none" w:sz="0" w:space="0" w:color="auto"/>
        <w:left w:val="none" w:sz="0" w:space="0" w:color="auto"/>
        <w:bottom w:val="none" w:sz="0" w:space="0" w:color="auto"/>
        <w:right w:val="none" w:sz="0" w:space="0" w:color="auto"/>
      </w:divBdr>
    </w:div>
    <w:div w:id="31342862">
      <w:marLeft w:val="0"/>
      <w:marRight w:val="0"/>
      <w:marTop w:val="0"/>
      <w:marBottom w:val="0"/>
      <w:divBdr>
        <w:top w:val="none" w:sz="0" w:space="0" w:color="auto"/>
        <w:left w:val="none" w:sz="0" w:space="0" w:color="auto"/>
        <w:bottom w:val="none" w:sz="0" w:space="0" w:color="auto"/>
        <w:right w:val="none" w:sz="0" w:space="0" w:color="auto"/>
      </w:divBdr>
    </w:div>
    <w:div w:id="32659653">
      <w:marLeft w:val="0"/>
      <w:marRight w:val="0"/>
      <w:marTop w:val="0"/>
      <w:marBottom w:val="0"/>
      <w:divBdr>
        <w:top w:val="none" w:sz="0" w:space="0" w:color="auto"/>
        <w:left w:val="none" w:sz="0" w:space="0" w:color="auto"/>
        <w:bottom w:val="none" w:sz="0" w:space="0" w:color="auto"/>
        <w:right w:val="none" w:sz="0" w:space="0" w:color="auto"/>
      </w:divBdr>
    </w:div>
    <w:div w:id="34548665">
      <w:marLeft w:val="0"/>
      <w:marRight w:val="0"/>
      <w:marTop w:val="0"/>
      <w:marBottom w:val="0"/>
      <w:divBdr>
        <w:top w:val="none" w:sz="0" w:space="0" w:color="auto"/>
        <w:left w:val="none" w:sz="0" w:space="0" w:color="auto"/>
        <w:bottom w:val="none" w:sz="0" w:space="0" w:color="auto"/>
        <w:right w:val="none" w:sz="0" w:space="0" w:color="auto"/>
      </w:divBdr>
    </w:div>
    <w:div w:id="35205891">
      <w:marLeft w:val="0"/>
      <w:marRight w:val="0"/>
      <w:marTop w:val="0"/>
      <w:marBottom w:val="0"/>
      <w:divBdr>
        <w:top w:val="none" w:sz="0" w:space="0" w:color="auto"/>
        <w:left w:val="none" w:sz="0" w:space="0" w:color="auto"/>
        <w:bottom w:val="none" w:sz="0" w:space="0" w:color="auto"/>
        <w:right w:val="none" w:sz="0" w:space="0" w:color="auto"/>
      </w:divBdr>
    </w:div>
    <w:div w:id="35394588">
      <w:marLeft w:val="0"/>
      <w:marRight w:val="0"/>
      <w:marTop w:val="0"/>
      <w:marBottom w:val="0"/>
      <w:divBdr>
        <w:top w:val="none" w:sz="0" w:space="0" w:color="auto"/>
        <w:left w:val="none" w:sz="0" w:space="0" w:color="auto"/>
        <w:bottom w:val="none" w:sz="0" w:space="0" w:color="auto"/>
        <w:right w:val="none" w:sz="0" w:space="0" w:color="auto"/>
      </w:divBdr>
    </w:div>
    <w:div w:id="35546466">
      <w:marLeft w:val="0"/>
      <w:marRight w:val="0"/>
      <w:marTop w:val="0"/>
      <w:marBottom w:val="0"/>
      <w:divBdr>
        <w:top w:val="none" w:sz="0" w:space="0" w:color="auto"/>
        <w:left w:val="none" w:sz="0" w:space="0" w:color="auto"/>
        <w:bottom w:val="none" w:sz="0" w:space="0" w:color="auto"/>
        <w:right w:val="none" w:sz="0" w:space="0" w:color="auto"/>
      </w:divBdr>
    </w:div>
    <w:div w:id="36859225">
      <w:marLeft w:val="0"/>
      <w:marRight w:val="0"/>
      <w:marTop w:val="0"/>
      <w:marBottom w:val="0"/>
      <w:divBdr>
        <w:top w:val="none" w:sz="0" w:space="0" w:color="auto"/>
        <w:left w:val="none" w:sz="0" w:space="0" w:color="auto"/>
        <w:bottom w:val="none" w:sz="0" w:space="0" w:color="auto"/>
        <w:right w:val="none" w:sz="0" w:space="0" w:color="auto"/>
      </w:divBdr>
    </w:div>
    <w:div w:id="43143709">
      <w:marLeft w:val="0"/>
      <w:marRight w:val="0"/>
      <w:marTop w:val="0"/>
      <w:marBottom w:val="0"/>
      <w:divBdr>
        <w:top w:val="none" w:sz="0" w:space="0" w:color="auto"/>
        <w:left w:val="none" w:sz="0" w:space="0" w:color="auto"/>
        <w:bottom w:val="none" w:sz="0" w:space="0" w:color="auto"/>
        <w:right w:val="none" w:sz="0" w:space="0" w:color="auto"/>
      </w:divBdr>
    </w:div>
    <w:div w:id="45108207">
      <w:marLeft w:val="0"/>
      <w:marRight w:val="0"/>
      <w:marTop w:val="0"/>
      <w:marBottom w:val="0"/>
      <w:divBdr>
        <w:top w:val="none" w:sz="0" w:space="0" w:color="auto"/>
        <w:left w:val="none" w:sz="0" w:space="0" w:color="auto"/>
        <w:bottom w:val="none" w:sz="0" w:space="0" w:color="auto"/>
        <w:right w:val="none" w:sz="0" w:space="0" w:color="auto"/>
      </w:divBdr>
    </w:div>
    <w:div w:id="46540745">
      <w:marLeft w:val="0"/>
      <w:marRight w:val="0"/>
      <w:marTop w:val="0"/>
      <w:marBottom w:val="0"/>
      <w:divBdr>
        <w:top w:val="none" w:sz="0" w:space="0" w:color="auto"/>
        <w:left w:val="none" w:sz="0" w:space="0" w:color="auto"/>
        <w:bottom w:val="none" w:sz="0" w:space="0" w:color="auto"/>
        <w:right w:val="none" w:sz="0" w:space="0" w:color="auto"/>
      </w:divBdr>
    </w:div>
    <w:div w:id="47530803">
      <w:marLeft w:val="0"/>
      <w:marRight w:val="0"/>
      <w:marTop w:val="0"/>
      <w:marBottom w:val="0"/>
      <w:divBdr>
        <w:top w:val="none" w:sz="0" w:space="0" w:color="auto"/>
        <w:left w:val="none" w:sz="0" w:space="0" w:color="auto"/>
        <w:bottom w:val="none" w:sz="0" w:space="0" w:color="auto"/>
        <w:right w:val="none" w:sz="0" w:space="0" w:color="auto"/>
      </w:divBdr>
    </w:div>
    <w:div w:id="49890435">
      <w:marLeft w:val="0"/>
      <w:marRight w:val="0"/>
      <w:marTop w:val="0"/>
      <w:marBottom w:val="0"/>
      <w:divBdr>
        <w:top w:val="none" w:sz="0" w:space="0" w:color="auto"/>
        <w:left w:val="none" w:sz="0" w:space="0" w:color="auto"/>
        <w:bottom w:val="none" w:sz="0" w:space="0" w:color="auto"/>
        <w:right w:val="none" w:sz="0" w:space="0" w:color="auto"/>
      </w:divBdr>
    </w:div>
    <w:div w:id="55278527">
      <w:marLeft w:val="0"/>
      <w:marRight w:val="0"/>
      <w:marTop w:val="0"/>
      <w:marBottom w:val="0"/>
      <w:divBdr>
        <w:top w:val="none" w:sz="0" w:space="0" w:color="auto"/>
        <w:left w:val="none" w:sz="0" w:space="0" w:color="auto"/>
        <w:bottom w:val="none" w:sz="0" w:space="0" w:color="auto"/>
        <w:right w:val="none" w:sz="0" w:space="0" w:color="auto"/>
      </w:divBdr>
    </w:div>
    <w:div w:id="55862094">
      <w:marLeft w:val="0"/>
      <w:marRight w:val="0"/>
      <w:marTop w:val="0"/>
      <w:marBottom w:val="0"/>
      <w:divBdr>
        <w:top w:val="none" w:sz="0" w:space="0" w:color="auto"/>
        <w:left w:val="none" w:sz="0" w:space="0" w:color="auto"/>
        <w:bottom w:val="none" w:sz="0" w:space="0" w:color="auto"/>
        <w:right w:val="none" w:sz="0" w:space="0" w:color="auto"/>
      </w:divBdr>
    </w:div>
    <w:div w:id="61146958">
      <w:marLeft w:val="0"/>
      <w:marRight w:val="0"/>
      <w:marTop w:val="0"/>
      <w:marBottom w:val="0"/>
      <w:divBdr>
        <w:top w:val="none" w:sz="0" w:space="0" w:color="auto"/>
        <w:left w:val="none" w:sz="0" w:space="0" w:color="auto"/>
        <w:bottom w:val="none" w:sz="0" w:space="0" w:color="auto"/>
        <w:right w:val="none" w:sz="0" w:space="0" w:color="auto"/>
      </w:divBdr>
    </w:div>
    <w:div w:id="65959881">
      <w:marLeft w:val="0"/>
      <w:marRight w:val="0"/>
      <w:marTop w:val="0"/>
      <w:marBottom w:val="0"/>
      <w:divBdr>
        <w:top w:val="none" w:sz="0" w:space="0" w:color="auto"/>
        <w:left w:val="none" w:sz="0" w:space="0" w:color="auto"/>
        <w:bottom w:val="none" w:sz="0" w:space="0" w:color="auto"/>
        <w:right w:val="none" w:sz="0" w:space="0" w:color="auto"/>
      </w:divBdr>
    </w:div>
    <w:div w:id="67925081">
      <w:marLeft w:val="0"/>
      <w:marRight w:val="0"/>
      <w:marTop w:val="0"/>
      <w:marBottom w:val="0"/>
      <w:divBdr>
        <w:top w:val="none" w:sz="0" w:space="0" w:color="auto"/>
        <w:left w:val="none" w:sz="0" w:space="0" w:color="auto"/>
        <w:bottom w:val="none" w:sz="0" w:space="0" w:color="auto"/>
        <w:right w:val="none" w:sz="0" w:space="0" w:color="auto"/>
      </w:divBdr>
    </w:div>
    <w:div w:id="70733951">
      <w:marLeft w:val="0"/>
      <w:marRight w:val="0"/>
      <w:marTop w:val="0"/>
      <w:marBottom w:val="0"/>
      <w:divBdr>
        <w:top w:val="none" w:sz="0" w:space="0" w:color="auto"/>
        <w:left w:val="none" w:sz="0" w:space="0" w:color="auto"/>
        <w:bottom w:val="none" w:sz="0" w:space="0" w:color="auto"/>
        <w:right w:val="none" w:sz="0" w:space="0" w:color="auto"/>
      </w:divBdr>
    </w:div>
    <w:div w:id="77017540">
      <w:marLeft w:val="0"/>
      <w:marRight w:val="0"/>
      <w:marTop w:val="0"/>
      <w:marBottom w:val="0"/>
      <w:divBdr>
        <w:top w:val="none" w:sz="0" w:space="0" w:color="auto"/>
        <w:left w:val="none" w:sz="0" w:space="0" w:color="auto"/>
        <w:bottom w:val="none" w:sz="0" w:space="0" w:color="auto"/>
        <w:right w:val="none" w:sz="0" w:space="0" w:color="auto"/>
      </w:divBdr>
    </w:div>
    <w:div w:id="78333523">
      <w:marLeft w:val="0"/>
      <w:marRight w:val="0"/>
      <w:marTop w:val="0"/>
      <w:marBottom w:val="0"/>
      <w:divBdr>
        <w:top w:val="none" w:sz="0" w:space="0" w:color="auto"/>
        <w:left w:val="none" w:sz="0" w:space="0" w:color="auto"/>
        <w:bottom w:val="none" w:sz="0" w:space="0" w:color="auto"/>
        <w:right w:val="none" w:sz="0" w:space="0" w:color="auto"/>
      </w:divBdr>
    </w:div>
    <w:div w:id="79067348">
      <w:marLeft w:val="0"/>
      <w:marRight w:val="0"/>
      <w:marTop w:val="0"/>
      <w:marBottom w:val="0"/>
      <w:divBdr>
        <w:top w:val="none" w:sz="0" w:space="0" w:color="auto"/>
        <w:left w:val="none" w:sz="0" w:space="0" w:color="auto"/>
        <w:bottom w:val="none" w:sz="0" w:space="0" w:color="auto"/>
        <w:right w:val="none" w:sz="0" w:space="0" w:color="auto"/>
      </w:divBdr>
    </w:div>
    <w:div w:id="85468242">
      <w:marLeft w:val="0"/>
      <w:marRight w:val="0"/>
      <w:marTop w:val="0"/>
      <w:marBottom w:val="0"/>
      <w:divBdr>
        <w:top w:val="none" w:sz="0" w:space="0" w:color="auto"/>
        <w:left w:val="none" w:sz="0" w:space="0" w:color="auto"/>
        <w:bottom w:val="none" w:sz="0" w:space="0" w:color="auto"/>
        <w:right w:val="none" w:sz="0" w:space="0" w:color="auto"/>
      </w:divBdr>
    </w:div>
    <w:div w:id="88283344">
      <w:marLeft w:val="0"/>
      <w:marRight w:val="0"/>
      <w:marTop w:val="0"/>
      <w:marBottom w:val="0"/>
      <w:divBdr>
        <w:top w:val="none" w:sz="0" w:space="0" w:color="auto"/>
        <w:left w:val="none" w:sz="0" w:space="0" w:color="auto"/>
        <w:bottom w:val="none" w:sz="0" w:space="0" w:color="auto"/>
        <w:right w:val="none" w:sz="0" w:space="0" w:color="auto"/>
      </w:divBdr>
    </w:div>
    <w:div w:id="88351267">
      <w:marLeft w:val="0"/>
      <w:marRight w:val="0"/>
      <w:marTop w:val="0"/>
      <w:marBottom w:val="0"/>
      <w:divBdr>
        <w:top w:val="none" w:sz="0" w:space="0" w:color="auto"/>
        <w:left w:val="none" w:sz="0" w:space="0" w:color="auto"/>
        <w:bottom w:val="none" w:sz="0" w:space="0" w:color="auto"/>
        <w:right w:val="none" w:sz="0" w:space="0" w:color="auto"/>
      </w:divBdr>
    </w:div>
    <w:div w:id="88430593">
      <w:marLeft w:val="0"/>
      <w:marRight w:val="0"/>
      <w:marTop w:val="0"/>
      <w:marBottom w:val="0"/>
      <w:divBdr>
        <w:top w:val="none" w:sz="0" w:space="0" w:color="auto"/>
        <w:left w:val="none" w:sz="0" w:space="0" w:color="auto"/>
        <w:bottom w:val="none" w:sz="0" w:space="0" w:color="auto"/>
        <w:right w:val="none" w:sz="0" w:space="0" w:color="auto"/>
      </w:divBdr>
    </w:div>
    <w:div w:id="89863175">
      <w:marLeft w:val="0"/>
      <w:marRight w:val="0"/>
      <w:marTop w:val="0"/>
      <w:marBottom w:val="0"/>
      <w:divBdr>
        <w:top w:val="none" w:sz="0" w:space="0" w:color="auto"/>
        <w:left w:val="none" w:sz="0" w:space="0" w:color="auto"/>
        <w:bottom w:val="none" w:sz="0" w:space="0" w:color="auto"/>
        <w:right w:val="none" w:sz="0" w:space="0" w:color="auto"/>
      </w:divBdr>
    </w:div>
    <w:div w:id="90859126">
      <w:marLeft w:val="0"/>
      <w:marRight w:val="0"/>
      <w:marTop w:val="0"/>
      <w:marBottom w:val="0"/>
      <w:divBdr>
        <w:top w:val="none" w:sz="0" w:space="0" w:color="auto"/>
        <w:left w:val="none" w:sz="0" w:space="0" w:color="auto"/>
        <w:bottom w:val="none" w:sz="0" w:space="0" w:color="auto"/>
        <w:right w:val="none" w:sz="0" w:space="0" w:color="auto"/>
      </w:divBdr>
    </w:div>
    <w:div w:id="94518607">
      <w:marLeft w:val="0"/>
      <w:marRight w:val="0"/>
      <w:marTop w:val="0"/>
      <w:marBottom w:val="0"/>
      <w:divBdr>
        <w:top w:val="none" w:sz="0" w:space="0" w:color="auto"/>
        <w:left w:val="none" w:sz="0" w:space="0" w:color="auto"/>
        <w:bottom w:val="none" w:sz="0" w:space="0" w:color="auto"/>
        <w:right w:val="none" w:sz="0" w:space="0" w:color="auto"/>
      </w:divBdr>
    </w:div>
    <w:div w:id="98186247">
      <w:marLeft w:val="0"/>
      <w:marRight w:val="0"/>
      <w:marTop w:val="0"/>
      <w:marBottom w:val="0"/>
      <w:divBdr>
        <w:top w:val="none" w:sz="0" w:space="0" w:color="auto"/>
        <w:left w:val="none" w:sz="0" w:space="0" w:color="auto"/>
        <w:bottom w:val="none" w:sz="0" w:space="0" w:color="auto"/>
        <w:right w:val="none" w:sz="0" w:space="0" w:color="auto"/>
      </w:divBdr>
    </w:div>
    <w:div w:id="98722779">
      <w:marLeft w:val="0"/>
      <w:marRight w:val="0"/>
      <w:marTop w:val="0"/>
      <w:marBottom w:val="0"/>
      <w:divBdr>
        <w:top w:val="none" w:sz="0" w:space="0" w:color="auto"/>
        <w:left w:val="none" w:sz="0" w:space="0" w:color="auto"/>
        <w:bottom w:val="none" w:sz="0" w:space="0" w:color="auto"/>
        <w:right w:val="none" w:sz="0" w:space="0" w:color="auto"/>
      </w:divBdr>
    </w:div>
    <w:div w:id="99184270">
      <w:marLeft w:val="0"/>
      <w:marRight w:val="0"/>
      <w:marTop w:val="0"/>
      <w:marBottom w:val="0"/>
      <w:divBdr>
        <w:top w:val="none" w:sz="0" w:space="0" w:color="auto"/>
        <w:left w:val="none" w:sz="0" w:space="0" w:color="auto"/>
        <w:bottom w:val="none" w:sz="0" w:space="0" w:color="auto"/>
        <w:right w:val="none" w:sz="0" w:space="0" w:color="auto"/>
      </w:divBdr>
    </w:div>
    <w:div w:id="100035814">
      <w:marLeft w:val="0"/>
      <w:marRight w:val="0"/>
      <w:marTop w:val="0"/>
      <w:marBottom w:val="0"/>
      <w:divBdr>
        <w:top w:val="none" w:sz="0" w:space="0" w:color="auto"/>
        <w:left w:val="none" w:sz="0" w:space="0" w:color="auto"/>
        <w:bottom w:val="none" w:sz="0" w:space="0" w:color="auto"/>
        <w:right w:val="none" w:sz="0" w:space="0" w:color="auto"/>
      </w:divBdr>
    </w:div>
    <w:div w:id="100802336">
      <w:marLeft w:val="0"/>
      <w:marRight w:val="0"/>
      <w:marTop w:val="0"/>
      <w:marBottom w:val="0"/>
      <w:divBdr>
        <w:top w:val="none" w:sz="0" w:space="0" w:color="auto"/>
        <w:left w:val="none" w:sz="0" w:space="0" w:color="auto"/>
        <w:bottom w:val="none" w:sz="0" w:space="0" w:color="auto"/>
        <w:right w:val="none" w:sz="0" w:space="0" w:color="auto"/>
      </w:divBdr>
    </w:div>
    <w:div w:id="100879487">
      <w:marLeft w:val="0"/>
      <w:marRight w:val="0"/>
      <w:marTop w:val="0"/>
      <w:marBottom w:val="0"/>
      <w:divBdr>
        <w:top w:val="none" w:sz="0" w:space="0" w:color="auto"/>
        <w:left w:val="none" w:sz="0" w:space="0" w:color="auto"/>
        <w:bottom w:val="none" w:sz="0" w:space="0" w:color="auto"/>
        <w:right w:val="none" w:sz="0" w:space="0" w:color="auto"/>
      </w:divBdr>
    </w:div>
    <w:div w:id="106777564">
      <w:marLeft w:val="0"/>
      <w:marRight w:val="0"/>
      <w:marTop w:val="0"/>
      <w:marBottom w:val="0"/>
      <w:divBdr>
        <w:top w:val="none" w:sz="0" w:space="0" w:color="auto"/>
        <w:left w:val="none" w:sz="0" w:space="0" w:color="auto"/>
        <w:bottom w:val="none" w:sz="0" w:space="0" w:color="auto"/>
        <w:right w:val="none" w:sz="0" w:space="0" w:color="auto"/>
      </w:divBdr>
    </w:div>
    <w:div w:id="106782599">
      <w:marLeft w:val="0"/>
      <w:marRight w:val="0"/>
      <w:marTop w:val="0"/>
      <w:marBottom w:val="0"/>
      <w:divBdr>
        <w:top w:val="none" w:sz="0" w:space="0" w:color="auto"/>
        <w:left w:val="none" w:sz="0" w:space="0" w:color="auto"/>
        <w:bottom w:val="none" w:sz="0" w:space="0" w:color="auto"/>
        <w:right w:val="none" w:sz="0" w:space="0" w:color="auto"/>
      </w:divBdr>
    </w:div>
    <w:div w:id="114910098">
      <w:marLeft w:val="0"/>
      <w:marRight w:val="0"/>
      <w:marTop w:val="0"/>
      <w:marBottom w:val="0"/>
      <w:divBdr>
        <w:top w:val="none" w:sz="0" w:space="0" w:color="auto"/>
        <w:left w:val="none" w:sz="0" w:space="0" w:color="auto"/>
        <w:bottom w:val="none" w:sz="0" w:space="0" w:color="auto"/>
        <w:right w:val="none" w:sz="0" w:space="0" w:color="auto"/>
      </w:divBdr>
    </w:div>
    <w:div w:id="118113383">
      <w:marLeft w:val="0"/>
      <w:marRight w:val="0"/>
      <w:marTop w:val="0"/>
      <w:marBottom w:val="0"/>
      <w:divBdr>
        <w:top w:val="none" w:sz="0" w:space="0" w:color="auto"/>
        <w:left w:val="none" w:sz="0" w:space="0" w:color="auto"/>
        <w:bottom w:val="none" w:sz="0" w:space="0" w:color="auto"/>
        <w:right w:val="none" w:sz="0" w:space="0" w:color="auto"/>
      </w:divBdr>
    </w:div>
    <w:div w:id="119306628">
      <w:marLeft w:val="0"/>
      <w:marRight w:val="0"/>
      <w:marTop w:val="0"/>
      <w:marBottom w:val="0"/>
      <w:divBdr>
        <w:top w:val="none" w:sz="0" w:space="0" w:color="auto"/>
        <w:left w:val="none" w:sz="0" w:space="0" w:color="auto"/>
        <w:bottom w:val="none" w:sz="0" w:space="0" w:color="auto"/>
        <w:right w:val="none" w:sz="0" w:space="0" w:color="auto"/>
      </w:divBdr>
    </w:div>
    <w:div w:id="120080981">
      <w:marLeft w:val="0"/>
      <w:marRight w:val="0"/>
      <w:marTop w:val="0"/>
      <w:marBottom w:val="0"/>
      <w:divBdr>
        <w:top w:val="none" w:sz="0" w:space="0" w:color="auto"/>
        <w:left w:val="none" w:sz="0" w:space="0" w:color="auto"/>
        <w:bottom w:val="none" w:sz="0" w:space="0" w:color="auto"/>
        <w:right w:val="none" w:sz="0" w:space="0" w:color="auto"/>
      </w:divBdr>
    </w:div>
    <w:div w:id="121463327">
      <w:marLeft w:val="0"/>
      <w:marRight w:val="0"/>
      <w:marTop w:val="0"/>
      <w:marBottom w:val="0"/>
      <w:divBdr>
        <w:top w:val="none" w:sz="0" w:space="0" w:color="auto"/>
        <w:left w:val="none" w:sz="0" w:space="0" w:color="auto"/>
        <w:bottom w:val="none" w:sz="0" w:space="0" w:color="auto"/>
        <w:right w:val="none" w:sz="0" w:space="0" w:color="auto"/>
      </w:divBdr>
    </w:div>
    <w:div w:id="121508927">
      <w:marLeft w:val="0"/>
      <w:marRight w:val="0"/>
      <w:marTop w:val="0"/>
      <w:marBottom w:val="0"/>
      <w:divBdr>
        <w:top w:val="none" w:sz="0" w:space="0" w:color="auto"/>
        <w:left w:val="none" w:sz="0" w:space="0" w:color="auto"/>
        <w:bottom w:val="none" w:sz="0" w:space="0" w:color="auto"/>
        <w:right w:val="none" w:sz="0" w:space="0" w:color="auto"/>
      </w:divBdr>
    </w:div>
    <w:div w:id="121580546">
      <w:marLeft w:val="0"/>
      <w:marRight w:val="0"/>
      <w:marTop w:val="0"/>
      <w:marBottom w:val="0"/>
      <w:divBdr>
        <w:top w:val="none" w:sz="0" w:space="0" w:color="auto"/>
        <w:left w:val="none" w:sz="0" w:space="0" w:color="auto"/>
        <w:bottom w:val="none" w:sz="0" w:space="0" w:color="auto"/>
        <w:right w:val="none" w:sz="0" w:space="0" w:color="auto"/>
      </w:divBdr>
    </w:div>
    <w:div w:id="121656103">
      <w:marLeft w:val="0"/>
      <w:marRight w:val="0"/>
      <w:marTop w:val="0"/>
      <w:marBottom w:val="0"/>
      <w:divBdr>
        <w:top w:val="none" w:sz="0" w:space="0" w:color="auto"/>
        <w:left w:val="none" w:sz="0" w:space="0" w:color="auto"/>
        <w:bottom w:val="none" w:sz="0" w:space="0" w:color="auto"/>
        <w:right w:val="none" w:sz="0" w:space="0" w:color="auto"/>
      </w:divBdr>
    </w:div>
    <w:div w:id="123280202">
      <w:marLeft w:val="0"/>
      <w:marRight w:val="0"/>
      <w:marTop w:val="0"/>
      <w:marBottom w:val="0"/>
      <w:divBdr>
        <w:top w:val="none" w:sz="0" w:space="0" w:color="auto"/>
        <w:left w:val="none" w:sz="0" w:space="0" w:color="auto"/>
        <w:bottom w:val="none" w:sz="0" w:space="0" w:color="auto"/>
        <w:right w:val="none" w:sz="0" w:space="0" w:color="auto"/>
      </w:divBdr>
    </w:div>
    <w:div w:id="130752639">
      <w:marLeft w:val="0"/>
      <w:marRight w:val="0"/>
      <w:marTop w:val="0"/>
      <w:marBottom w:val="0"/>
      <w:divBdr>
        <w:top w:val="none" w:sz="0" w:space="0" w:color="auto"/>
        <w:left w:val="none" w:sz="0" w:space="0" w:color="auto"/>
        <w:bottom w:val="none" w:sz="0" w:space="0" w:color="auto"/>
        <w:right w:val="none" w:sz="0" w:space="0" w:color="auto"/>
      </w:divBdr>
    </w:div>
    <w:div w:id="136534869">
      <w:marLeft w:val="0"/>
      <w:marRight w:val="0"/>
      <w:marTop w:val="0"/>
      <w:marBottom w:val="0"/>
      <w:divBdr>
        <w:top w:val="none" w:sz="0" w:space="0" w:color="auto"/>
        <w:left w:val="none" w:sz="0" w:space="0" w:color="auto"/>
        <w:bottom w:val="none" w:sz="0" w:space="0" w:color="auto"/>
        <w:right w:val="none" w:sz="0" w:space="0" w:color="auto"/>
      </w:divBdr>
    </w:div>
    <w:div w:id="138034189">
      <w:marLeft w:val="0"/>
      <w:marRight w:val="0"/>
      <w:marTop w:val="0"/>
      <w:marBottom w:val="0"/>
      <w:divBdr>
        <w:top w:val="none" w:sz="0" w:space="0" w:color="auto"/>
        <w:left w:val="none" w:sz="0" w:space="0" w:color="auto"/>
        <w:bottom w:val="none" w:sz="0" w:space="0" w:color="auto"/>
        <w:right w:val="none" w:sz="0" w:space="0" w:color="auto"/>
      </w:divBdr>
    </w:div>
    <w:div w:id="138036215">
      <w:marLeft w:val="0"/>
      <w:marRight w:val="0"/>
      <w:marTop w:val="0"/>
      <w:marBottom w:val="0"/>
      <w:divBdr>
        <w:top w:val="none" w:sz="0" w:space="0" w:color="auto"/>
        <w:left w:val="none" w:sz="0" w:space="0" w:color="auto"/>
        <w:bottom w:val="none" w:sz="0" w:space="0" w:color="auto"/>
        <w:right w:val="none" w:sz="0" w:space="0" w:color="auto"/>
      </w:divBdr>
    </w:div>
    <w:div w:id="143401340">
      <w:marLeft w:val="0"/>
      <w:marRight w:val="0"/>
      <w:marTop w:val="0"/>
      <w:marBottom w:val="0"/>
      <w:divBdr>
        <w:top w:val="none" w:sz="0" w:space="0" w:color="auto"/>
        <w:left w:val="none" w:sz="0" w:space="0" w:color="auto"/>
        <w:bottom w:val="none" w:sz="0" w:space="0" w:color="auto"/>
        <w:right w:val="none" w:sz="0" w:space="0" w:color="auto"/>
      </w:divBdr>
    </w:div>
    <w:div w:id="143470253">
      <w:marLeft w:val="0"/>
      <w:marRight w:val="0"/>
      <w:marTop w:val="0"/>
      <w:marBottom w:val="0"/>
      <w:divBdr>
        <w:top w:val="none" w:sz="0" w:space="0" w:color="auto"/>
        <w:left w:val="none" w:sz="0" w:space="0" w:color="auto"/>
        <w:bottom w:val="none" w:sz="0" w:space="0" w:color="auto"/>
        <w:right w:val="none" w:sz="0" w:space="0" w:color="auto"/>
      </w:divBdr>
    </w:div>
    <w:div w:id="149105315">
      <w:marLeft w:val="0"/>
      <w:marRight w:val="0"/>
      <w:marTop w:val="0"/>
      <w:marBottom w:val="0"/>
      <w:divBdr>
        <w:top w:val="none" w:sz="0" w:space="0" w:color="auto"/>
        <w:left w:val="none" w:sz="0" w:space="0" w:color="auto"/>
        <w:bottom w:val="none" w:sz="0" w:space="0" w:color="auto"/>
        <w:right w:val="none" w:sz="0" w:space="0" w:color="auto"/>
      </w:divBdr>
    </w:div>
    <w:div w:id="150219581">
      <w:marLeft w:val="0"/>
      <w:marRight w:val="0"/>
      <w:marTop w:val="0"/>
      <w:marBottom w:val="0"/>
      <w:divBdr>
        <w:top w:val="none" w:sz="0" w:space="0" w:color="auto"/>
        <w:left w:val="none" w:sz="0" w:space="0" w:color="auto"/>
        <w:bottom w:val="none" w:sz="0" w:space="0" w:color="auto"/>
        <w:right w:val="none" w:sz="0" w:space="0" w:color="auto"/>
      </w:divBdr>
    </w:div>
    <w:div w:id="150870795">
      <w:marLeft w:val="0"/>
      <w:marRight w:val="0"/>
      <w:marTop w:val="0"/>
      <w:marBottom w:val="0"/>
      <w:divBdr>
        <w:top w:val="none" w:sz="0" w:space="0" w:color="auto"/>
        <w:left w:val="none" w:sz="0" w:space="0" w:color="auto"/>
        <w:bottom w:val="none" w:sz="0" w:space="0" w:color="auto"/>
        <w:right w:val="none" w:sz="0" w:space="0" w:color="auto"/>
      </w:divBdr>
    </w:div>
    <w:div w:id="152568901">
      <w:marLeft w:val="0"/>
      <w:marRight w:val="0"/>
      <w:marTop w:val="0"/>
      <w:marBottom w:val="0"/>
      <w:divBdr>
        <w:top w:val="none" w:sz="0" w:space="0" w:color="auto"/>
        <w:left w:val="none" w:sz="0" w:space="0" w:color="auto"/>
        <w:bottom w:val="none" w:sz="0" w:space="0" w:color="auto"/>
        <w:right w:val="none" w:sz="0" w:space="0" w:color="auto"/>
      </w:divBdr>
    </w:div>
    <w:div w:id="153374185">
      <w:marLeft w:val="0"/>
      <w:marRight w:val="0"/>
      <w:marTop w:val="0"/>
      <w:marBottom w:val="0"/>
      <w:divBdr>
        <w:top w:val="none" w:sz="0" w:space="0" w:color="auto"/>
        <w:left w:val="none" w:sz="0" w:space="0" w:color="auto"/>
        <w:bottom w:val="none" w:sz="0" w:space="0" w:color="auto"/>
        <w:right w:val="none" w:sz="0" w:space="0" w:color="auto"/>
      </w:divBdr>
    </w:div>
    <w:div w:id="153881759">
      <w:marLeft w:val="0"/>
      <w:marRight w:val="0"/>
      <w:marTop w:val="0"/>
      <w:marBottom w:val="0"/>
      <w:divBdr>
        <w:top w:val="none" w:sz="0" w:space="0" w:color="auto"/>
        <w:left w:val="none" w:sz="0" w:space="0" w:color="auto"/>
        <w:bottom w:val="none" w:sz="0" w:space="0" w:color="auto"/>
        <w:right w:val="none" w:sz="0" w:space="0" w:color="auto"/>
      </w:divBdr>
    </w:div>
    <w:div w:id="155154301">
      <w:marLeft w:val="0"/>
      <w:marRight w:val="0"/>
      <w:marTop w:val="0"/>
      <w:marBottom w:val="0"/>
      <w:divBdr>
        <w:top w:val="none" w:sz="0" w:space="0" w:color="auto"/>
        <w:left w:val="none" w:sz="0" w:space="0" w:color="auto"/>
        <w:bottom w:val="none" w:sz="0" w:space="0" w:color="auto"/>
        <w:right w:val="none" w:sz="0" w:space="0" w:color="auto"/>
      </w:divBdr>
    </w:div>
    <w:div w:id="164563471">
      <w:marLeft w:val="0"/>
      <w:marRight w:val="0"/>
      <w:marTop w:val="0"/>
      <w:marBottom w:val="0"/>
      <w:divBdr>
        <w:top w:val="none" w:sz="0" w:space="0" w:color="auto"/>
        <w:left w:val="none" w:sz="0" w:space="0" w:color="auto"/>
        <w:bottom w:val="none" w:sz="0" w:space="0" w:color="auto"/>
        <w:right w:val="none" w:sz="0" w:space="0" w:color="auto"/>
      </w:divBdr>
    </w:div>
    <w:div w:id="169686545">
      <w:marLeft w:val="0"/>
      <w:marRight w:val="0"/>
      <w:marTop w:val="0"/>
      <w:marBottom w:val="0"/>
      <w:divBdr>
        <w:top w:val="none" w:sz="0" w:space="0" w:color="auto"/>
        <w:left w:val="none" w:sz="0" w:space="0" w:color="auto"/>
        <w:bottom w:val="none" w:sz="0" w:space="0" w:color="auto"/>
        <w:right w:val="none" w:sz="0" w:space="0" w:color="auto"/>
      </w:divBdr>
    </w:div>
    <w:div w:id="170337468">
      <w:marLeft w:val="0"/>
      <w:marRight w:val="0"/>
      <w:marTop w:val="0"/>
      <w:marBottom w:val="0"/>
      <w:divBdr>
        <w:top w:val="none" w:sz="0" w:space="0" w:color="auto"/>
        <w:left w:val="none" w:sz="0" w:space="0" w:color="auto"/>
        <w:bottom w:val="none" w:sz="0" w:space="0" w:color="auto"/>
        <w:right w:val="none" w:sz="0" w:space="0" w:color="auto"/>
      </w:divBdr>
    </w:div>
    <w:div w:id="173494202">
      <w:marLeft w:val="0"/>
      <w:marRight w:val="0"/>
      <w:marTop w:val="0"/>
      <w:marBottom w:val="0"/>
      <w:divBdr>
        <w:top w:val="none" w:sz="0" w:space="0" w:color="auto"/>
        <w:left w:val="none" w:sz="0" w:space="0" w:color="auto"/>
        <w:bottom w:val="none" w:sz="0" w:space="0" w:color="auto"/>
        <w:right w:val="none" w:sz="0" w:space="0" w:color="auto"/>
      </w:divBdr>
    </w:div>
    <w:div w:id="174804591">
      <w:marLeft w:val="0"/>
      <w:marRight w:val="0"/>
      <w:marTop w:val="0"/>
      <w:marBottom w:val="0"/>
      <w:divBdr>
        <w:top w:val="none" w:sz="0" w:space="0" w:color="auto"/>
        <w:left w:val="none" w:sz="0" w:space="0" w:color="auto"/>
        <w:bottom w:val="none" w:sz="0" w:space="0" w:color="auto"/>
        <w:right w:val="none" w:sz="0" w:space="0" w:color="auto"/>
      </w:divBdr>
    </w:div>
    <w:div w:id="176389826">
      <w:marLeft w:val="0"/>
      <w:marRight w:val="0"/>
      <w:marTop w:val="0"/>
      <w:marBottom w:val="0"/>
      <w:divBdr>
        <w:top w:val="none" w:sz="0" w:space="0" w:color="auto"/>
        <w:left w:val="none" w:sz="0" w:space="0" w:color="auto"/>
        <w:bottom w:val="none" w:sz="0" w:space="0" w:color="auto"/>
        <w:right w:val="none" w:sz="0" w:space="0" w:color="auto"/>
      </w:divBdr>
    </w:div>
    <w:div w:id="176969107">
      <w:marLeft w:val="0"/>
      <w:marRight w:val="0"/>
      <w:marTop w:val="0"/>
      <w:marBottom w:val="0"/>
      <w:divBdr>
        <w:top w:val="none" w:sz="0" w:space="0" w:color="auto"/>
        <w:left w:val="none" w:sz="0" w:space="0" w:color="auto"/>
        <w:bottom w:val="none" w:sz="0" w:space="0" w:color="auto"/>
        <w:right w:val="none" w:sz="0" w:space="0" w:color="auto"/>
      </w:divBdr>
    </w:div>
    <w:div w:id="179634770">
      <w:marLeft w:val="0"/>
      <w:marRight w:val="0"/>
      <w:marTop w:val="0"/>
      <w:marBottom w:val="0"/>
      <w:divBdr>
        <w:top w:val="none" w:sz="0" w:space="0" w:color="auto"/>
        <w:left w:val="none" w:sz="0" w:space="0" w:color="auto"/>
        <w:bottom w:val="none" w:sz="0" w:space="0" w:color="auto"/>
        <w:right w:val="none" w:sz="0" w:space="0" w:color="auto"/>
      </w:divBdr>
    </w:div>
    <w:div w:id="179664831">
      <w:marLeft w:val="0"/>
      <w:marRight w:val="0"/>
      <w:marTop w:val="0"/>
      <w:marBottom w:val="0"/>
      <w:divBdr>
        <w:top w:val="none" w:sz="0" w:space="0" w:color="auto"/>
        <w:left w:val="none" w:sz="0" w:space="0" w:color="auto"/>
        <w:bottom w:val="none" w:sz="0" w:space="0" w:color="auto"/>
        <w:right w:val="none" w:sz="0" w:space="0" w:color="auto"/>
      </w:divBdr>
    </w:div>
    <w:div w:id="180439942">
      <w:marLeft w:val="0"/>
      <w:marRight w:val="0"/>
      <w:marTop w:val="0"/>
      <w:marBottom w:val="0"/>
      <w:divBdr>
        <w:top w:val="none" w:sz="0" w:space="0" w:color="auto"/>
        <w:left w:val="none" w:sz="0" w:space="0" w:color="auto"/>
        <w:bottom w:val="none" w:sz="0" w:space="0" w:color="auto"/>
        <w:right w:val="none" w:sz="0" w:space="0" w:color="auto"/>
      </w:divBdr>
    </w:div>
    <w:div w:id="181601455">
      <w:marLeft w:val="0"/>
      <w:marRight w:val="0"/>
      <w:marTop w:val="0"/>
      <w:marBottom w:val="0"/>
      <w:divBdr>
        <w:top w:val="none" w:sz="0" w:space="0" w:color="auto"/>
        <w:left w:val="none" w:sz="0" w:space="0" w:color="auto"/>
        <w:bottom w:val="none" w:sz="0" w:space="0" w:color="auto"/>
        <w:right w:val="none" w:sz="0" w:space="0" w:color="auto"/>
      </w:divBdr>
    </w:div>
    <w:div w:id="181937333">
      <w:marLeft w:val="0"/>
      <w:marRight w:val="0"/>
      <w:marTop w:val="0"/>
      <w:marBottom w:val="0"/>
      <w:divBdr>
        <w:top w:val="none" w:sz="0" w:space="0" w:color="auto"/>
        <w:left w:val="none" w:sz="0" w:space="0" w:color="auto"/>
        <w:bottom w:val="none" w:sz="0" w:space="0" w:color="auto"/>
        <w:right w:val="none" w:sz="0" w:space="0" w:color="auto"/>
      </w:divBdr>
    </w:div>
    <w:div w:id="187448309">
      <w:marLeft w:val="0"/>
      <w:marRight w:val="0"/>
      <w:marTop w:val="0"/>
      <w:marBottom w:val="0"/>
      <w:divBdr>
        <w:top w:val="none" w:sz="0" w:space="0" w:color="auto"/>
        <w:left w:val="none" w:sz="0" w:space="0" w:color="auto"/>
        <w:bottom w:val="none" w:sz="0" w:space="0" w:color="auto"/>
        <w:right w:val="none" w:sz="0" w:space="0" w:color="auto"/>
      </w:divBdr>
    </w:div>
    <w:div w:id="189615334">
      <w:marLeft w:val="0"/>
      <w:marRight w:val="0"/>
      <w:marTop w:val="0"/>
      <w:marBottom w:val="0"/>
      <w:divBdr>
        <w:top w:val="none" w:sz="0" w:space="0" w:color="auto"/>
        <w:left w:val="none" w:sz="0" w:space="0" w:color="auto"/>
        <w:bottom w:val="none" w:sz="0" w:space="0" w:color="auto"/>
        <w:right w:val="none" w:sz="0" w:space="0" w:color="auto"/>
      </w:divBdr>
    </w:div>
    <w:div w:id="191191886">
      <w:marLeft w:val="0"/>
      <w:marRight w:val="0"/>
      <w:marTop w:val="0"/>
      <w:marBottom w:val="0"/>
      <w:divBdr>
        <w:top w:val="none" w:sz="0" w:space="0" w:color="auto"/>
        <w:left w:val="none" w:sz="0" w:space="0" w:color="auto"/>
        <w:bottom w:val="none" w:sz="0" w:space="0" w:color="auto"/>
        <w:right w:val="none" w:sz="0" w:space="0" w:color="auto"/>
      </w:divBdr>
    </w:div>
    <w:div w:id="191649388">
      <w:marLeft w:val="0"/>
      <w:marRight w:val="0"/>
      <w:marTop w:val="0"/>
      <w:marBottom w:val="0"/>
      <w:divBdr>
        <w:top w:val="none" w:sz="0" w:space="0" w:color="auto"/>
        <w:left w:val="none" w:sz="0" w:space="0" w:color="auto"/>
        <w:bottom w:val="none" w:sz="0" w:space="0" w:color="auto"/>
        <w:right w:val="none" w:sz="0" w:space="0" w:color="auto"/>
      </w:divBdr>
    </w:div>
    <w:div w:id="194317785">
      <w:marLeft w:val="0"/>
      <w:marRight w:val="0"/>
      <w:marTop w:val="0"/>
      <w:marBottom w:val="0"/>
      <w:divBdr>
        <w:top w:val="none" w:sz="0" w:space="0" w:color="auto"/>
        <w:left w:val="none" w:sz="0" w:space="0" w:color="auto"/>
        <w:bottom w:val="none" w:sz="0" w:space="0" w:color="auto"/>
        <w:right w:val="none" w:sz="0" w:space="0" w:color="auto"/>
      </w:divBdr>
    </w:div>
    <w:div w:id="194781717">
      <w:marLeft w:val="0"/>
      <w:marRight w:val="0"/>
      <w:marTop w:val="0"/>
      <w:marBottom w:val="0"/>
      <w:divBdr>
        <w:top w:val="none" w:sz="0" w:space="0" w:color="auto"/>
        <w:left w:val="none" w:sz="0" w:space="0" w:color="auto"/>
        <w:bottom w:val="none" w:sz="0" w:space="0" w:color="auto"/>
        <w:right w:val="none" w:sz="0" w:space="0" w:color="auto"/>
      </w:divBdr>
    </w:div>
    <w:div w:id="196041169">
      <w:marLeft w:val="0"/>
      <w:marRight w:val="0"/>
      <w:marTop w:val="0"/>
      <w:marBottom w:val="0"/>
      <w:divBdr>
        <w:top w:val="none" w:sz="0" w:space="0" w:color="auto"/>
        <w:left w:val="none" w:sz="0" w:space="0" w:color="auto"/>
        <w:bottom w:val="none" w:sz="0" w:space="0" w:color="auto"/>
        <w:right w:val="none" w:sz="0" w:space="0" w:color="auto"/>
      </w:divBdr>
    </w:div>
    <w:div w:id="197133025">
      <w:marLeft w:val="0"/>
      <w:marRight w:val="0"/>
      <w:marTop w:val="0"/>
      <w:marBottom w:val="0"/>
      <w:divBdr>
        <w:top w:val="none" w:sz="0" w:space="0" w:color="auto"/>
        <w:left w:val="none" w:sz="0" w:space="0" w:color="auto"/>
        <w:bottom w:val="none" w:sz="0" w:space="0" w:color="auto"/>
        <w:right w:val="none" w:sz="0" w:space="0" w:color="auto"/>
      </w:divBdr>
    </w:div>
    <w:div w:id="200631899">
      <w:marLeft w:val="0"/>
      <w:marRight w:val="0"/>
      <w:marTop w:val="0"/>
      <w:marBottom w:val="0"/>
      <w:divBdr>
        <w:top w:val="none" w:sz="0" w:space="0" w:color="auto"/>
        <w:left w:val="none" w:sz="0" w:space="0" w:color="auto"/>
        <w:bottom w:val="none" w:sz="0" w:space="0" w:color="auto"/>
        <w:right w:val="none" w:sz="0" w:space="0" w:color="auto"/>
      </w:divBdr>
    </w:div>
    <w:div w:id="203640153">
      <w:marLeft w:val="0"/>
      <w:marRight w:val="0"/>
      <w:marTop w:val="0"/>
      <w:marBottom w:val="0"/>
      <w:divBdr>
        <w:top w:val="none" w:sz="0" w:space="0" w:color="auto"/>
        <w:left w:val="none" w:sz="0" w:space="0" w:color="auto"/>
        <w:bottom w:val="none" w:sz="0" w:space="0" w:color="auto"/>
        <w:right w:val="none" w:sz="0" w:space="0" w:color="auto"/>
      </w:divBdr>
    </w:div>
    <w:div w:id="204492669">
      <w:marLeft w:val="0"/>
      <w:marRight w:val="0"/>
      <w:marTop w:val="0"/>
      <w:marBottom w:val="0"/>
      <w:divBdr>
        <w:top w:val="none" w:sz="0" w:space="0" w:color="auto"/>
        <w:left w:val="none" w:sz="0" w:space="0" w:color="auto"/>
        <w:bottom w:val="none" w:sz="0" w:space="0" w:color="auto"/>
        <w:right w:val="none" w:sz="0" w:space="0" w:color="auto"/>
      </w:divBdr>
    </w:div>
    <w:div w:id="206913704">
      <w:marLeft w:val="0"/>
      <w:marRight w:val="0"/>
      <w:marTop w:val="0"/>
      <w:marBottom w:val="0"/>
      <w:divBdr>
        <w:top w:val="none" w:sz="0" w:space="0" w:color="auto"/>
        <w:left w:val="none" w:sz="0" w:space="0" w:color="auto"/>
        <w:bottom w:val="none" w:sz="0" w:space="0" w:color="auto"/>
        <w:right w:val="none" w:sz="0" w:space="0" w:color="auto"/>
      </w:divBdr>
    </w:div>
    <w:div w:id="209616169">
      <w:marLeft w:val="0"/>
      <w:marRight w:val="0"/>
      <w:marTop w:val="0"/>
      <w:marBottom w:val="0"/>
      <w:divBdr>
        <w:top w:val="none" w:sz="0" w:space="0" w:color="auto"/>
        <w:left w:val="none" w:sz="0" w:space="0" w:color="auto"/>
        <w:bottom w:val="none" w:sz="0" w:space="0" w:color="auto"/>
        <w:right w:val="none" w:sz="0" w:space="0" w:color="auto"/>
      </w:divBdr>
    </w:div>
    <w:div w:id="209733611">
      <w:marLeft w:val="0"/>
      <w:marRight w:val="0"/>
      <w:marTop w:val="0"/>
      <w:marBottom w:val="0"/>
      <w:divBdr>
        <w:top w:val="none" w:sz="0" w:space="0" w:color="auto"/>
        <w:left w:val="none" w:sz="0" w:space="0" w:color="auto"/>
        <w:bottom w:val="none" w:sz="0" w:space="0" w:color="auto"/>
        <w:right w:val="none" w:sz="0" w:space="0" w:color="auto"/>
      </w:divBdr>
    </w:div>
    <w:div w:id="210270965">
      <w:marLeft w:val="0"/>
      <w:marRight w:val="0"/>
      <w:marTop w:val="0"/>
      <w:marBottom w:val="0"/>
      <w:divBdr>
        <w:top w:val="none" w:sz="0" w:space="0" w:color="auto"/>
        <w:left w:val="none" w:sz="0" w:space="0" w:color="auto"/>
        <w:bottom w:val="none" w:sz="0" w:space="0" w:color="auto"/>
        <w:right w:val="none" w:sz="0" w:space="0" w:color="auto"/>
      </w:divBdr>
    </w:div>
    <w:div w:id="211189393">
      <w:marLeft w:val="0"/>
      <w:marRight w:val="0"/>
      <w:marTop w:val="0"/>
      <w:marBottom w:val="0"/>
      <w:divBdr>
        <w:top w:val="none" w:sz="0" w:space="0" w:color="auto"/>
        <w:left w:val="none" w:sz="0" w:space="0" w:color="auto"/>
        <w:bottom w:val="none" w:sz="0" w:space="0" w:color="auto"/>
        <w:right w:val="none" w:sz="0" w:space="0" w:color="auto"/>
      </w:divBdr>
    </w:div>
    <w:div w:id="218783988">
      <w:marLeft w:val="0"/>
      <w:marRight w:val="0"/>
      <w:marTop w:val="0"/>
      <w:marBottom w:val="0"/>
      <w:divBdr>
        <w:top w:val="none" w:sz="0" w:space="0" w:color="auto"/>
        <w:left w:val="none" w:sz="0" w:space="0" w:color="auto"/>
        <w:bottom w:val="none" w:sz="0" w:space="0" w:color="auto"/>
        <w:right w:val="none" w:sz="0" w:space="0" w:color="auto"/>
      </w:divBdr>
    </w:div>
    <w:div w:id="220675046">
      <w:marLeft w:val="0"/>
      <w:marRight w:val="0"/>
      <w:marTop w:val="0"/>
      <w:marBottom w:val="0"/>
      <w:divBdr>
        <w:top w:val="none" w:sz="0" w:space="0" w:color="auto"/>
        <w:left w:val="none" w:sz="0" w:space="0" w:color="auto"/>
        <w:bottom w:val="none" w:sz="0" w:space="0" w:color="auto"/>
        <w:right w:val="none" w:sz="0" w:space="0" w:color="auto"/>
      </w:divBdr>
    </w:div>
    <w:div w:id="221790772">
      <w:marLeft w:val="0"/>
      <w:marRight w:val="0"/>
      <w:marTop w:val="0"/>
      <w:marBottom w:val="0"/>
      <w:divBdr>
        <w:top w:val="none" w:sz="0" w:space="0" w:color="auto"/>
        <w:left w:val="none" w:sz="0" w:space="0" w:color="auto"/>
        <w:bottom w:val="none" w:sz="0" w:space="0" w:color="auto"/>
        <w:right w:val="none" w:sz="0" w:space="0" w:color="auto"/>
      </w:divBdr>
    </w:div>
    <w:div w:id="224148081">
      <w:marLeft w:val="0"/>
      <w:marRight w:val="0"/>
      <w:marTop w:val="0"/>
      <w:marBottom w:val="0"/>
      <w:divBdr>
        <w:top w:val="none" w:sz="0" w:space="0" w:color="auto"/>
        <w:left w:val="none" w:sz="0" w:space="0" w:color="auto"/>
        <w:bottom w:val="none" w:sz="0" w:space="0" w:color="auto"/>
        <w:right w:val="none" w:sz="0" w:space="0" w:color="auto"/>
      </w:divBdr>
    </w:div>
    <w:div w:id="225604909">
      <w:marLeft w:val="0"/>
      <w:marRight w:val="0"/>
      <w:marTop w:val="0"/>
      <w:marBottom w:val="0"/>
      <w:divBdr>
        <w:top w:val="none" w:sz="0" w:space="0" w:color="auto"/>
        <w:left w:val="none" w:sz="0" w:space="0" w:color="auto"/>
        <w:bottom w:val="none" w:sz="0" w:space="0" w:color="auto"/>
        <w:right w:val="none" w:sz="0" w:space="0" w:color="auto"/>
      </w:divBdr>
    </w:div>
    <w:div w:id="225843674">
      <w:marLeft w:val="0"/>
      <w:marRight w:val="0"/>
      <w:marTop w:val="0"/>
      <w:marBottom w:val="0"/>
      <w:divBdr>
        <w:top w:val="none" w:sz="0" w:space="0" w:color="auto"/>
        <w:left w:val="none" w:sz="0" w:space="0" w:color="auto"/>
        <w:bottom w:val="none" w:sz="0" w:space="0" w:color="auto"/>
        <w:right w:val="none" w:sz="0" w:space="0" w:color="auto"/>
      </w:divBdr>
    </w:div>
    <w:div w:id="227038681">
      <w:marLeft w:val="0"/>
      <w:marRight w:val="0"/>
      <w:marTop w:val="0"/>
      <w:marBottom w:val="0"/>
      <w:divBdr>
        <w:top w:val="none" w:sz="0" w:space="0" w:color="auto"/>
        <w:left w:val="none" w:sz="0" w:space="0" w:color="auto"/>
        <w:bottom w:val="none" w:sz="0" w:space="0" w:color="auto"/>
        <w:right w:val="none" w:sz="0" w:space="0" w:color="auto"/>
      </w:divBdr>
    </w:div>
    <w:div w:id="227889525">
      <w:marLeft w:val="0"/>
      <w:marRight w:val="0"/>
      <w:marTop w:val="0"/>
      <w:marBottom w:val="0"/>
      <w:divBdr>
        <w:top w:val="none" w:sz="0" w:space="0" w:color="auto"/>
        <w:left w:val="none" w:sz="0" w:space="0" w:color="auto"/>
        <w:bottom w:val="none" w:sz="0" w:space="0" w:color="auto"/>
        <w:right w:val="none" w:sz="0" w:space="0" w:color="auto"/>
      </w:divBdr>
    </w:div>
    <w:div w:id="229314247">
      <w:marLeft w:val="0"/>
      <w:marRight w:val="0"/>
      <w:marTop w:val="0"/>
      <w:marBottom w:val="0"/>
      <w:divBdr>
        <w:top w:val="none" w:sz="0" w:space="0" w:color="auto"/>
        <w:left w:val="none" w:sz="0" w:space="0" w:color="auto"/>
        <w:bottom w:val="none" w:sz="0" w:space="0" w:color="auto"/>
        <w:right w:val="none" w:sz="0" w:space="0" w:color="auto"/>
      </w:divBdr>
    </w:div>
    <w:div w:id="234126735">
      <w:marLeft w:val="0"/>
      <w:marRight w:val="0"/>
      <w:marTop w:val="0"/>
      <w:marBottom w:val="0"/>
      <w:divBdr>
        <w:top w:val="none" w:sz="0" w:space="0" w:color="auto"/>
        <w:left w:val="none" w:sz="0" w:space="0" w:color="auto"/>
        <w:bottom w:val="none" w:sz="0" w:space="0" w:color="auto"/>
        <w:right w:val="none" w:sz="0" w:space="0" w:color="auto"/>
      </w:divBdr>
    </w:div>
    <w:div w:id="237059033">
      <w:marLeft w:val="0"/>
      <w:marRight w:val="0"/>
      <w:marTop w:val="0"/>
      <w:marBottom w:val="0"/>
      <w:divBdr>
        <w:top w:val="none" w:sz="0" w:space="0" w:color="auto"/>
        <w:left w:val="none" w:sz="0" w:space="0" w:color="auto"/>
        <w:bottom w:val="none" w:sz="0" w:space="0" w:color="auto"/>
        <w:right w:val="none" w:sz="0" w:space="0" w:color="auto"/>
      </w:divBdr>
    </w:div>
    <w:div w:id="241184025">
      <w:marLeft w:val="0"/>
      <w:marRight w:val="0"/>
      <w:marTop w:val="0"/>
      <w:marBottom w:val="0"/>
      <w:divBdr>
        <w:top w:val="none" w:sz="0" w:space="0" w:color="auto"/>
        <w:left w:val="none" w:sz="0" w:space="0" w:color="auto"/>
        <w:bottom w:val="none" w:sz="0" w:space="0" w:color="auto"/>
        <w:right w:val="none" w:sz="0" w:space="0" w:color="auto"/>
      </w:divBdr>
    </w:div>
    <w:div w:id="242104969">
      <w:marLeft w:val="0"/>
      <w:marRight w:val="0"/>
      <w:marTop w:val="0"/>
      <w:marBottom w:val="0"/>
      <w:divBdr>
        <w:top w:val="none" w:sz="0" w:space="0" w:color="auto"/>
        <w:left w:val="none" w:sz="0" w:space="0" w:color="auto"/>
        <w:bottom w:val="none" w:sz="0" w:space="0" w:color="auto"/>
        <w:right w:val="none" w:sz="0" w:space="0" w:color="auto"/>
      </w:divBdr>
    </w:div>
    <w:div w:id="242954287">
      <w:marLeft w:val="0"/>
      <w:marRight w:val="0"/>
      <w:marTop w:val="0"/>
      <w:marBottom w:val="0"/>
      <w:divBdr>
        <w:top w:val="none" w:sz="0" w:space="0" w:color="auto"/>
        <w:left w:val="none" w:sz="0" w:space="0" w:color="auto"/>
        <w:bottom w:val="none" w:sz="0" w:space="0" w:color="auto"/>
        <w:right w:val="none" w:sz="0" w:space="0" w:color="auto"/>
      </w:divBdr>
    </w:div>
    <w:div w:id="243151467">
      <w:marLeft w:val="0"/>
      <w:marRight w:val="0"/>
      <w:marTop w:val="0"/>
      <w:marBottom w:val="0"/>
      <w:divBdr>
        <w:top w:val="none" w:sz="0" w:space="0" w:color="auto"/>
        <w:left w:val="none" w:sz="0" w:space="0" w:color="auto"/>
        <w:bottom w:val="none" w:sz="0" w:space="0" w:color="auto"/>
        <w:right w:val="none" w:sz="0" w:space="0" w:color="auto"/>
      </w:divBdr>
    </w:div>
    <w:div w:id="244076361">
      <w:marLeft w:val="0"/>
      <w:marRight w:val="0"/>
      <w:marTop w:val="0"/>
      <w:marBottom w:val="0"/>
      <w:divBdr>
        <w:top w:val="none" w:sz="0" w:space="0" w:color="auto"/>
        <w:left w:val="none" w:sz="0" w:space="0" w:color="auto"/>
        <w:bottom w:val="none" w:sz="0" w:space="0" w:color="auto"/>
        <w:right w:val="none" w:sz="0" w:space="0" w:color="auto"/>
      </w:divBdr>
    </w:div>
    <w:div w:id="244187938">
      <w:marLeft w:val="0"/>
      <w:marRight w:val="0"/>
      <w:marTop w:val="0"/>
      <w:marBottom w:val="0"/>
      <w:divBdr>
        <w:top w:val="none" w:sz="0" w:space="0" w:color="auto"/>
        <w:left w:val="none" w:sz="0" w:space="0" w:color="auto"/>
        <w:bottom w:val="none" w:sz="0" w:space="0" w:color="auto"/>
        <w:right w:val="none" w:sz="0" w:space="0" w:color="auto"/>
      </w:divBdr>
    </w:div>
    <w:div w:id="246615398">
      <w:marLeft w:val="0"/>
      <w:marRight w:val="0"/>
      <w:marTop w:val="0"/>
      <w:marBottom w:val="0"/>
      <w:divBdr>
        <w:top w:val="none" w:sz="0" w:space="0" w:color="auto"/>
        <w:left w:val="none" w:sz="0" w:space="0" w:color="auto"/>
        <w:bottom w:val="none" w:sz="0" w:space="0" w:color="auto"/>
        <w:right w:val="none" w:sz="0" w:space="0" w:color="auto"/>
      </w:divBdr>
    </w:div>
    <w:div w:id="251664231">
      <w:marLeft w:val="0"/>
      <w:marRight w:val="0"/>
      <w:marTop w:val="0"/>
      <w:marBottom w:val="0"/>
      <w:divBdr>
        <w:top w:val="none" w:sz="0" w:space="0" w:color="auto"/>
        <w:left w:val="none" w:sz="0" w:space="0" w:color="auto"/>
        <w:bottom w:val="none" w:sz="0" w:space="0" w:color="auto"/>
        <w:right w:val="none" w:sz="0" w:space="0" w:color="auto"/>
      </w:divBdr>
    </w:div>
    <w:div w:id="252474698">
      <w:marLeft w:val="0"/>
      <w:marRight w:val="0"/>
      <w:marTop w:val="0"/>
      <w:marBottom w:val="0"/>
      <w:divBdr>
        <w:top w:val="none" w:sz="0" w:space="0" w:color="auto"/>
        <w:left w:val="none" w:sz="0" w:space="0" w:color="auto"/>
        <w:bottom w:val="none" w:sz="0" w:space="0" w:color="auto"/>
        <w:right w:val="none" w:sz="0" w:space="0" w:color="auto"/>
      </w:divBdr>
    </w:div>
    <w:div w:id="254948524">
      <w:marLeft w:val="0"/>
      <w:marRight w:val="0"/>
      <w:marTop w:val="0"/>
      <w:marBottom w:val="0"/>
      <w:divBdr>
        <w:top w:val="none" w:sz="0" w:space="0" w:color="auto"/>
        <w:left w:val="none" w:sz="0" w:space="0" w:color="auto"/>
        <w:bottom w:val="none" w:sz="0" w:space="0" w:color="auto"/>
        <w:right w:val="none" w:sz="0" w:space="0" w:color="auto"/>
      </w:divBdr>
    </w:div>
    <w:div w:id="256141076">
      <w:marLeft w:val="0"/>
      <w:marRight w:val="0"/>
      <w:marTop w:val="0"/>
      <w:marBottom w:val="0"/>
      <w:divBdr>
        <w:top w:val="none" w:sz="0" w:space="0" w:color="auto"/>
        <w:left w:val="none" w:sz="0" w:space="0" w:color="auto"/>
        <w:bottom w:val="none" w:sz="0" w:space="0" w:color="auto"/>
        <w:right w:val="none" w:sz="0" w:space="0" w:color="auto"/>
      </w:divBdr>
    </w:div>
    <w:div w:id="256866370">
      <w:marLeft w:val="0"/>
      <w:marRight w:val="0"/>
      <w:marTop w:val="0"/>
      <w:marBottom w:val="0"/>
      <w:divBdr>
        <w:top w:val="none" w:sz="0" w:space="0" w:color="auto"/>
        <w:left w:val="none" w:sz="0" w:space="0" w:color="auto"/>
        <w:bottom w:val="none" w:sz="0" w:space="0" w:color="auto"/>
        <w:right w:val="none" w:sz="0" w:space="0" w:color="auto"/>
      </w:divBdr>
    </w:div>
    <w:div w:id="257642263">
      <w:marLeft w:val="0"/>
      <w:marRight w:val="0"/>
      <w:marTop w:val="0"/>
      <w:marBottom w:val="0"/>
      <w:divBdr>
        <w:top w:val="none" w:sz="0" w:space="0" w:color="auto"/>
        <w:left w:val="none" w:sz="0" w:space="0" w:color="auto"/>
        <w:bottom w:val="none" w:sz="0" w:space="0" w:color="auto"/>
        <w:right w:val="none" w:sz="0" w:space="0" w:color="auto"/>
      </w:divBdr>
    </w:div>
    <w:div w:id="257719134">
      <w:marLeft w:val="0"/>
      <w:marRight w:val="0"/>
      <w:marTop w:val="0"/>
      <w:marBottom w:val="0"/>
      <w:divBdr>
        <w:top w:val="none" w:sz="0" w:space="0" w:color="auto"/>
        <w:left w:val="none" w:sz="0" w:space="0" w:color="auto"/>
        <w:bottom w:val="none" w:sz="0" w:space="0" w:color="auto"/>
        <w:right w:val="none" w:sz="0" w:space="0" w:color="auto"/>
      </w:divBdr>
    </w:div>
    <w:div w:id="258560704">
      <w:marLeft w:val="0"/>
      <w:marRight w:val="0"/>
      <w:marTop w:val="0"/>
      <w:marBottom w:val="0"/>
      <w:divBdr>
        <w:top w:val="none" w:sz="0" w:space="0" w:color="auto"/>
        <w:left w:val="none" w:sz="0" w:space="0" w:color="auto"/>
        <w:bottom w:val="none" w:sz="0" w:space="0" w:color="auto"/>
        <w:right w:val="none" w:sz="0" w:space="0" w:color="auto"/>
      </w:divBdr>
    </w:div>
    <w:div w:id="259678195">
      <w:marLeft w:val="0"/>
      <w:marRight w:val="0"/>
      <w:marTop w:val="0"/>
      <w:marBottom w:val="0"/>
      <w:divBdr>
        <w:top w:val="none" w:sz="0" w:space="0" w:color="auto"/>
        <w:left w:val="none" w:sz="0" w:space="0" w:color="auto"/>
        <w:bottom w:val="none" w:sz="0" w:space="0" w:color="auto"/>
        <w:right w:val="none" w:sz="0" w:space="0" w:color="auto"/>
      </w:divBdr>
    </w:div>
    <w:div w:id="260530809">
      <w:marLeft w:val="0"/>
      <w:marRight w:val="0"/>
      <w:marTop w:val="0"/>
      <w:marBottom w:val="0"/>
      <w:divBdr>
        <w:top w:val="none" w:sz="0" w:space="0" w:color="auto"/>
        <w:left w:val="none" w:sz="0" w:space="0" w:color="auto"/>
        <w:bottom w:val="none" w:sz="0" w:space="0" w:color="auto"/>
        <w:right w:val="none" w:sz="0" w:space="0" w:color="auto"/>
      </w:divBdr>
    </w:div>
    <w:div w:id="263811640">
      <w:marLeft w:val="0"/>
      <w:marRight w:val="0"/>
      <w:marTop w:val="0"/>
      <w:marBottom w:val="0"/>
      <w:divBdr>
        <w:top w:val="none" w:sz="0" w:space="0" w:color="auto"/>
        <w:left w:val="none" w:sz="0" w:space="0" w:color="auto"/>
        <w:bottom w:val="none" w:sz="0" w:space="0" w:color="auto"/>
        <w:right w:val="none" w:sz="0" w:space="0" w:color="auto"/>
      </w:divBdr>
    </w:div>
    <w:div w:id="266086646">
      <w:marLeft w:val="0"/>
      <w:marRight w:val="0"/>
      <w:marTop w:val="0"/>
      <w:marBottom w:val="0"/>
      <w:divBdr>
        <w:top w:val="none" w:sz="0" w:space="0" w:color="auto"/>
        <w:left w:val="none" w:sz="0" w:space="0" w:color="auto"/>
        <w:bottom w:val="none" w:sz="0" w:space="0" w:color="auto"/>
        <w:right w:val="none" w:sz="0" w:space="0" w:color="auto"/>
      </w:divBdr>
    </w:div>
    <w:div w:id="272978780">
      <w:marLeft w:val="0"/>
      <w:marRight w:val="0"/>
      <w:marTop w:val="0"/>
      <w:marBottom w:val="0"/>
      <w:divBdr>
        <w:top w:val="none" w:sz="0" w:space="0" w:color="auto"/>
        <w:left w:val="none" w:sz="0" w:space="0" w:color="auto"/>
        <w:bottom w:val="none" w:sz="0" w:space="0" w:color="auto"/>
        <w:right w:val="none" w:sz="0" w:space="0" w:color="auto"/>
      </w:divBdr>
    </w:div>
    <w:div w:id="276260589">
      <w:marLeft w:val="0"/>
      <w:marRight w:val="0"/>
      <w:marTop w:val="0"/>
      <w:marBottom w:val="0"/>
      <w:divBdr>
        <w:top w:val="none" w:sz="0" w:space="0" w:color="auto"/>
        <w:left w:val="none" w:sz="0" w:space="0" w:color="auto"/>
        <w:bottom w:val="none" w:sz="0" w:space="0" w:color="auto"/>
        <w:right w:val="none" w:sz="0" w:space="0" w:color="auto"/>
      </w:divBdr>
    </w:div>
    <w:div w:id="278881796">
      <w:marLeft w:val="0"/>
      <w:marRight w:val="0"/>
      <w:marTop w:val="0"/>
      <w:marBottom w:val="0"/>
      <w:divBdr>
        <w:top w:val="none" w:sz="0" w:space="0" w:color="auto"/>
        <w:left w:val="none" w:sz="0" w:space="0" w:color="auto"/>
        <w:bottom w:val="none" w:sz="0" w:space="0" w:color="auto"/>
        <w:right w:val="none" w:sz="0" w:space="0" w:color="auto"/>
      </w:divBdr>
    </w:div>
    <w:div w:id="279410425">
      <w:marLeft w:val="0"/>
      <w:marRight w:val="0"/>
      <w:marTop w:val="0"/>
      <w:marBottom w:val="0"/>
      <w:divBdr>
        <w:top w:val="none" w:sz="0" w:space="0" w:color="auto"/>
        <w:left w:val="none" w:sz="0" w:space="0" w:color="auto"/>
        <w:bottom w:val="none" w:sz="0" w:space="0" w:color="auto"/>
        <w:right w:val="none" w:sz="0" w:space="0" w:color="auto"/>
      </w:divBdr>
    </w:div>
    <w:div w:id="284234466">
      <w:marLeft w:val="0"/>
      <w:marRight w:val="0"/>
      <w:marTop w:val="0"/>
      <w:marBottom w:val="0"/>
      <w:divBdr>
        <w:top w:val="none" w:sz="0" w:space="0" w:color="auto"/>
        <w:left w:val="none" w:sz="0" w:space="0" w:color="auto"/>
        <w:bottom w:val="none" w:sz="0" w:space="0" w:color="auto"/>
        <w:right w:val="none" w:sz="0" w:space="0" w:color="auto"/>
      </w:divBdr>
    </w:div>
    <w:div w:id="284391871">
      <w:marLeft w:val="0"/>
      <w:marRight w:val="0"/>
      <w:marTop w:val="0"/>
      <w:marBottom w:val="0"/>
      <w:divBdr>
        <w:top w:val="none" w:sz="0" w:space="0" w:color="auto"/>
        <w:left w:val="none" w:sz="0" w:space="0" w:color="auto"/>
        <w:bottom w:val="none" w:sz="0" w:space="0" w:color="auto"/>
        <w:right w:val="none" w:sz="0" w:space="0" w:color="auto"/>
      </w:divBdr>
    </w:div>
    <w:div w:id="284579968">
      <w:marLeft w:val="0"/>
      <w:marRight w:val="0"/>
      <w:marTop w:val="0"/>
      <w:marBottom w:val="0"/>
      <w:divBdr>
        <w:top w:val="none" w:sz="0" w:space="0" w:color="auto"/>
        <w:left w:val="none" w:sz="0" w:space="0" w:color="auto"/>
        <w:bottom w:val="none" w:sz="0" w:space="0" w:color="auto"/>
        <w:right w:val="none" w:sz="0" w:space="0" w:color="auto"/>
      </w:divBdr>
    </w:div>
    <w:div w:id="287861647">
      <w:marLeft w:val="0"/>
      <w:marRight w:val="0"/>
      <w:marTop w:val="0"/>
      <w:marBottom w:val="0"/>
      <w:divBdr>
        <w:top w:val="none" w:sz="0" w:space="0" w:color="auto"/>
        <w:left w:val="none" w:sz="0" w:space="0" w:color="auto"/>
        <w:bottom w:val="none" w:sz="0" w:space="0" w:color="auto"/>
        <w:right w:val="none" w:sz="0" w:space="0" w:color="auto"/>
      </w:divBdr>
    </w:div>
    <w:div w:id="289168706">
      <w:marLeft w:val="0"/>
      <w:marRight w:val="0"/>
      <w:marTop w:val="0"/>
      <w:marBottom w:val="0"/>
      <w:divBdr>
        <w:top w:val="none" w:sz="0" w:space="0" w:color="auto"/>
        <w:left w:val="none" w:sz="0" w:space="0" w:color="auto"/>
        <w:bottom w:val="none" w:sz="0" w:space="0" w:color="auto"/>
        <w:right w:val="none" w:sz="0" w:space="0" w:color="auto"/>
      </w:divBdr>
    </w:div>
    <w:div w:id="290982800">
      <w:marLeft w:val="0"/>
      <w:marRight w:val="0"/>
      <w:marTop w:val="0"/>
      <w:marBottom w:val="0"/>
      <w:divBdr>
        <w:top w:val="none" w:sz="0" w:space="0" w:color="auto"/>
        <w:left w:val="none" w:sz="0" w:space="0" w:color="auto"/>
        <w:bottom w:val="none" w:sz="0" w:space="0" w:color="auto"/>
        <w:right w:val="none" w:sz="0" w:space="0" w:color="auto"/>
      </w:divBdr>
    </w:div>
    <w:div w:id="293020371">
      <w:marLeft w:val="0"/>
      <w:marRight w:val="0"/>
      <w:marTop w:val="0"/>
      <w:marBottom w:val="0"/>
      <w:divBdr>
        <w:top w:val="none" w:sz="0" w:space="0" w:color="auto"/>
        <w:left w:val="none" w:sz="0" w:space="0" w:color="auto"/>
        <w:bottom w:val="none" w:sz="0" w:space="0" w:color="auto"/>
        <w:right w:val="none" w:sz="0" w:space="0" w:color="auto"/>
      </w:divBdr>
    </w:div>
    <w:div w:id="293602287">
      <w:marLeft w:val="0"/>
      <w:marRight w:val="0"/>
      <w:marTop w:val="0"/>
      <w:marBottom w:val="0"/>
      <w:divBdr>
        <w:top w:val="none" w:sz="0" w:space="0" w:color="auto"/>
        <w:left w:val="none" w:sz="0" w:space="0" w:color="auto"/>
        <w:bottom w:val="none" w:sz="0" w:space="0" w:color="auto"/>
        <w:right w:val="none" w:sz="0" w:space="0" w:color="auto"/>
      </w:divBdr>
    </w:div>
    <w:div w:id="294027241">
      <w:marLeft w:val="0"/>
      <w:marRight w:val="0"/>
      <w:marTop w:val="0"/>
      <w:marBottom w:val="0"/>
      <w:divBdr>
        <w:top w:val="none" w:sz="0" w:space="0" w:color="auto"/>
        <w:left w:val="none" w:sz="0" w:space="0" w:color="auto"/>
        <w:bottom w:val="none" w:sz="0" w:space="0" w:color="auto"/>
        <w:right w:val="none" w:sz="0" w:space="0" w:color="auto"/>
      </w:divBdr>
    </w:div>
    <w:div w:id="295533155">
      <w:marLeft w:val="0"/>
      <w:marRight w:val="0"/>
      <w:marTop w:val="0"/>
      <w:marBottom w:val="0"/>
      <w:divBdr>
        <w:top w:val="none" w:sz="0" w:space="0" w:color="auto"/>
        <w:left w:val="none" w:sz="0" w:space="0" w:color="auto"/>
        <w:bottom w:val="none" w:sz="0" w:space="0" w:color="auto"/>
        <w:right w:val="none" w:sz="0" w:space="0" w:color="auto"/>
      </w:divBdr>
    </w:div>
    <w:div w:id="300042137">
      <w:marLeft w:val="0"/>
      <w:marRight w:val="0"/>
      <w:marTop w:val="0"/>
      <w:marBottom w:val="0"/>
      <w:divBdr>
        <w:top w:val="none" w:sz="0" w:space="0" w:color="auto"/>
        <w:left w:val="none" w:sz="0" w:space="0" w:color="auto"/>
        <w:bottom w:val="none" w:sz="0" w:space="0" w:color="auto"/>
        <w:right w:val="none" w:sz="0" w:space="0" w:color="auto"/>
      </w:divBdr>
    </w:div>
    <w:div w:id="301011081">
      <w:marLeft w:val="0"/>
      <w:marRight w:val="0"/>
      <w:marTop w:val="0"/>
      <w:marBottom w:val="0"/>
      <w:divBdr>
        <w:top w:val="none" w:sz="0" w:space="0" w:color="auto"/>
        <w:left w:val="none" w:sz="0" w:space="0" w:color="auto"/>
        <w:bottom w:val="none" w:sz="0" w:space="0" w:color="auto"/>
        <w:right w:val="none" w:sz="0" w:space="0" w:color="auto"/>
      </w:divBdr>
    </w:div>
    <w:div w:id="301348631">
      <w:marLeft w:val="0"/>
      <w:marRight w:val="0"/>
      <w:marTop w:val="0"/>
      <w:marBottom w:val="0"/>
      <w:divBdr>
        <w:top w:val="none" w:sz="0" w:space="0" w:color="auto"/>
        <w:left w:val="none" w:sz="0" w:space="0" w:color="auto"/>
        <w:bottom w:val="none" w:sz="0" w:space="0" w:color="auto"/>
        <w:right w:val="none" w:sz="0" w:space="0" w:color="auto"/>
      </w:divBdr>
    </w:div>
    <w:div w:id="301427044">
      <w:marLeft w:val="0"/>
      <w:marRight w:val="0"/>
      <w:marTop w:val="0"/>
      <w:marBottom w:val="0"/>
      <w:divBdr>
        <w:top w:val="none" w:sz="0" w:space="0" w:color="auto"/>
        <w:left w:val="none" w:sz="0" w:space="0" w:color="auto"/>
        <w:bottom w:val="none" w:sz="0" w:space="0" w:color="auto"/>
        <w:right w:val="none" w:sz="0" w:space="0" w:color="auto"/>
      </w:divBdr>
    </w:div>
    <w:div w:id="301497674">
      <w:marLeft w:val="0"/>
      <w:marRight w:val="0"/>
      <w:marTop w:val="0"/>
      <w:marBottom w:val="0"/>
      <w:divBdr>
        <w:top w:val="none" w:sz="0" w:space="0" w:color="auto"/>
        <w:left w:val="none" w:sz="0" w:space="0" w:color="auto"/>
        <w:bottom w:val="none" w:sz="0" w:space="0" w:color="auto"/>
        <w:right w:val="none" w:sz="0" w:space="0" w:color="auto"/>
      </w:divBdr>
    </w:div>
    <w:div w:id="305086083">
      <w:marLeft w:val="0"/>
      <w:marRight w:val="0"/>
      <w:marTop w:val="0"/>
      <w:marBottom w:val="0"/>
      <w:divBdr>
        <w:top w:val="none" w:sz="0" w:space="0" w:color="auto"/>
        <w:left w:val="none" w:sz="0" w:space="0" w:color="auto"/>
        <w:bottom w:val="none" w:sz="0" w:space="0" w:color="auto"/>
        <w:right w:val="none" w:sz="0" w:space="0" w:color="auto"/>
      </w:divBdr>
    </w:div>
    <w:div w:id="305208632">
      <w:marLeft w:val="0"/>
      <w:marRight w:val="0"/>
      <w:marTop w:val="0"/>
      <w:marBottom w:val="0"/>
      <w:divBdr>
        <w:top w:val="none" w:sz="0" w:space="0" w:color="auto"/>
        <w:left w:val="none" w:sz="0" w:space="0" w:color="auto"/>
        <w:bottom w:val="none" w:sz="0" w:space="0" w:color="auto"/>
        <w:right w:val="none" w:sz="0" w:space="0" w:color="auto"/>
      </w:divBdr>
    </w:div>
    <w:div w:id="306711207">
      <w:marLeft w:val="0"/>
      <w:marRight w:val="0"/>
      <w:marTop w:val="0"/>
      <w:marBottom w:val="0"/>
      <w:divBdr>
        <w:top w:val="none" w:sz="0" w:space="0" w:color="auto"/>
        <w:left w:val="none" w:sz="0" w:space="0" w:color="auto"/>
        <w:bottom w:val="none" w:sz="0" w:space="0" w:color="auto"/>
        <w:right w:val="none" w:sz="0" w:space="0" w:color="auto"/>
      </w:divBdr>
    </w:div>
    <w:div w:id="309335943">
      <w:marLeft w:val="0"/>
      <w:marRight w:val="0"/>
      <w:marTop w:val="0"/>
      <w:marBottom w:val="0"/>
      <w:divBdr>
        <w:top w:val="none" w:sz="0" w:space="0" w:color="auto"/>
        <w:left w:val="none" w:sz="0" w:space="0" w:color="auto"/>
        <w:bottom w:val="none" w:sz="0" w:space="0" w:color="auto"/>
        <w:right w:val="none" w:sz="0" w:space="0" w:color="auto"/>
      </w:divBdr>
    </w:div>
    <w:div w:id="313417414">
      <w:marLeft w:val="0"/>
      <w:marRight w:val="0"/>
      <w:marTop w:val="0"/>
      <w:marBottom w:val="0"/>
      <w:divBdr>
        <w:top w:val="none" w:sz="0" w:space="0" w:color="auto"/>
        <w:left w:val="none" w:sz="0" w:space="0" w:color="auto"/>
        <w:bottom w:val="none" w:sz="0" w:space="0" w:color="auto"/>
        <w:right w:val="none" w:sz="0" w:space="0" w:color="auto"/>
      </w:divBdr>
    </w:div>
    <w:div w:id="316955814">
      <w:marLeft w:val="0"/>
      <w:marRight w:val="0"/>
      <w:marTop w:val="0"/>
      <w:marBottom w:val="0"/>
      <w:divBdr>
        <w:top w:val="none" w:sz="0" w:space="0" w:color="auto"/>
        <w:left w:val="none" w:sz="0" w:space="0" w:color="auto"/>
        <w:bottom w:val="none" w:sz="0" w:space="0" w:color="auto"/>
        <w:right w:val="none" w:sz="0" w:space="0" w:color="auto"/>
      </w:divBdr>
    </w:div>
    <w:div w:id="321547357">
      <w:marLeft w:val="0"/>
      <w:marRight w:val="0"/>
      <w:marTop w:val="0"/>
      <w:marBottom w:val="0"/>
      <w:divBdr>
        <w:top w:val="none" w:sz="0" w:space="0" w:color="auto"/>
        <w:left w:val="none" w:sz="0" w:space="0" w:color="auto"/>
        <w:bottom w:val="none" w:sz="0" w:space="0" w:color="auto"/>
        <w:right w:val="none" w:sz="0" w:space="0" w:color="auto"/>
      </w:divBdr>
    </w:div>
    <w:div w:id="322007809">
      <w:marLeft w:val="0"/>
      <w:marRight w:val="0"/>
      <w:marTop w:val="0"/>
      <w:marBottom w:val="0"/>
      <w:divBdr>
        <w:top w:val="none" w:sz="0" w:space="0" w:color="auto"/>
        <w:left w:val="none" w:sz="0" w:space="0" w:color="auto"/>
        <w:bottom w:val="none" w:sz="0" w:space="0" w:color="auto"/>
        <w:right w:val="none" w:sz="0" w:space="0" w:color="auto"/>
      </w:divBdr>
    </w:div>
    <w:div w:id="322781789">
      <w:marLeft w:val="0"/>
      <w:marRight w:val="0"/>
      <w:marTop w:val="0"/>
      <w:marBottom w:val="0"/>
      <w:divBdr>
        <w:top w:val="none" w:sz="0" w:space="0" w:color="auto"/>
        <w:left w:val="none" w:sz="0" w:space="0" w:color="auto"/>
        <w:bottom w:val="none" w:sz="0" w:space="0" w:color="auto"/>
        <w:right w:val="none" w:sz="0" w:space="0" w:color="auto"/>
      </w:divBdr>
    </w:div>
    <w:div w:id="327176125">
      <w:marLeft w:val="0"/>
      <w:marRight w:val="0"/>
      <w:marTop w:val="0"/>
      <w:marBottom w:val="0"/>
      <w:divBdr>
        <w:top w:val="none" w:sz="0" w:space="0" w:color="auto"/>
        <w:left w:val="none" w:sz="0" w:space="0" w:color="auto"/>
        <w:bottom w:val="none" w:sz="0" w:space="0" w:color="auto"/>
        <w:right w:val="none" w:sz="0" w:space="0" w:color="auto"/>
      </w:divBdr>
    </w:div>
    <w:div w:id="327827473">
      <w:marLeft w:val="0"/>
      <w:marRight w:val="0"/>
      <w:marTop w:val="0"/>
      <w:marBottom w:val="0"/>
      <w:divBdr>
        <w:top w:val="none" w:sz="0" w:space="0" w:color="auto"/>
        <w:left w:val="none" w:sz="0" w:space="0" w:color="auto"/>
        <w:bottom w:val="none" w:sz="0" w:space="0" w:color="auto"/>
        <w:right w:val="none" w:sz="0" w:space="0" w:color="auto"/>
      </w:divBdr>
    </w:div>
    <w:div w:id="328950926">
      <w:marLeft w:val="0"/>
      <w:marRight w:val="0"/>
      <w:marTop w:val="0"/>
      <w:marBottom w:val="0"/>
      <w:divBdr>
        <w:top w:val="none" w:sz="0" w:space="0" w:color="auto"/>
        <w:left w:val="none" w:sz="0" w:space="0" w:color="auto"/>
        <w:bottom w:val="none" w:sz="0" w:space="0" w:color="auto"/>
        <w:right w:val="none" w:sz="0" w:space="0" w:color="auto"/>
      </w:divBdr>
    </w:div>
    <w:div w:id="331226970">
      <w:marLeft w:val="0"/>
      <w:marRight w:val="0"/>
      <w:marTop w:val="0"/>
      <w:marBottom w:val="0"/>
      <w:divBdr>
        <w:top w:val="none" w:sz="0" w:space="0" w:color="auto"/>
        <w:left w:val="none" w:sz="0" w:space="0" w:color="auto"/>
        <w:bottom w:val="none" w:sz="0" w:space="0" w:color="auto"/>
        <w:right w:val="none" w:sz="0" w:space="0" w:color="auto"/>
      </w:divBdr>
    </w:div>
    <w:div w:id="333849789">
      <w:marLeft w:val="0"/>
      <w:marRight w:val="0"/>
      <w:marTop w:val="0"/>
      <w:marBottom w:val="0"/>
      <w:divBdr>
        <w:top w:val="none" w:sz="0" w:space="0" w:color="auto"/>
        <w:left w:val="none" w:sz="0" w:space="0" w:color="auto"/>
        <w:bottom w:val="none" w:sz="0" w:space="0" w:color="auto"/>
        <w:right w:val="none" w:sz="0" w:space="0" w:color="auto"/>
      </w:divBdr>
    </w:div>
    <w:div w:id="337773710">
      <w:marLeft w:val="0"/>
      <w:marRight w:val="0"/>
      <w:marTop w:val="0"/>
      <w:marBottom w:val="0"/>
      <w:divBdr>
        <w:top w:val="none" w:sz="0" w:space="0" w:color="auto"/>
        <w:left w:val="none" w:sz="0" w:space="0" w:color="auto"/>
        <w:bottom w:val="none" w:sz="0" w:space="0" w:color="auto"/>
        <w:right w:val="none" w:sz="0" w:space="0" w:color="auto"/>
      </w:divBdr>
    </w:div>
    <w:div w:id="342512507">
      <w:marLeft w:val="0"/>
      <w:marRight w:val="0"/>
      <w:marTop w:val="0"/>
      <w:marBottom w:val="0"/>
      <w:divBdr>
        <w:top w:val="none" w:sz="0" w:space="0" w:color="auto"/>
        <w:left w:val="none" w:sz="0" w:space="0" w:color="auto"/>
        <w:bottom w:val="none" w:sz="0" w:space="0" w:color="auto"/>
        <w:right w:val="none" w:sz="0" w:space="0" w:color="auto"/>
      </w:divBdr>
    </w:div>
    <w:div w:id="343823432">
      <w:marLeft w:val="0"/>
      <w:marRight w:val="0"/>
      <w:marTop w:val="0"/>
      <w:marBottom w:val="0"/>
      <w:divBdr>
        <w:top w:val="none" w:sz="0" w:space="0" w:color="auto"/>
        <w:left w:val="none" w:sz="0" w:space="0" w:color="auto"/>
        <w:bottom w:val="none" w:sz="0" w:space="0" w:color="auto"/>
        <w:right w:val="none" w:sz="0" w:space="0" w:color="auto"/>
      </w:divBdr>
    </w:div>
    <w:div w:id="345711567">
      <w:marLeft w:val="0"/>
      <w:marRight w:val="0"/>
      <w:marTop w:val="0"/>
      <w:marBottom w:val="0"/>
      <w:divBdr>
        <w:top w:val="none" w:sz="0" w:space="0" w:color="auto"/>
        <w:left w:val="none" w:sz="0" w:space="0" w:color="auto"/>
        <w:bottom w:val="none" w:sz="0" w:space="0" w:color="auto"/>
        <w:right w:val="none" w:sz="0" w:space="0" w:color="auto"/>
      </w:divBdr>
    </w:div>
    <w:div w:id="349065474">
      <w:marLeft w:val="0"/>
      <w:marRight w:val="0"/>
      <w:marTop w:val="0"/>
      <w:marBottom w:val="0"/>
      <w:divBdr>
        <w:top w:val="none" w:sz="0" w:space="0" w:color="auto"/>
        <w:left w:val="none" w:sz="0" w:space="0" w:color="auto"/>
        <w:bottom w:val="none" w:sz="0" w:space="0" w:color="auto"/>
        <w:right w:val="none" w:sz="0" w:space="0" w:color="auto"/>
      </w:divBdr>
    </w:div>
    <w:div w:id="350490894">
      <w:marLeft w:val="0"/>
      <w:marRight w:val="0"/>
      <w:marTop w:val="0"/>
      <w:marBottom w:val="0"/>
      <w:divBdr>
        <w:top w:val="none" w:sz="0" w:space="0" w:color="auto"/>
        <w:left w:val="none" w:sz="0" w:space="0" w:color="auto"/>
        <w:bottom w:val="none" w:sz="0" w:space="0" w:color="auto"/>
        <w:right w:val="none" w:sz="0" w:space="0" w:color="auto"/>
      </w:divBdr>
    </w:div>
    <w:div w:id="351763634">
      <w:marLeft w:val="0"/>
      <w:marRight w:val="0"/>
      <w:marTop w:val="0"/>
      <w:marBottom w:val="0"/>
      <w:divBdr>
        <w:top w:val="none" w:sz="0" w:space="0" w:color="auto"/>
        <w:left w:val="none" w:sz="0" w:space="0" w:color="auto"/>
        <w:bottom w:val="none" w:sz="0" w:space="0" w:color="auto"/>
        <w:right w:val="none" w:sz="0" w:space="0" w:color="auto"/>
      </w:divBdr>
    </w:div>
    <w:div w:id="355618899">
      <w:marLeft w:val="0"/>
      <w:marRight w:val="0"/>
      <w:marTop w:val="0"/>
      <w:marBottom w:val="0"/>
      <w:divBdr>
        <w:top w:val="none" w:sz="0" w:space="0" w:color="auto"/>
        <w:left w:val="none" w:sz="0" w:space="0" w:color="auto"/>
        <w:bottom w:val="none" w:sz="0" w:space="0" w:color="auto"/>
        <w:right w:val="none" w:sz="0" w:space="0" w:color="auto"/>
      </w:divBdr>
    </w:div>
    <w:div w:id="356664999">
      <w:marLeft w:val="0"/>
      <w:marRight w:val="0"/>
      <w:marTop w:val="0"/>
      <w:marBottom w:val="0"/>
      <w:divBdr>
        <w:top w:val="none" w:sz="0" w:space="0" w:color="auto"/>
        <w:left w:val="none" w:sz="0" w:space="0" w:color="auto"/>
        <w:bottom w:val="none" w:sz="0" w:space="0" w:color="auto"/>
        <w:right w:val="none" w:sz="0" w:space="0" w:color="auto"/>
      </w:divBdr>
    </w:div>
    <w:div w:id="357506076">
      <w:marLeft w:val="0"/>
      <w:marRight w:val="0"/>
      <w:marTop w:val="0"/>
      <w:marBottom w:val="0"/>
      <w:divBdr>
        <w:top w:val="none" w:sz="0" w:space="0" w:color="auto"/>
        <w:left w:val="none" w:sz="0" w:space="0" w:color="auto"/>
        <w:bottom w:val="none" w:sz="0" w:space="0" w:color="auto"/>
        <w:right w:val="none" w:sz="0" w:space="0" w:color="auto"/>
      </w:divBdr>
    </w:div>
    <w:div w:id="369650631">
      <w:marLeft w:val="0"/>
      <w:marRight w:val="0"/>
      <w:marTop w:val="0"/>
      <w:marBottom w:val="0"/>
      <w:divBdr>
        <w:top w:val="none" w:sz="0" w:space="0" w:color="auto"/>
        <w:left w:val="none" w:sz="0" w:space="0" w:color="auto"/>
        <w:bottom w:val="none" w:sz="0" w:space="0" w:color="auto"/>
        <w:right w:val="none" w:sz="0" w:space="0" w:color="auto"/>
      </w:divBdr>
    </w:div>
    <w:div w:id="370299936">
      <w:marLeft w:val="0"/>
      <w:marRight w:val="0"/>
      <w:marTop w:val="0"/>
      <w:marBottom w:val="0"/>
      <w:divBdr>
        <w:top w:val="none" w:sz="0" w:space="0" w:color="auto"/>
        <w:left w:val="none" w:sz="0" w:space="0" w:color="auto"/>
        <w:bottom w:val="none" w:sz="0" w:space="0" w:color="auto"/>
        <w:right w:val="none" w:sz="0" w:space="0" w:color="auto"/>
      </w:divBdr>
    </w:div>
    <w:div w:id="371000112">
      <w:marLeft w:val="0"/>
      <w:marRight w:val="0"/>
      <w:marTop w:val="0"/>
      <w:marBottom w:val="0"/>
      <w:divBdr>
        <w:top w:val="none" w:sz="0" w:space="0" w:color="auto"/>
        <w:left w:val="none" w:sz="0" w:space="0" w:color="auto"/>
        <w:bottom w:val="none" w:sz="0" w:space="0" w:color="auto"/>
        <w:right w:val="none" w:sz="0" w:space="0" w:color="auto"/>
      </w:divBdr>
    </w:div>
    <w:div w:id="371082363">
      <w:marLeft w:val="0"/>
      <w:marRight w:val="0"/>
      <w:marTop w:val="0"/>
      <w:marBottom w:val="0"/>
      <w:divBdr>
        <w:top w:val="none" w:sz="0" w:space="0" w:color="auto"/>
        <w:left w:val="none" w:sz="0" w:space="0" w:color="auto"/>
        <w:bottom w:val="none" w:sz="0" w:space="0" w:color="auto"/>
        <w:right w:val="none" w:sz="0" w:space="0" w:color="auto"/>
      </w:divBdr>
    </w:div>
    <w:div w:id="387609882">
      <w:marLeft w:val="0"/>
      <w:marRight w:val="0"/>
      <w:marTop w:val="0"/>
      <w:marBottom w:val="0"/>
      <w:divBdr>
        <w:top w:val="none" w:sz="0" w:space="0" w:color="auto"/>
        <w:left w:val="none" w:sz="0" w:space="0" w:color="auto"/>
        <w:bottom w:val="none" w:sz="0" w:space="0" w:color="auto"/>
        <w:right w:val="none" w:sz="0" w:space="0" w:color="auto"/>
      </w:divBdr>
    </w:div>
    <w:div w:id="389810686">
      <w:marLeft w:val="0"/>
      <w:marRight w:val="0"/>
      <w:marTop w:val="0"/>
      <w:marBottom w:val="0"/>
      <w:divBdr>
        <w:top w:val="none" w:sz="0" w:space="0" w:color="auto"/>
        <w:left w:val="none" w:sz="0" w:space="0" w:color="auto"/>
        <w:bottom w:val="none" w:sz="0" w:space="0" w:color="auto"/>
        <w:right w:val="none" w:sz="0" w:space="0" w:color="auto"/>
      </w:divBdr>
    </w:div>
    <w:div w:id="392780853">
      <w:marLeft w:val="0"/>
      <w:marRight w:val="0"/>
      <w:marTop w:val="0"/>
      <w:marBottom w:val="0"/>
      <w:divBdr>
        <w:top w:val="none" w:sz="0" w:space="0" w:color="auto"/>
        <w:left w:val="none" w:sz="0" w:space="0" w:color="auto"/>
        <w:bottom w:val="none" w:sz="0" w:space="0" w:color="auto"/>
        <w:right w:val="none" w:sz="0" w:space="0" w:color="auto"/>
      </w:divBdr>
    </w:div>
    <w:div w:id="397363859">
      <w:marLeft w:val="0"/>
      <w:marRight w:val="0"/>
      <w:marTop w:val="0"/>
      <w:marBottom w:val="0"/>
      <w:divBdr>
        <w:top w:val="none" w:sz="0" w:space="0" w:color="auto"/>
        <w:left w:val="none" w:sz="0" w:space="0" w:color="auto"/>
        <w:bottom w:val="none" w:sz="0" w:space="0" w:color="auto"/>
        <w:right w:val="none" w:sz="0" w:space="0" w:color="auto"/>
      </w:divBdr>
    </w:div>
    <w:div w:id="398790431">
      <w:marLeft w:val="0"/>
      <w:marRight w:val="0"/>
      <w:marTop w:val="0"/>
      <w:marBottom w:val="0"/>
      <w:divBdr>
        <w:top w:val="none" w:sz="0" w:space="0" w:color="auto"/>
        <w:left w:val="none" w:sz="0" w:space="0" w:color="auto"/>
        <w:bottom w:val="none" w:sz="0" w:space="0" w:color="auto"/>
        <w:right w:val="none" w:sz="0" w:space="0" w:color="auto"/>
      </w:divBdr>
    </w:div>
    <w:div w:id="399449377">
      <w:marLeft w:val="0"/>
      <w:marRight w:val="0"/>
      <w:marTop w:val="0"/>
      <w:marBottom w:val="0"/>
      <w:divBdr>
        <w:top w:val="none" w:sz="0" w:space="0" w:color="auto"/>
        <w:left w:val="none" w:sz="0" w:space="0" w:color="auto"/>
        <w:bottom w:val="none" w:sz="0" w:space="0" w:color="auto"/>
        <w:right w:val="none" w:sz="0" w:space="0" w:color="auto"/>
      </w:divBdr>
    </w:div>
    <w:div w:id="400567575">
      <w:marLeft w:val="0"/>
      <w:marRight w:val="0"/>
      <w:marTop w:val="0"/>
      <w:marBottom w:val="0"/>
      <w:divBdr>
        <w:top w:val="none" w:sz="0" w:space="0" w:color="auto"/>
        <w:left w:val="none" w:sz="0" w:space="0" w:color="auto"/>
        <w:bottom w:val="none" w:sz="0" w:space="0" w:color="auto"/>
        <w:right w:val="none" w:sz="0" w:space="0" w:color="auto"/>
      </w:divBdr>
    </w:div>
    <w:div w:id="402021268">
      <w:marLeft w:val="0"/>
      <w:marRight w:val="0"/>
      <w:marTop w:val="0"/>
      <w:marBottom w:val="0"/>
      <w:divBdr>
        <w:top w:val="none" w:sz="0" w:space="0" w:color="auto"/>
        <w:left w:val="none" w:sz="0" w:space="0" w:color="auto"/>
        <w:bottom w:val="none" w:sz="0" w:space="0" w:color="auto"/>
        <w:right w:val="none" w:sz="0" w:space="0" w:color="auto"/>
      </w:divBdr>
    </w:div>
    <w:div w:id="403727710">
      <w:marLeft w:val="0"/>
      <w:marRight w:val="0"/>
      <w:marTop w:val="0"/>
      <w:marBottom w:val="0"/>
      <w:divBdr>
        <w:top w:val="none" w:sz="0" w:space="0" w:color="auto"/>
        <w:left w:val="none" w:sz="0" w:space="0" w:color="auto"/>
        <w:bottom w:val="none" w:sz="0" w:space="0" w:color="auto"/>
        <w:right w:val="none" w:sz="0" w:space="0" w:color="auto"/>
      </w:divBdr>
    </w:div>
    <w:div w:id="408036968">
      <w:marLeft w:val="0"/>
      <w:marRight w:val="0"/>
      <w:marTop w:val="0"/>
      <w:marBottom w:val="0"/>
      <w:divBdr>
        <w:top w:val="none" w:sz="0" w:space="0" w:color="auto"/>
        <w:left w:val="none" w:sz="0" w:space="0" w:color="auto"/>
        <w:bottom w:val="none" w:sz="0" w:space="0" w:color="auto"/>
        <w:right w:val="none" w:sz="0" w:space="0" w:color="auto"/>
      </w:divBdr>
    </w:div>
    <w:div w:id="408891370">
      <w:marLeft w:val="0"/>
      <w:marRight w:val="0"/>
      <w:marTop w:val="0"/>
      <w:marBottom w:val="0"/>
      <w:divBdr>
        <w:top w:val="none" w:sz="0" w:space="0" w:color="auto"/>
        <w:left w:val="none" w:sz="0" w:space="0" w:color="auto"/>
        <w:bottom w:val="none" w:sz="0" w:space="0" w:color="auto"/>
        <w:right w:val="none" w:sz="0" w:space="0" w:color="auto"/>
      </w:divBdr>
    </w:div>
    <w:div w:id="413862073">
      <w:marLeft w:val="0"/>
      <w:marRight w:val="0"/>
      <w:marTop w:val="0"/>
      <w:marBottom w:val="0"/>
      <w:divBdr>
        <w:top w:val="none" w:sz="0" w:space="0" w:color="auto"/>
        <w:left w:val="none" w:sz="0" w:space="0" w:color="auto"/>
        <w:bottom w:val="none" w:sz="0" w:space="0" w:color="auto"/>
        <w:right w:val="none" w:sz="0" w:space="0" w:color="auto"/>
      </w:divBdr>
    </w:div>
    <w:div w:id="418522822">
      <w:marLeft w:val="0"/>
      <w:marRight w:val="0"/>
      <w:marTop w:val="0"/>
      <w:marBottom w:val="0"/>
      <w:divBdr>
        <w:top w:val="none" w:sz="0" w:space="0" w:color="auto"/>
        <w:left w:val="none" w:sz="0" w:space="0" w:color="auto"/>
        <w:bottom w:val="none" w:sz="0" w:space="0" w:color="auto"/>
        <w:right w:val="none" w:sz="0" w:space="0" w:color="auto"/>
      </w:divBdr>
    </w:div>
    <w:div w:id="420218851">
      <w:marLeft w:val="0"/>
      <w:marRight w:val="0"/>
      <w:marTop w:val="0"/>
      <w:marBottom w:val="0"/>
      <w:divBdr>
        <w:top w:val="none" w:sz="0" w:space="0" w:color="auto"/>
        <w:left w:val="none" w:sz="0" w:space="0" w:color="auto"/>
        <w:bottom w:val="none" w:sz="0" w:space="0" w:color="auto"/>
        <w:right w:val="none" w:sz="0" w:space="0" w:color="auto"/>
      </w:divBdr>
    </w:div>
    <w:div w:id="420377781">
      <w:marLeft w:val="0"/>
      <w:marRight w:val="0"/>
      <w:marTop w:val="0"/>
      <w:marBottom w:val="0"/>
      <w:divBdr>
        <w:top w:val="none" w:sz="0" w:space="0" w:color="auto"/>
        <w:left w:val="none" w:sz="0" w:space="0" w:color="auto"/>
        <w:bottom w:val="none" w:sz="0" w:space="0" w:color="auto"/>
        <w:right w:val="none" w:sz="0" w:space="0" w:color="auto"/>
      </w:divBdr>
    </w:div>
    <w:div w:id="422796483">
      <w:marLeft w:val="0"/>
      <w:marRight w:val="0"/>
      <w:marTop w:val="0"/>
      <w:marBottom w:val="0"/>
      <w:divBdr>
        <w:top w:val="none" w:sz="0" w:space="0" w:color="auto"/>
        <w:left w:val="none" w:sz="0" w:space="0" w:color="auto"/>
        <w:bottom w:val="none" w:sz="0" w:space="0" w:color="auto"/>
        <w:right w:val="none" w:sz="0" w:space="0" w:color="auto"/>
      </w:divBdr>
    </w:div>
    <w:div w:id="422804318">
      <w:marLeft w:val="0"/>
      <w:marRight w:val="0"/>
      <w:marTop w:val="0"/>
      <w:marBottom w:val="0"/>
      <w:divBdr>
        <w:top w:val="none" w:sz="0" w:space="0" w:color="auto"/>
        <w:left w:val="none" w:sz="0" w:space="0" w:color="auto"/>
        <w:bottom w:val="none" w:sz="0" w:space="0" w:color="auto"/>
        <w:right w:val="none" w:sz="0" w:space="0" w:color="auto"/>
      </w:divBdr>
    </w:div>
    <w:div w:id="423382879">
      <w:marLeft w:val="0"/>
      <w:marRight w:val="0"/>
      <w:marTop w:val="0"/>
      <w:marBottom w:val="0"/>
      <w:divBdr>
        <w:top w:val="none" w:sz="0" w:space="0" w:color="auto"/>
        <w:left w:val="none" w:sz="0" w:space="0" w:color="auto"/>
        <w:bottom w:val="none" w:sz="0" w:space="0" w:color="auto"/>
        <w:right w:val="none" w:sz="0" w:space="0" w:color="auto"/>
      </w:divBdr>
    </w:div>
    <w:div w:id="423653059">
      <w:marLeft w:val="0"/>
      <w:marRight w:val="0"/>
      <w:marTop w:val="0"/>
      <w:marBottom w:val="0"/>
      <w:divBdr>
        <w:top w:val="none" w:sz="0" w:space="0" w:color="auto"/>
        <w:left w:val="none" w:sz="0" w:space="0" w:color="auto"/>
        <w:bottom w:val="none" w:sz="0" w:space="0" w:color="auto"/>
        <w:right w:val="none" w:sz="0" w:space="0" w:color="auto"/>
      </w:divBdr>
    </w:div>
    <w:div w:id="427896121">
      <w:marLeft w:val="0"/>
      <w:marRight w:val="0"/>
      <w:marTop w:val="0"/>
      <w:marBottom w:val="0"/>
      <w:divBdr>
        <w:top w:val="none" w:sz="0" w:space="0" w:color="auto"/>
        <w:left w:val="none" w:sz="0" w:space="0" w:color="auto"/>
        <w:bottom w:val="none" w:sz="0" w:space="0" w:color="auto"/>
        <w:right w:val="none" w:sz="0" w:space="0" w:color="auto"/>
      </w:divBdr>
    </w:div>
    <w:div w:id="429200969">
      <w:marLeft w:val="0"/>
      <w:marRight w:val="0"/>
      <w:marTop w:val="0"/>
      <w:marBottom w:val="0"/>
      <w:divBdr>
        <w:top w:val="none" w:sz="0" w:space="0" w:color="auto"/>
        <w:left w:val="none" w:sz="0" w:space="0" w:color="auto"/>
        <w:bottom w:val="none" w:sz="0" w:space="0" w:color="auto"/>
        <w:right w:val="none" w:sz="0" w:space="0" w:color="auto"/>
      </w:divBdr>
    </w:div>
    <w:div w:id="435832783">
      <w:marLeft w:val="0"/>
      <w:marRight w:val="0"/>
      <w:marTop w:val="0"/>
      <w:marBottom w:val="0"/>
      <w:divBdr>
        <w:top w:val="none" w:sz="0" w:space="0" w:color="auto"/>
        <w:left w:val="none" w:sz="0" w:space="0" w:color="auto"/>
        <w:bottom w:val="none" w:sz="0" w:space="0" w:color="auto"/>
        <w:right w:val="none" w:sz="0" w:space="0" w:color="auto"/>
      </w:divBdr>
    </w:div>
    <w:div w:id="437146017">
      <w:marLeft w:val="0"/>
      <w:marRight w:val="0"/>
      <w:marTop w:val="0"/>
      <w:marBottom w:val="0"/>
      <w:divBdr>
        <w:top w:val="none" w:sz="0" w:space="0" w:color="auto"/>
        <w:left w:val="none" w:sz="0" w:space="0" w:color="auto"/>
        <w:bottom w:val="none" w:sz="0" w:space="0" w:color="auto"/>
        <w:right w:val="none" w:sz="0" w:space="0" w:color="auto"/>
      </w:divBdr>
    </w:div>
    <w:div w:id="439106369">
      <w:marLeft w:val="0"/>
      <w:marRight w:val="0"/>
      <w:marTop w:val="0"/>
      <w:marBottom w:val="0"/>
      <w:divBdr>
        <w:top w:val="none" w:sz="0" w:space="0" w:color="auto"/>
        <w:left w:val="none" w:sz="0" w:space="0" w:color="auto"/>
        <w:bottom w:val="none" w:sz="0" w:space="0" w:color="auto"/>
        <w:right w:val="none" w:sz="0" w:space="0" w:color="auto"/>
      </w:divBdr>
    </w:div>
    <w:div w:id="439305007">
      <w:marLeft w:val="0"/>
      <w:marRight w:val="0"/>
      <w:marTop w:val="0"/>
      <w:marBottom w:val="0"/>
      <w:divBdr>
        <w:top w:val="none" w:sz="0" w:space="0" w:color="auto"/>
        <w:left w:val="none" w:sz="0" w:space="0" w:color="auto"/>
        <w:bottom w:val="none" w:sz="0" w:space="0" w:color="auto"/>
        <w:right w:val="none" w:sz="0" w:space="0" w:color="auto"/>
      </w:divBdr>
    </w:div>
    <w:div w:id="442581784">
      <w:marLeft w:val="0"/>
      <w:marRight w:val="0"/>
      <w:marTop w:val="0"/>
      <w:marBottom w:val="0"/>
      <w:divBdr>
        <w:top w:val="none" w:sz="0" w:space="0" w:color="auto"/>
        <w:left w:val="none" w:sz="0" w:space="0" w:color="auto"/>
        <w:bottom w:val="none" w:sz="0" w:space="0" w:color="auto"/>
        <w:right w:val="none" w:sz="0" w:space="0" w:color="auto"/>
      </w:divBdr>
    </w:div>
    <w:div w:id="446698458">
      <w:marLeft w:val="0"/>
      <w:marRight w:val="0"/>
      <w:marTop w:val="0"/>
      <w:marBottom w:val="0"/>
      <w:divBdr>
        <w:top w:val="none" w:sz="0" w:space="0" w:color="auto"/>
        <w:left w:val="none" w:sz="0" w:space="0" w:color="auto"/>
        <w:bottom w:val="none" w:sz="0" w:space="0" w:color="auto"/>
        <w:right w:val="none" w:sz="0" w:space="0" w:color="auto"/>
      </w:divBdr>
    </w:div>
    <w:div w:id="447164952">
      <w:marLeft w:val="0"/>
      <w:marRight w:val="0"/>
      <w:marTop w:val="0"/>
      <w:marBottom w:val="0"/>
      <w:divBdr>
        <w:top w:val="none" w:sz="0" w:space="0" w:color="auto"/>
        <w:left w:val="none" w:sz="0" w:space="0" w:color="auto"/>
        <w:bottom w:val="none" w:sz="0" w:space="0" w:color="auto"/>
        <w:right w:val="none" w:sz="0" w:space="0" w:color="auto"/>
      </w:divBdr>
    </w:div>
    <w:div w:id="451480336">
      <w:marLeft w:val="0"/>
      <w:marRight w:val="0"/>
      <w:marTop w:val="0"/>
      <w:marBottom w:val="0"/>
      <w:divBdr>
        <w:top w:val="none" w:sz="0" w:space="0" w:color="auto"/>
        <w:left w:val="none" w:sz="0" w:space="0" w:color="auto"/>
        <w:bottom w:val="none" w:sz="0" w:space="0" w:color="auto"/>
        <w:right w:val="none" w:sz="0" w:space="0" w:color="auto"/>
      </w:divBdr>
    </w:div>
    <w:div w:id="454370751">
      <w:marLeft w:val="0"/>
      <w:marRight w:val="0"/>
      <w:marTop w:val="0"/>
      <w:marBottom w:val="0"/>
      <w:divBdr>
        <w:top w:val="none" w:sz="0" w:space="0" w:color="auto"/>
        <w:left w:val="none" w:sz="0" w:space="0" w:color="auto"/>
        <w:bottom w:val="none" w:sz="0" w:space="0" w:color="auto"/>
        <w:right w:val="none" w:sz="0" w:space="0" w:color="auto"/>
      </w:divBdr>
    </w:div>
    <w:div w:id="456339106">
      <w:marLeft w:val="0"/>
      <w:marRight w:val="0"/>
      <w:marTop w:val="0"/>
      <w:marBottom w:val="0"/>
      <w:divBdr>
        <w:top w:val="none" w:sz="0" w:space="0" w:color="auto"/>
        <w:left w:val="none" w:sz="0" w:space="0" w:color="auto"/>
        <w:bottom w:val="none" w:sz="0" w:space="0" w:color="auto"/>
        <w:right w:val="none" w:sz="0" w:space="0" w:color="auto"/>
      </w:divBdr>
    </w:div>
    <w:div w:id="456682830">
      <w:marLeft w:val="0"/>
      <w:marRight w:val="0"/>
      <w:marTop w:val="0"/>
      <w:marBottom w:val="0"/>
      <w:divBdr>
        <w:top w:val="none" w:sz="0" w:space="0" w:color="auto"/>
        <w:left w:val="none" w:sz="0" w:space="0" w:color="auto"/>
        <w:bottom w:val="none" w:sz="0" w:space="0" w:color="auto"/>
        <w:right w:val="none" w:sz="0" w:space="0" w:color="auto"/>
      </w:divBdr>
    </w:div>
    <w:div w:id="457721959">
      <w:marLeft w:val="0"/>
      <w:marRight w:val="0"/>
      <w:marTop w:val="0"/>
      <w:marBottom w:val="0"/>
      <w:divBdr>
        <w:top w:val="none" w:sz="0" w:space="0" w:color="auto"/>
        <w:left w:val="none" w:sz="0" w:space="0" w:color="auto"/>
        <w:bottom w:val="none" w:sz="0" w:space="0" w:color="auto"/>
        <w:right w:val="none" w:sz="0" w:space="0" w:color="auto"/>
      </w:divBdr>
    </w:div>
    <w:div w:id="457728071">
      <w:marLeft w:val="0"/>
      <w:marRight w:val="0"/>
      <w:marTop w:val="0"/>
      <w:marBottom w:val="0"/>
      <w:divBdr>
        <w:top w:val="none" w:sz="0" w:space="0" w:color="auto"/>
        <w:left w:val="none" w:sz="0" w:space="0" w:color="auto"/>
        <w:bottom w:val="none" w:sz="0" w:space="0" w:color="auto"/>
        <w:right w:val="none" w:sz="0" w:space="0" w:color="auto"/>
      </w:divBdr>
    </w:div>
    <w:div w:id="458644583">
      <w:marLeft w:val="0"/>
      <w:marRight w:val="0"/>
      <w:marTop w:val="0"/>
      <w:marBottom w:val="0"/>
      <w:divBdr>
        <w:top w:val="none" w:sz="0" w:space="0" w:color="auto"/>
        <w:left w:val="none" w:sz="0" w:space="0" w:color="auto"/>
        <w:bottom w:val="none" w:sz="0" w:space="0" w:color="auto"/>
        <w:right w:val="none" w:sz="0" w:space="0" w:color="auto"/>
      </w:divBdr>
    </w:div>
    <w:div w:id="460921165">
      <w:marLeft w:val="0"/>
      <w:marRight w:val="0"/>
      <w:marTop w:val="0"/>
      <w:marBottom w:val="0"/>
      <w:divBdr>
        <w:top w:val="none" w:sz="0" w:space="0" w:color="auto"/>
        <w:left w:val="none" w:sz="0" w:space="0" w:color="auto"/>
        <w:bottom w:val="none" w:sz="0" w:space="0" w:color="auto"/>
        <w:right w:val="none" w:sz="0" w:space="0" w:color="auto"/>
      </w:divBdr>
    </w:div>
    <w:div w:id="462507036">
      <w:marLeft w:val="0"/>
      <w:marRight w:val="0"/>
      <w:marTop w:val="0"/>
      <w:marBottom w:val="0"/>
      <w:divBdr>
        <w:top w:val="none" w:sz="0" w:space="0" w:color="auto"/>
        <w:left w:val="none" w:sz="0" w:space="0" w:color="auto"/>
        <w:bottom w:val="none" w:sz="0" w:space="0" w:color="auto"/>
        <w:right w:val="none" w:sz="0" w:space="0" w:color="auto"/>
      </w:divBdr>
    </w:div>
    <w:div w:id="462893893">
      <w:marLeft w:val="0"/>
      <w:marRight w:val="0"/>
      <w:marTop w:val="0"/>
      <w:marBottom w:val="0"/>
      <w:divBdr>
        <w:top w:val="none" w:sz="0" w:space="0" w:color="auto"/>
        <w:left w:val="none" w:sz="0" w:space="0" w:color="auto"/>
        <w:bottom w:val="none" w:sz="0" w:space="0" w:color="auto"/>
        <w:right w:val="none" w:sz="0" w:space="0" w:color="auto"/>
      </w:divBdr>
    </w:div>
    <w:div w:id="463084615">
      <w:marLeft w:val="0"/>
      <w:marRight w:val="0"/>
      <w:marTop w:val="0"/>
      <w:marBottom w:val="0"/>
      <w:divBdr>
        <w:top w:val="none" w:sz="0" w:space="0" w:color="auto"/>
        <w:left w:val="none" w:sz="0" w:space="0" w:color="auto"/>
        <w:bottom w:val="none" w:sz="0" w:space="0" w:color="auto"/>
        <w:right w:val="none" w:sz="0" w:space="0" w:color="auto"/>
      </w:divBdr>
    </w:div>
    <w:div w:id="466314646">
      <w:marLeft w:val="0"/>
      <w:marRight w:val="0"/>
      <w:marTop w:val="0"/>
      <w:marBottom w:val="0"/>
      <w:divBdr>
        <w:top w:val="none" w:sz="0" w:space="0" w:color="auto"/>
        <w:left w:val="none" w:sz="0" w:space="0" w:color="auto"/>
        <w:bottom w:val="none" w:sz="0" w:space="0" w:color="auto"/>
        <w:right w:val="none" w:sz="0" w:space="0" w:color="auto"/>
      </w:divBdr>
    </w:div>
    <w:div w:id="467282214">
      <w:marLeft w:val="0"/>
      <w:marRight w:val="0"/>
      <w:marTop w:val="0"/>
      <w:marBottom w:val="0"/>
      <w:divBdr>
        <w:top w:val="none" w:sz="0" w:space="0" w:color="auto"/>
        <w:left w:val="none" w:sz="0" w:space="0" w:color="auto"/>
        <w:bottom w:val="none" w:sz="0" w:space="0" w:color="auto"/>
        <w:right w:val="none" w:sz="0" w:space="0" w:color="auto"/>
      </w:divBdr>
    </w:div>
    <w:div w:id="469518066">
      <w:marLeft w:val="0"/>
      <w:marRight w:val="0"/>
      <w:marTop w:val="0"/>
      <w:marBottom w:val="0"/>
      <w:divBdr>
        <w:top w:val="none" w:sz="0" w:space="0" w:color="auto"/>
        <w:left w:val="none" w:sz="0" w:space="0" w:color="auto"/>
        <w:bottom w:val="none" w:sz="0" w:space="0" w:color="auto"/>
        <w:right w:val="none" w:sz="0" w:space="0" w:color="auto"/>
      </w:divBdr>
    </w:div>
    <w:div w:id="470439443">
      <w:marLeft w:val="0"/>
      <w:marRight w:val="0"/>
      <w:marTop w:val="0"/>
      <w:marBottom w:val="0"/>
      <w:divBdr>
        <w:top w:val="none" w:sz="0" w:space="0" w:color="auto"/>
        <w:left w:val="none" w:sz="0" w:space="0" w:color="auto"/>
        <w:bottom w:val="none" w:sz="0" w:space="0" w:color="auto"/>
        <w:right w:val="none" w:sz="0" w:space="0" w:color="auto"/>
      </w:divBdr>
    </w:div>
    <w:div w:id="471749588">
      <w:marLeft w:val="0"/>
      <w:marRight w:val="0"/>
      <w:marTop w:val="0"/>
      <w:marBottom w:val="0"/>
      <w:divBdr>
        <w:top w:val="none" w:sz="0" w:space="0" w:color="auto"/>
        <w:left w:val="none" w:sz="0" w:space="0" w:color="auto"/>
        <w:bottom w:val="none" w:sz="0" w:space="0" w:color="auto"/>
        <w:right w:val="none" w:sz="0" w:space="0" w:color="auto"/>
      </w:divBdr>
    </w:div>
    <w:div w:id="472721431">
      <w:marLeft w:val="0"/>
      <w:marRight w:val="0"/>
      <w:marTop w:val="0"/>
      <w:marBottom w:val="0"/>
      <w:divBdr>
        <w:top w:val="none" w:sz="0" w:space="0" w:color="auto"/>
        <w:left w:val="none" w:sz="0" w:space="0" w:color="auto"/>
        <w:bottom w:val="none" w:sz="0" w:space="0" w:color="auto"/>
        <w:right w:val="none" w:sz="0" w:space="0" w:color="auto"/>
      </w:divBdr>
    </w:div>
    <w:div w:id="473915200">
      <w:marLeft w:val="0"/>
      <w:marRight w:val="0"/>
      <w:marTop w:val="0"/>
      <w:marBottom w:val="0"/>
      <w:divBdr>
        <w:top w:val="none" w:sz="0" w:space="0" w:color="auto"/>
        <w:left w:val="none" w:sz="0" w:space="0" w:color="auto"/>
        <w:bottom w:val="none" w:sz="0" w:space="0" w:color="auto"/>
        <w:right w:val="none" w:sz="0" w:space="0" w:color="auto"/>
      </w:divBdr>
    </w:div>
    <w:div w:id="477305540">
      <w:marLeft w:val="0"/>
      <w:marRight w:val="0"/>
      <w:marTop w:val="0"/>
      <w:marBottom w:val="0"/>
      <w:divBdr>
        <w:top w:val="none" w:sz="0" w:space="0" w:color="auto"/>
        <w:left w:val="none" w:sz="0" w:space="0" w:color="auto"/>
        <w:bottom w:val="none" w:sz="0" w:space="0" w:color="auto"/>
        <w:right w:val="none" w:sz="0" w:space="0" w:color="auto"/>
      </w:divBdr>
    </w:div>
    <w:div w:id="481503798">
      <w:marLeft w:val="0"/>
      <w:marRight w:val="0"/>
      <w:marTop w:val="0"/>
      <w:marBottom w:val="0"/>
      <w:divBdr>
        <w:top w:val="none" w:sz="0" w:space="0" w:color="auto"/>
        <w:left w:val="none" w:sz="0" w:space="0" w:color="auto"/>
        <w:bottom w:val="none" w:sz="0" w:space="0" w:color="auto"/>
        <w:right w:val="none" w:sz="0" w:space="0" w:color="auto"/>
      </w:divBdr>
    </w:div>
    <w:div w:id="484931484">
      <w:marLeft w:val="0"/>
      <w:marRight w:val="0"/>
      <w:marTop w:val="0"/>
      <w:marBottom w:val="0"/>
      <w:divBdr>
        <w:top w:val="none" w:sz="0" w:space="0" w:color="auto"/>
        <w:left w:val="none" w:sz="0" w:space="0" w:color="auto"/>
        <w:bottom w:val="none" w:sz="0" w:space="0" w:color="auto"/>
        <w:right w:val="none" w:sz="0" w:space="0" w:color="auto"/>
      </w:divBdr>
    </w:div>
    <w:div w:id="487981250">
      <w:marLeft w:val="0"/>
      <w:marRight w:val="0"/>
      <w:marTop w:val="0"/>
      <w:marBottom w:val="0"/>
      <w:divBdr>
        <w:top w:val="none" w:sz="0" w:space="0" w:color="auto"/>
        <w:left w:val="none" w:sz="0" w:space="0" w:color="auto"/>
        <w:bottom w:val="none" w:sz="0" w:space="0" w:color="auto"/>
        <w:right w:val="none" w:sz="0" w:space="0" w:color="auto"/>
      </w:divBdr>
    </w:div>
    <w:div w:id="488909812">
      <w:marLeft w:val="0"/>
      <w:marRight w:val="0"/>
      <w:marTop w:val="0"/>
      <w:marBottom w:val="0"/>
      <w:divBdr>
        <w:top w:val="none" w:sz="0" w:space="0" w:color="auto"/>
        <w:left w:val="none" w:sz="0" w:space="0" w:color="auto"/>
        <w:bottom w:val="none" w:sz="0" w:space="0" w:color="auto"/>
        <w:right w:val="none" w:sz="0" w:space="0" w:color="auto"/>
      </w:divBdr>
    </w:div>
    <w:div w:id="489641029">
      <w:marLeft w:val="0"/>
      <w:marRight w:val="0"/>
      <w:marTop w:val="0"/>
      <w:marBottom w:val="0"/>
      <w:divBdr>
        <w:top w:val="none" w:sz="0" w:space="0" w:color="auto"/>
        <w:left w:val="none" w:sz="0" w:space="0" w:color="auto"/>
        <w:bottom w:val="none" w:sz="0" w:space="0" w:color="auto"/>
        <w:right w:val="none" w:sz="0" w:space="0" w:color="auto"/>
      </w:divBdr>
    </w:div>
    <w:div w:id="491289550">
      <w:marLeft w:val="0"/>
      <w:marRight w:val="0"/>
      <w:marTop w:val="0"/>
      <w:marBottom w:val="0"/>
      <w:divBdr>
        <w:top w:val="none" w:sz="0" w:space="0" w:color="auto"/>
        <w:left w:val="none" w:sz="0" w:space="0" w:color="auto"/>
        <w:bottom w:val="none" w:sz="0" w:space="0" w:color="auto"/>
        <w:right w:val="none" w:sz="0" w:space="0" w:color="auto"/>
      </w:divBdr>
    </w:div>
    <w:div w:id="494760013">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498810329">
      <w:marLeft w:val="0"/>
      <w:marRight w:val="0"/>
      <w:marTop w:val="0"/>
      <w:marBottom w:val="0"/>
      <w:divBdr>
        <w:top w:val="none" w:sz="0" w:space="0" w:color="auto"/>
        <w:left w:val="none" w:sz="0" w:space="0" w:color="auto"/>
        <w:bottom w:val="none" w:sz="0" w:space="0" w:color="auto"/>
        <w:right w:val="none" w:sz="0" w:space="0" w:color="auto"/>
      </w:divBdr>
    </w:div>
    <w:div w:id="500392148">
      <w:marLeft w:val="0"/>
      <w:marRight w:val="0"/>
      <w:marTop w:val="0"/>
      <w:marBottom w:val="0"/>
      <w:divBdr>
        <w:top w:val="none" w:sz="0" w:space="0" w:color="auto"/>
        <w:left w:val="none" w:sz="0" w:space="0" w:color="auto"/>
        <w:bottom w:val="none" w:sz="0" w:space="0" w:color="auto"/>
        <w:right w:val="none" w:sz="0" w:space="0" w:color="auto"/>
      </w:divBdr>
    </w:div>
    <w:div w:id="500706815">
      <w:marLeft w:val="0"/>
      <w:marRight w:val="0"/>
      <w:marTop w:val="0"/>
      <w:marBottom w:val="0"/>
      <w:divBdr>
        <w:top w:val="none" w:sz="0" w:space="0" w:color="auto"/>
        <w:left w:val="none" w:sz="0" w:space="0" w:color="auto"/>
        <w:bottom w:val="none" w:sz="0" w:space="0" w:color="auto"/>
        <w:right w:val="none" w:sz="0" w:space="0" w:color="auto"/>
      </w:divBdr>
    </w:div>
    <w:div w:id="503321114">
      <w:marLeft w:val="0"/>
      <w:marRight w:val="0"/>
      <w:marTop w:val="0"/>
      <w:marBottom w:val="0"/>
      <w:divBdr>
        <w:top w:val="none" w:sz="0" w:space="0" w:color="auto"/>
        <w:left w:val="none" w:sz="0" w:space="0" w:color="auto"/>
        <w:bottom w:val="none" w:sz="0" w:space="0" w:color="auto"/>
        <w:right w:val="none" w:sz="0" w:space="0" w:color="auto"/>
      </w:divBdr>
    </w:div>
    <w:div w:id="503663494">
      <w:marLeft w:val="0"/>
      <w:marRight w:val="0"/>
      <w:marTop w:val="0"/>
      <w:marBottom w:val="0"/>
      <w:divBdr>
        <w:top w:val="none" w:sz="0" w:space="0" w:color="auto"/>
        <w:left w:val="none" w:sz="0" w:space="0" w:color="auto"/>
        <w:bottom w:val="none" w:sz="0" w:space="0" w:color="auto"/>
        <w:right w:val="none" w:sz="0" w:space="0" w:color="auto"/>
      </w:divBdr>
    </w:div>
    <w:div w:id="505052045">
      <w:marLeft w:val="0"/>
      <w:marRight w:val="0"/>
      <w:marTop w:val="0"/>
      <w:marBottom w:val="0"/>
      <w:divBdr>
        <w:top w:val="none" w:sz="0" w:space="0" w:color="auto"/>
        <w:left w:val="none" w:sz="0" w:space="0" w:color="auto"/>
        <w:bottom w:val="none" w:sz="0" w:space="0" w:color="auto"/>
        <w:right w:val="none" w:sz="0" w:space="0" w:color="auto"/>
      </w:divBdr>
    </w:div>
    <w:div w:id="505638240">
      <w:marLeft w:val="0"/>
      <w:marRight w:val="0"/>
      <w:marTop w:val="0"/>
      <w:marBottom w:val="0"/>
      <w:divBdr>
        <w:top w:val="none" w:sz="0" w:space="0" w:color="auto"/>
        <w:left w:val="none" w:sz="0" w:space="0" w:color="auto"/>
        <w:bottom w:val="none" w:sz="0" w:space="0" w:color="auto"/>
        <w:right w:val="none" w:sz="0" w:space="0" w:color="auto"/>
      </w:divBdr>
    </w:div>
    <w:div w:id="509100120">
      <w:marLeft w:val="0"/>
      <w:marRight w:val="0"/>
      <w:marTop w:val="0"/>
      <w:marBottom w:val="0"/>
      <w:divBdr>
        <w:top w:val="none" w:sz="0" w:space="0" w:color="auto"/>
        <w:left w:val="none" w:sz="0" w:space="0" w:color="auto"/>
        <w:bottom w:val="none" w:sz="0" w:space="0" w:color="auto"/>
        <w:right w:val="none" w:sz="0" w:space="0" w:color="auto"/>
      </w:divBdr>
    </w:div>
    <w:div w:id="515388533">
      <w:marLeft w:val="0"/>
      <w:marRight w:val="0"/>
      <w:marTop w:val="0"/>
      <w:marBottom w:val="0"/>
      <w:divBdr>
        <w:top w:val="none" w:sz="0" w:space="0" w:color="auto"/>
        <w:left w:val="none" w:sz="0" w:space="0" w:color="auto"/>
        <w:bottom w:val="none" w:sz="0" w:space="0" w:color="auto"/>
        <w:right w:val="none" w:sz="0" w:space="0" w:color="auto"/>
      </w:divBdr>
    </w:div>
    <w:div w:id="516235251">
      <w:marLeft w:val="0"/>
      <w:marRight w:val="0"/>
      <w:marTop w:val="0"/>
      <w:marBottom w:val="0"/>
      <w:divBdr>
        <w:top w:val="none" w:sz="0" w:space="0" w:color="auto"/>
        <w:left w:val="none" w:sz="0" w:space="0" w:color="auto"/>
        <w:bottom w:val="none" w:sz="0" w:space="0" w:color="auto"/>
        <w:right w:val="none" w:sz="0" w:space="0" w:color="auto"/>
      </w:divBdr>
    </w:div>
    <w:div w:id="521549097">
      <w:marLeft w:val="0"/>
      <w:marRight w:val="0"/>
      <w:marTop w:val="0"/>
      <w:marBottom w:val="0"/>
      <w:divBdr>
        <w:top w:val="none" w:sz="0" w:space="0" w:color="auto"/>
        <w:left w:val="none" w:sz="0" w:space="0" w:color="auto"/>
        <w:bottom w:val="none" w:sz="0" w:space="0" w:color="auto"/>
        <w:right w:val="none" w:sz="0" w:space="0" w:color="auto"/>
      </w:divBdr>
    </w:div>
    <w:div w:id="524096044">
      <w:marLeft w:val="0"/>
      <w:marRight w:val="0"/>
      <w:marTop w:val="0"/>
      <w:marBottom w:val="0"/>
      <w:divBdr>
        <w:top w:val="none" w:sz="0" w:space="0" w:color="auto"/>
        <w:left w:val="none" w:sz="0" w:space="0" w:color="auto"/>
        <w:bottom w:val="none" w:sz="0" w:space="0" w:color="auto"/>
        <w:right w:val="none" w:sz="0" w:space="0" w:color="auto"/>
      </w:divBdr>
    </w:div>
    <w:div w:id="525140639">
      <w:marLeft w:val="0"/>
      <w:marRight w:val="0"/>
      <w:marTop w:val="0"/>
      <w:marBottom w:val="0"/>
      <w:divBdr>
        <w:top w:val="none" w:sz="0" w:space="0" w:color="auto"/>
        <w:left w:val="none" w:sz="0" w:space="0" w:color="auto"/>
        <w:bottom w:val="none" w:sz="0" w:space="0" w:color="auto"/>
        <w:right w:val="none" w:sz="0" w:space="0" w:color="auto"/>
      </w:divBdr>
    </w:div>
    <w:div w:id="525756031">
      <w:marLeft w:val="0"/>
      <w:marRight w:val="0"/>
      <w:marTop w:val="0"/>
      <w:marBottom w:val="0"/>
      <w:divBdr>
        <w:top w:val="none" w:sz="0" w:space="0" w:color="auto"/>
        <w:left w:val="none" w:sz="0" w:space="0" w:color="auto"/>
        <w:bottom w:val="none" w:sz="0" w:space="0" w:color="auto"/>
        <w:right w:val="none" w:sz="0" w:space="0" w:color="auto"/>
      </w:divBdr>
    </w:div>
    <w:div w:id="526217253">
      <w:marLeft w:val="0"/>
      <w:marRight w:val="0"/>
      <w:marTop w:val="0"/>
      <w:marBottom w:val="0"/>
      <w:divBdr>
        <w:top w:val="none" w:sz="0" w:space="0" w:color="auto"/>
        <w:left w:val="none" w:sz="0" w:space="0" w:color="auto"/>
        <w:bottom w:val="none" w:sz="0" w:space="0" w:color="auto"/>
        <w:right w:val="none" w:sz="0" w:space="0" w:color="auto"/>
      </w:divBdr>
    </w:div>
    <w:div w:id="532614135">
      <w:marLeft w:val="0"/>
      <w:marRight w:val="0"/>
      <w:marTop w:val="0"/>
      <w:marBottom w:val="0"/>
      <w:divBdr>
        <w:top w:val="none" w:sz="0" w:space="0" w:color="auto"/>
        <w:left w:val="none" w:sz="0" w:space="0" w:color="auto"/>
        <w:bottom w:val="none" w:sz="0" w:space="0" w:color="auto"/>
        <w:right w:val="none" w:sz="0" w:space="0" w:color="auto"/>
      </w:divBdr>
    </w:div>
    <w:div w:id="535581529">
      <w:marLeft w:val="0"/>
      <w:marRight w:val="0"/>
      <w:marTop w:val="0"/>
      <w:marBottom w:val="0"/>
      <w:divBdr>
        <w:top w:val="none" w:sz="0" w:space="0" w:color="auto"/>
        <w:left w:val="none" w:sz="0" w:space="0" w:color="auto"/>
        <w:bottom w:val="none" w:sz="0" w:space="0" w:color="auto"/>
        <w:right w:val="none" w:sz="0" w:space="0" w:color="auto"/>
      </w:divBdr>
    </w:div>
    <w:div w:id="535774537">
      <w:marLeft w:val="0"/>
      <w:marRight w:val="0"/>
      <w:marTop w:val="0"/>
      <w:marBottom w:val="0"/>
      <w:divBdr>
        <w:top w:val="none" w:sz="0" w:space="0" w:color="auto"/>
        <w:left w:val="none" w:sz="0" w:space="0" w:color="auto"/>
        <w:bottom w:val="none" w:sz="0" w:space="0" w:color="auto"/>
        <w:right w:val="none" w:sz="0" w:space="0" w:color="auto"/>
      </w:divBdr>
    </w:div>
    <w:div w:id="536091751">
      <w:marLeft w:val="0"/>
      <w:marRight w:val="0"/>
      <w:marTop w:val="0"/>
      <w:marBottom w:val="0"/>
      <w:divBdr>
        <w:top w:val="none" w:sz="0" w:space="0" w:color="auto"/>
        <w:left w:val="none" w:sz="0" w:space="0" w:color="auto"/>
        <w:bottom w:val="none" w:sz="0" w:space="0" w:color="auto"/>
        <w:right w:val="none" w:sz="0" w:space="0" w:color="auto"/>
      </w:divBdr>
    </w:div>
    <w:div w:id="540482800">
      <w:marLeft w:val="0"/>
      <w:marRight w:val="0"/>
      <w:marTop w:val="0"/>
      <w:marBottom w:val="0"/>
      <w:divBdr>
        <w:top w:val="none" w:sz="0" w:space="0" w:color="auto"/>
        <w:left w:val="none" w:sz="0" w:space="0" w:color="auto"/>
        <w:bottom w:val="none" w:sz="0" w:space="0" w:color="auto"/>
        <w:right w:val="none" w:sz="0" w:space="0" w:color="auto"/>
      </w:divBdr>
    </w:div>
    <w:div w:id="545484308">
      <w:marLeft w:val="0"/>
      <w:marRight w:val="0"/>
      <w:marTop w:val="0"/>
      <w:marBottom w:val="0"/>
      <w:divBdr>
        <w:top w:val="none" w:sz="0" w:space="0" w:color="auto"/>
        <w:left w:val="none" w:sz="0" w:space="0" w:color="auto"/>
        <w:bottom w:val="none" w:sz="0" w:space="0" w:color="auto"/>
        <w:right w:val="none" w:sz="0" w:space="0" w:color="auto"/>
      </w:divBdr>
    </w:div>
    <w:div w:id="545683311">
      <w:marLeft w:val="0"/>
      <w:marRight w:val="0"/>
      <w:marTop w:val="0"/>
      <w:marBottom w:val="0"/>
      <w:divBdr>
        <w:top w:val="none" w:sz="0" w:space="0" w:color="auto"/>
        <w:left w:val="none" w:sz="0" w:space="0" w:color="auto"/>
        <w:bottom w:val="none" w:sz="0" w:space="0" w:color="auto"/>
        <w:right w:val="none" w:sz="0" w:space="0" w:color="auto"/>
      </w:divBdr>
    </w:div>
    <w:div w:id="548804460">
      <w:marLeft w:val="0"/>
      <w:marRight w:val="0"/>
      <w:marTop w:val="0"/>
      <w:marBottom w:val="0"/>
      <w:divBdr>
        <w:top w:val="none" w:sz="0" w:space="0" w:color="auto"/>
        <w:left w:val="none" w:sz="0" w:space="0" w:color="auto"/>
        <w:bottom w:val="none" w:sz="0" w:space="0" w:color="auto"/>
        <w:right w:val="none" w:sz="0" w:space="0" w:color="auto"/>
      </w:divBdr>
    </w:div>
    <w:div w:id="549465260">
      <w:marLeft w:val="0"/>
      <w:marRight w:val="0"/>
      <w:marTop w:val="0"/>
      <w:marBottom w:val="0"/>
      <w:divBdr>
        <w:top w:val="none" w:sz="0" w:space="0" w:color="auto"/>
        <w:left w:val="none" w:sz="0" w:space="0" w:color="auto"/>
        <w:bottom w:val="none" w:sz="0" w:space="0" w:color="auto"/>
        <w:right w:val="none" w:sz="0" w:space="0" w:color="auto"/>
      </w:divBdr>
    </w:div>
    <w:div w:id="554780016">
      <w:marLeft w:val="0"/>
      <w:marRight w:val="0"/>
      <w:marTop w:val="0"/>
      <w:marBottom w:val="0"/>
      <w:divBdr>
        <w:top w:val="none" w:sz="0" w:space="0" w:color="auto"/>
        <w:left w:val="none" w:sz="0" w:space="0" w:color="auto"/>
        <w:bottom w:val="none" w:sz="0" w:space="0" w:color="auto"/>
        <w:right w:val="none" w:sz="0" w:space="0" w:color="auto"/>
      </w:divBdr>
    </w:div>
    <w:div w:id="556235493">
      <w:marLeft w:val="0"/>
      <w:marRight w:val="0"/>
      <w:marTop w:val="0"/>
      <w:marBottom w:val="0"/>
      <w:divBdr>
        <w:top w:val="none" w:sz="0" w:space="0" w:color="auto"/>
        <w:left w:val="none" w:sz="0" w:space="0" w:color="auto"/>
        <w:bottom w:val="none" w:sz="0" w:space="0" w:color="auto"/>
        <w:right w:val="none" w:sz="0" w:space="0" w:color="auto"/>
      </w:divBdr>
    </w:div>
    <w:div w:id="563956484">
      <w:marLeft w:val="0"/>
      <w:marRight w:val="0"/>
      <w:marTop w:val="0"/>
      <w:marBottom w:val="0"/>
      <w:divBdr>
        <w:top w:val="none" w:sz="0" w:space="0" w:color="auto"/>
        <w:left w:val="none" w:sz="0" w:space="0" w:color="auto"/>
        <w:bottom w:val="none" w:sz="0" w:space="0" w:color="auto"/>
        <w:right w:val="none" w:sz="0" w:space="0" w:color="auto"/>
      </w:divBdr>
    </w:div>
    <w:div w:id="564536642">
      <w:marLeft w:val="0"/>
      <w:marRight w:val="0"/>
      <w:marTop w:val="0"/>
      <w:marBottom w:val="0"/>
      <w:divBdr>
        <w:top w:val="none" w:sz="0" w:space="0" w:color="auto"/>
        <w:left w:val="none" w:sz="0" w:space="0" w:color="auto"/>
        <w:bottom w:val="none" w:sz="0" w:space="0" w:color="auto"/>
        <w:right w:val="none" w:sz="0" w:space="0" w:color="auto"/>
      </w:divBdr>
    </w:div>
    <w:div w:id="568659269">
      <w:marLeft w:val="0"/>
      <w:marRight w:val="0"/>
      <w:marTop w:val="0"/>
      <w:marBottom w:val="0"/>
      <w:divBdr>
        <w:top w:val="none" w:sz="0" w:space="0" w:color="auto"/>
        <w:left w:val="none" w:sz="0" w:space="0" w:color="auto"/>
        <w:bottom w:val="none" w:sz="0" w:space="0" w:color="auto"/>
        <w:right w:val="none" w:sz="0" w:space="0" w:color="auto"/>
      </w:divBdr>
    </w:div>
    <w:div w:id="569583010">
      <w:marLeft w:val="0"/>
      <w:marRight w:val="0"/>
      <w:marTop w:val="0"/>
      <w:marBottom w:val="0"/>
      <w:divBdr>
        <w:top w:val="none" w:sz="0" w:space="0" w:color="auto"/>
        <w:left w:val="none" w:sz="0" w:space="0" w:color="auto"/>
        <w:bottom w:val="none" w:sz="0" w:space="0" w:color="auto"/>
        <w:right w:val="none" w:sz="0" w:space="0" w:color="auto"/>
      </w:divBdr>
    </w:div>
    <w:div w:id="570388252">
      <w:marLeft w:val="0"/>
      <w:marRight w:val="0"/>
      <w:marTop w:val="0"/>
      <w:marBottom w:val="0"/>
      <w:divBdr>
        <w:top w:val="none" w:sz="0" w:space="0" w:color="auto"/>
        <w:left w:val="none" w:sz="0" w:space="0" w:color="auto"/>
        <w:bottom w:val="none" w:sz="0" w:space="0" w:color="auto"/>
        <w:right w:val="none" w:sz="0" w:space="0" w:color="auto"/>
      </w:divBdr>
    </w:div>
    <w:div w:id="571307838">
      <w:marLeft w:val="0"/>
      <w:marRight w:val="0"/>
      <w:marTop w:val="0"/>
      <w:marBottom w:val="0"/>
      <w:divBdr>
        <w:top w:val="none" w:sz="0" w:space="0" w:color="auto"/>
        <w:left w:val="none" w:sz="0" w:space="0" w:color="auto"/>
        <w:bottom w:val="none" w:sz="0" w:space="0" w:color="auto"/>
        <w:right w:val="none" w:sz="0" w:space="0" w:color="auto"/>
      </w:divBdr>
    </w:div>
    <w:div w:id="573013285">
      <w:marLeft w:val="0"/>
      <w:marRight w:val="0"/>
      <w:marTop w:val="0"/>
      <w:marBottom w:val="0"/>
      <w:divBdr>
        <w:top w:val="none" w:sz="0" w:space="0" w:color="auto"/>
        <w:left w:val="none" w:sz="0" w:space="0" w:color="auto"/>
        <w:bottom w:val="none" w:sz="0" w:space="0" w:color="auto"/>
        <w:right w:val="none" w:sz="0" w:space="0" w:color="auto"/>
      </w:divBdr>
    </w:div>
    <w:div w:id="575356100">
      <w:marLeft w:val="0"/>
      <w:marRight w:val="0"/>
      <w:marTop w:val="0"/>
      <w:marBottom w:val="0"/>
      <w:divBdr>
        <w:top w:val="none" w:sz="0" w:space="0" w:color="auto"/>
        <w:left w:val="none" w:sz="0" w:space="0" w:color="auto"/>
        <w:bottom w:val="none" w:sz="0" w:space="0" w:color="auto"/>
        <w:right w:val="none" w:sz="0" w:space="0" w:color="auto"/>
      </w:divBdr>
    </w:div>
    <w:div w:id="581643008">
      <w:marLeft w:val="0"/>
      <w:marRight w:val="0"/>
      <w:marTop w:val="0"/>
      <w:marBottom w:val="0"/>
      <w:divBdr>
        <w:top w:val="none" w:sz="0" w:space="0" w:color="auto"/>
        <w:left w:val="none" w:sz="0" w:space="0" w:color="auto"/>
        <w:bottom w:val="none" w:sz="0" w:space="0" w:color="auto"/>
        <w:right w:val="none" w:sz="0" w:space="0" w:color="auto"/>
      </w:divBdr>
    </w:div>
    <w:div w:id="585191334">
      <w:marLeft w:val="0"/>
      <w:marRight w:val="0"/>
      <w:marTop w:val="0"/>
      <w:marBottom w:val="0"/>
      <w:divBdr>
        <w:top w:val="none" w:sz="0" w:space="0" w:color="auto"/>
        <w:left w:val="none" w:sz="0" w:space="0" w:color="auto"/>
        <w:bottom w:val="none" w:sz="0" w:space="0" w:color="auto"/>
        <w:right w:val="none" w:sz="0" w:space="0" w:color="auto"/>
      </w:divBdr>
    </w:div>
    <w:div w:id="590550533">
      <w:marLeft w:val="0"/>
      <w:marRight w:val="0"/>
      <w:marTop w:val="0"/>
      <w:marBottom w:val="0"/>
      <w:divBdr>
        <w:top w:val="none" w:sz="0" w:space="0" w:color="auto"/>
        <w:left w:val="none" w:sz="0" w:space="0" w:color="auto"/>
        <w:bottom w:val="none" w:sz="0" w:space="0" w:color="auto"/>
        <w:right w:val="none" w:sz="0" w:space="0" w:color="auto"/>
      </w:divBdr>
    </w:div>
    <w:div w:id="591353262">
      <w:marLeft w:val="0"/>
      <w:marRight w:val="0"/>
      <w:marTop w:val="0"/>
      <w:marBottom w:val="0"/>
      <w:divBdr>
        <w:top w:val="none" w:sz="0" w:space="0" w:color="auto"/>
        <w:left w:val="none" w:sz="0" w:space="0" w:color="auto"/>
        <w:bottom w:val="none" w:sz="0" w:space="0" w:color="auto"/>
        <w:right w:val="none" w:sz="0" w:space="0" w:color="auto"/>
      </w:divBdr>
    </w:div>
    <w:div w:id="592058647">
      <w:marLeft w:val="0"/>
      <w:marRight w:val="0"/>
      <w:marTop w:val="0"/>
      <w:marBottom w:val="0"/>
      <w:divBdr>
        <w:top w:val="none" w:sz="0" w:space="0" w:color="auto"/>
        <w:left w:val="none" w:sz="0" w:space="0" w:color="auto"/>
        <w:bottom w:val="none" w:sz="0" w:space="0" w:color="auto"/>
        <w:right w:val="none" w:sz="0" w:space="0" w:color="auto"/>
      </w:divBdr>
    </w:div>
    <w:div w:id="592936023">
      <w:marLeft w:val="0"/>
      <w:marRight w:val="0"/>
      <w:marTop w:val="0"/>
      <w:marBottom w:val="0"/>
      <w:divBdr>
        <w:top w:val="none" w:sz="0" w:space="0" w:color="auto"/>
        <w:left w:val="none" w:sz="0" w:space="0" w:color="auto"/>
        <w:bottom w:val="none" w:sz="0" w:space="0" w:color="auto"/>
        <w:right w:val="none" w:sz="0" w:space="0" w:color="auto"/>
      </w:divBdr>
    </w:div>
    <w:div w:id="594095649">
      <w:marLeft w:val="0"/>
      <w:marRight w:val="0"/>
      <w:marTop w:val="0"/>
      <w:marBottom w:val="0"/>
      <w:divBdr>
        <w:top w:val="none" w:sz="0" w:space="0" w:color="auto"/>
        <w:left w:val="none" w:sz="0" w:space="0" w:color="auto"/>
        <w:bottom w:val="none" w:sz="0" w:space="0" w:color="auto"/>
        <w:right w:val="none" w:sz="0" w:space="0" w:color="auto"/>
      </w:divBdr>
    </w:div>
    <w:div w:id="596207369">
      <w:marLeft w:val="0"/>
      <w:marRight w:val="0"/>
      <w:marTop w:val="0"/>
      <w:marBottom w:val="0"/>
      <w:divBdr>
        <w:top w:val="none" w:sz="0" w:space="0" w:color="auto"/>
        <w:left w:val="none" w:sz="0" w:space="0" w:color="auto"/>
        <w:bottom w:val="none" w:sz="0" w:space="0" w:color="auto"/>
        <w:right w:val="none" w:sz="0" w:space="0" w:color="auto"/>
      </w:divBdr>
    </w:div>
    <w:div w:id="599527107">
      <w:marLeft w:val="0"/>
      <w:marRight w:val="0"/>
      <w:marTop w:val="0"/>
      <w:marBottom w:val="0"/>
      <w:divBdr>
        <w:top w:val="none" w:sz="0" w:space="0" w:color="auto"/>
        <w:left w:val="none" w:sz="0" w:space="0" w:color="auto"/>
        <w:bottom w:val="none" w:sz="0" w:space="0" w:color="auto"/>
        <w:right w:val="none" w:sz="0" w:space="0" w:color="auto"/>
      </w:divBdr>
    </w:div>
    <w:div w:id="599989102">
      <w:marLeft w:val="0"/>
      <w:marRight w:val="0"/>
      <w:marTop w:val="0"/>
      <w:marBottom w:val="0"/>
      <w:divBdr>
        <w:top w:val="none" w:sz="0" w:space="0" w:color="auto"/>
        <w:left w:val="none" w:sz="0" w:space="0" w:color="auto"/>
        <w:bottom w:val="none" w:sz="0" w:space="0" w:color="auto"/>
        <w:right w:val="none" w:sz="0" w:space="0" w:color="auto"/>
      </w:divBdr>
    </w:div>
    <w:div w:id="600651547">
      <w:marLeft w:val="0"/>
      <w:marRight w:val="0"/>
      <w:marTop w:val="0"/>
      <w:marBottom w:val="0"/>
      <w:divBdr>
        <w:top w:val="none" w:sz="0" w:space="0" w:color="auto"/>
        <w:left w:val="none" w:sz="0" w:space="0" w:color="auto"/>
        <w:bottom w:val="none" w:sz="0" w:space="0" w:color="auto"/>
        <w:right w:val="none" w:sz="0" w:space="0" w:color="auto"/>
      </w:divBdr>
    </w:div>
    <w:div w:id="604190968">
      <w:marLeft w:val="0"/>
      <w:marRight w:val="0"/>
      <w:marTop w:val="0"/>
      <w:marBottom w:val="0"/>
      <w:divBdr>
        <w:top w:val="none" w:sz="0" w:space="0" w:color="auto"/>
        <w:left w:val="none" w:sz="0" w:space="0" w:color="auto"/>
        <w:bottom w:val="none" w:sz="0" w:space="0" w:color="auto"/>
        <w:right w:val="none" w:sz="0" w:space="0" w:color="auto"/>
      </w:divBdr>
    </w:div>
    <w:div w:id="605383322">
      <w:marLeft w:val="0"/>
      <w:marRight w:val="0"/>
      <w:marTop w:val="0"/>
      <w:marBottom w:val="0"/>
      <w:divBdr>
        <w:top w:val="none" w:sz="0" w:space="0" w:color="auto"/>
        <w:left w:val="none" w:sz="0" w:space="0" w:color="auto"/>
        <w:bottom w:val="none" w:sz="0" w:space="0" w:color="auto"/>
        <w:right w:val="none" w:sz="0" w:space="0" w:color="auto"/>
      </w:divBdr>
    </w:div>
    <w:div w:id="606625207">
      <w:marLeft w:val="0"/>
      <w:marRight w:val="0"/>
      <w:marTop w:val="0"/>
      <w:marBottom w:val="0"/>
      <w:divBdr>
        <w:top w:val="none" w:sz="0" w:space="0" w:color="auto"/>
        <w:left w:val="none" w:sz="0" w:space="0" w:color="auto"/>
        <w:bottom w:val="none" w:sz="0" w:space="0" w:color="auto"/>
        <w:right w:val="none" w:sz="0" w:space="0" w:color="auto"/>
      </w:divBdr>
    </w:div>
    <w:div w:id="606816393">
      <w:marLeft w:val="0"/>
      <w:marRight w:val="0"/>
      <w:marTop w:val="0"/>
      <w:marBottom w:val="0"/>
      <w:divBdr>
        <w:top w:val="none" w:sz="0" w:space="0" w:color="auto"/>
        <w:left w:val="none" w:sz="0" w:space="0" w:color="auto"/>
        <w:bottom w:val="none" w:sz="0" w:space="0" w:color="auto"/>
        <w:right w:val="none" w:sz="0" w:space="0" w:color="auto"/>
      </w:divBdr>
    </w:div>
    <w:div w:id="610627669">
      <w:marLeft w:val="0"/>
      <w:marRight w:val="0"/>
      <w:marTop w:val="0"/>
      <w:marBottom w:val="0"/>
      <w:divBdr>
        <w:top w:val="none" w:sz="0" w:space="0" w:color="auto"/>
        <w:left w:val="none" w:sz="0" w:space="0" w:color="auto"/>
        <w:bottom w:val="none" w:sz="0" w:space="0" w:color="auto"/>
        <w:right w:val="none" w:sz="0" w:space="0" w:color="auto"/>
      </w:divBdr>
    </w:div>
    <w:div w:id="613633521">
      <w:marLeft w:val="0"/>
      <w:marRight w:val="0"/>
      <w:marTop w:val="0"/>
      <w:marBottom w:val="0"/>
      <w:divBdr>
        <w:top w:val="none" w:sz="0" w:space="0" w:color="auto"/>
        <w:left w:val="none" w:sz="0" w:space="0" w:color="auto"/>
        <w:bottom w:val="none" w:sz="0" w:space="0" w:color="auto"/>
        <w:right w:val="none" w:sz="0" w:space="0" w:color="auto"/>
      </w:divBdr>
    </w:div>
    <w:div w:id="614672515">
      <w:marLeft w:val="0"/>
      <w:marRight w:val="0"/>
      <w:marTop w:val="0"/>
      <w:marBottom w:val="0"/>
      <w:divBdr>
        <w:top w:val="none" w:sz="0" w:space="0" w:color="auto"/>
        <w:left w:val="none" w:sz="0" w:space="0" w:color="auto"/>
        <w:bottom w:val="none" w:sz="0" w:space="0" w:color="auto"/>
        <w:right w:val="none" w:sz="0" w:space="0" w:color="auto"/>
      </w:divBdr>
    </w:div>
    <w:div w:id="615328752">
      <w:marLeft w:val="0"/>
      <w:marRight w:val="0"/>
      <w:marTop w:val="0"/>
      <w:marBottom w:val="0"/>
      <w:divBdr>
        <w:top w:val="none" w:sz="0" w:space="0" w:color="auto"/>
        <w:left w:val="none" w:sz="0" w:space="0" w:color="auto"/>
        <w:bottom w:val="none" w:sz="0" w:space="0" w:color="auto"/>
        <w:right w:val="none" w:sz="0" w:space="0" w:color="auto"/>
      </w:divBdr>
    </w:div>
    <w:div w:id="617370130">
      <w:marLeft w:val="0"/>
      <w:marRight w:val="0"/>
      <w:marTop w:val="0"/>
      <w:marBottom w:val="0"/>
      <w:divBdr>
        <w:top w:val="none" w:sz="0" w:space="0" w:color="auto"/>
        <w:left w:val="none" w:sz="0" w:space="0" w:color="auto"/>
        <w:bottom w:val="none" w:sz="0" w:space="0" w:color="auto"/>
        <w:right w:val="none" w:sz="0" w:space="0" w:color="auto"/>
      </w:divBdr>
    </w:div>
    <w:div w:id="621880279">
      <w:marLeft w:val="0"/>
      <w:marRight w:val="0"/>
      <w:marTop w:val="0"/>
      <w:marBottom w:val="0"/>
      <w:divBdr>
        <w:top w:val="none" w:sz="0" w:space="0" w:color="auto"/>
        <w:left w:val="none" w:sz="0" w:space="0" w:color="auto"/>
        <w:bottom w:val="none" w:sz="0" w:space="0" w:color="auto"/>
        <w:right w:val="none" w:sz="0" w:space="0" w:color="auto"/>
      </w:divBdr>
    </w:div>
    <w:div w:id="625043298">
      <w:marLeft w:val="0"/>
      <w:marRight w:val="0"/>
      <w:marTop w:val="0"/>
      <w:marBottom w:val="0"/>
      <w:divBdr>
        <w:top w:val="none" w:sz="0" w:space="0" w:color="auto"/>
        <w:left w:val="none" w:sz="0" w:space="0" w:color="auto"/>
        <w:bottom w:val="none" w:sz="0" w:space="0" w:color="auto"/>
        <w:right w:val="none" w:sz="0" w:space="0" w:color="auto"/>
      </w:divBdr>
    </w:div>
    <w:div w:id="625114847">
      <w:marLeft w:val="0"/>
      <w:marRight w:val="0"/>
      <w:marTop w:val="0"/>
      <w:marBottom w:val="0"/>
      <w:divBdr>
        <w:top w:val="none" w:sz="0" w:space="0" w:color="auto"/>
        <w:left w:val="none" w:sz="0" w:space="0" w:color="auto"/>
        <w:bottom w:val="none" w:sz="0" w:space="0" w:color="auto"/>
        <w:right w:val="none" w:sz="0" w:space="0" w:color="auto"/>
      </w:divBdr>
    </w:div>
    <w:div w:id="628123910">
      <w:marLeft w:val="0"/>
      <w:marRight w:val="0"/>
      <w:marTop w:val="0"/>
      <w:marBottom w:val="0"/>
      <w:divBdr>
        <w:top w:val="none" w:sz="0" w:space="0" w:color="auto"/>
        <w:left w:val="none" w:sz="0" w:space="0" w:color="auto"/>
        <w:bottom w:val="none" w:sz="0" w:space="0" w:color="auto"/>
        <w:right w:val="none" w:sz="0" w:space="0" w:color="auto"/>
      </w:divBdr>
    </w:div>
    <w:div w:id="630786043">
      <w:marLeft w:val="0"/>
      <w:marRight w:val="0"/>
      <w:marTop w:val="0"/>
      <w:marBottom w:val="0"/>
      <w:divBdr>
        <w:top w:val="none" w:sz="0" w:space="0" w:color="auto"/>
        <w:left w:val="none" w:sz="0" w:space="0" w:color="auto"/>
        <w:bottom w:val="none" w:sz="0" w:space="0" w:color="auto"/>
        <w:right w:val="none" w:sz="0" w:space="0" w:color="auto"/>
      </w:divBdr>
    </w:div>
    <w:div w:id="631642484">
      <w:marLeft w:val="0"/>
      <w:marRight w:val="0"/>
      <w:marTop w:val="0"/>
      <w:marBottom w:val="0"/>
      <w:divBdr>
        <w:top w:val="none" w:sz="0" w:space="0" w:color="auto"/>
        <w:left w:val="none" w:sz="0" w:space="0" w:color="auto"/>
        <w:bottom w:val="none" w:sz="0" w:space="0" w:color="auto"/>
        <w:right w:val="none" w:sz="0" w:space="0" w:color="auto"/>
      </w:divBdr>
    </w:div>
    <w:div w:id="631980516">
      <w:marLeft w:val="0"/>
      <w:marRight w:val="0"/>
      <w:marTop w:val="0"/>
      <w:marBottom w:val="0"/>
      <w:divBdr>
        <w:top w:val="none" w:sz="0" w:space="0" w:color="auto"/>
        <w:left w:val="none" w:sz="0" w:space="0" w:color="auto"/>
        <w:bottom w:val="none" w:sz="0" w:space="0" w:color="auto"/>
        <w:right w:val="none" w:sz="0" w:space="0" w:color="auto"/>
      </w:divBdr>
    </w:div>
    <w:div w:id="634023494">
      <w:marLeft w:val="0"/>
      <w:marRight w:val="0"/>
      <w:marTop w:val="0"/>
      <w:marBottom w:val="0"/>
      <w:divBdr>
        <w:top w:val="none" w:sz="0" w:space="0" w:color="auto"/>
        <w:left w:val="none" w:sz="0" w:space="0" w:color="auto"/>
        <w:bottom w:val="none" w:sz="0" w:space="0" w:color="auto"/>
        <w:right w:val="none" w:sz="0" w:space="0" w:color="auto"/>
      </w:divBdr>
    </w:div>
    <w:div w:id="638924552">
      <w:marLeft w:val="0"/>
      <w:marRight w:val="0"/>
      <w:marTop w:val="0"/>
      <w:marBottom w:val="0"/>
      <w:divBdr>
        <w:top w:val="none" w:sz="0" w:space="0" w:color="auto"/>
        <w:left w:val="none" w:sz="0" w:space="0" w:color="auto"/>
        <w:bottom w:val="none" w:sz="0" w:space="0" w:color="auto"/>
        <w:right w:val="none" w:sz="0" w:space="0" w:color="auto"/>
      </w:divBdr>
    </w:div>
    <w:div w:id="642584120">
      <w:marLeft w:val="0"/>
      <w:marRight w:val="0"/>
      <w:marTop w:val="0"/>
      <w:marBottom w:val="0"/>
      <w:divBdr>
        <w:top w:val="none" w:sz="0" w:space="0" w:color="auto"/>
        <w:left w:val="none" w:sz="0" w:space="0" w:color="auto"/>
        <w:bottom w:val="none" w:sz="0" w:space="0" w:color="auto"/>
        <w:right w:val="none" w:sz="0" w:space="0" w:color="auto"/>
      </w:divBdr>
    </w:div>
    <w:div w:id="650644949">
      <w:marLeft w:val="0"/>
      <w:marRight w:val="0"/>
      <w:marTop w:val="0"/>
      <w:marBottom w:val="0"/>
      <w:divBdr>
        <w:top w:val="none" w:sz="0" w:space="0" w:color="auto"/>
        <w:left w:val="none" w:sz="0" w:space="0" w:color="auto"/>
        <w:bottom w:val="none" w:sz="0" w:space="0" w:color="auto"/>
        <w:right w:val="none" w:sz="0" w:space="0" w:color="auto"/>
      </w:divBdr>
    </w:div>
    <w:div w:id="651446801">
      <w:marLeft w:val="0"/>
      <w:marRight w:val="0"/>
      <w:marTop w:val="0"/>
      <w:marBottom w:val="0"/>
      <w:divBdr>
        <w:top w:val="none" w:sz="0" w:space="0" w:color="auto"/>
        <w:left w:val="none" w:sz="0" w:space="0" w:color="auto"/>
        <w:bottom w:val="none" w:sz="0" w:space="0" w:color="auto"/>
        <w:right w:val="none" w:sz="0" w:space="0" w:color="auto"/>
      </w:divBdr>
    </w:div>
    <w:div w:id="653070913">
      <w:marLeft w:val="0"/>
      <w:marRight w:val="0"/>
      <w:marTop w:val="0"/>
      <w:marBottom w:val="0"/>
      <w:divBdr>
        <w:top w:val="none" w:sz="0" w:space="0" w:color="auto"/>
        <w:left w:val="none" w:sz="0" w:space="0" w:color="auto"/>
        <w:bottom w:val="none" w:sz="0" w:space="0" w:color="auto"/>
        <w:right w:val="none" w:sz="0" w:space="0" w:color="auto"/>
      </w:divBdr>
    </w:div>
    <w:div w:id="653535899">
      <w:marLeft w:val="0"/>
      <w:marRight w:val="0"/>
      <w:marTop w:val="0"/>
      <w:marBottom w:val="0"/>
      <w:divBdr>
        <w:top w:val="none" w:sz="0" w:space="0" w:color="auto"/>
        <w:left w:val="none" w:sz="0" w:space="0" w:color="auto"/>
        <w:bottom w:val="none" w:sz="0" w:space="0" w:color="auto"/>
        <w:right w:val="none" w:sz="0" w:space="0" w:color="auto"/>
      </w:divBdr>
    </w:div>
    <w:div w:id="656761976">
      <w:marLeft w:val="0"/>
      <w:marRight w:val="0"/>
      <w:marTop w:val="0"/>
      <w:marBottom w:val="0"/>
      <w:divBdr>
        <w:top w:val="none" w:sz="0" w:space="0" w:color="auto"/>
        <w:left w:val="none" w:sz="0" w:space="0" w:color="auto"/>
        <w:bottom w:val="none" w:sz="0" w:space="0" w:color="auto"/>
        <w:right w:val="none" w:sz="0" w:space="0" w:color="auto"/>
      </w:divBdr>
    </w:div>
    <w:div w:id="656881056">
      <w:marLeft w:val="0"/>
      <w:marRight w:val="0"/>
      <w:marTop w:val="0"/>
      <w:marBottom w:val="0"/>
      <w:divBdr>
        <w:top w:val="none" w:sz="0" w:space="0" w:color="auto"/>
        <w:left w:val="none" w:sz="0" w:space="0" w:color="auto"/>
        <w:bottom w:val="none" w:sz="0" w:space="0" w:color="auto"/>
        <w:right w:val="none" w:sz="0" w:space="0" w:color="auto"/>
      </w:divBdr>
    </w:div>
    <w:div w:id="657030453">
      <w:marLeft w:val="0"/>
      <w:marRight w:val="0"/>
      <w:marTop w:val="0"/>
      <w:marBottom w:val="0"/>
      <w:divBdr>
        <w:top w:val="none" w:sz="0" w:space="0" w:color="auto"/>
        <w:left w:val="none" w:sz="0" w:space="0" w:color="auto"/>
        <w:bottom w:val="none" w:sz="0" w:space="0" w:color="auto"/>
        <w:right w:val="none" w:sz="0" w:space="0" w:color="auto"/>
      </w:divBdr>
    </w:div>
    <w:div w:id="660351737">
      <w:marLeft w:val="0"/>
      <w:marRight w:val="0"/>
      <w:marTop w:val="0"/>
      <w:marBottom w:val="0"/>
      <w:divBdr>
        <w:top w:val="none" w:sz="0" w:space="0" w:color="auto"/>
        <w:left w:val="none" w:sz="0" w:space="0" w:color="auto"/>
        <w:bottom w:val="none" w:sz="0" w:space="0" w:color="auto"/>
        <w:right w:val="none" w:sz="0" w:space="0" w:color="auto"/>
      </w:divBdr>
    </w:div>
    <w:div w:id="661205493">
      <w:marLeft w:val="0"/>
      <w:marRight w:val="0"/>
      <w:marTop w:val="0"/>
      <w:marBottom w:val="0"/>
      <w:divBdr>
        <w:top w:val="none" w:sz="0" w:space="0" w:color="auto"/>
        <w:left w:val="none" w:sz="0" w:space="0" w:color="auto"/>
        <w:bottom w:val="none" w:sz="0" w:space="0" w:color="auto"/>
        <w:right w:val="none" w:sz="0" w:space="0" w:color="auto"/>
      </w:divBdr>
    </w:div>
    <w:div w:id="662973858">
      <w:marLeft w:val="0"/>
      <w:marRight w:val="0"/>
      <w:marTop w:val="0"/>
      <w:marBottom w:val="0"/>
      <w:divBdr>
        <w:top w:val="none" w:sz="0" w:space="0" w:color="auto"/>
        <w:left w:val="none" w:sz="0" w:space="0" w:color="auto"/>
        <w:bottom w:val="none" w:sz="0" w:space="0" w:color="auto"/>
        <w:right w:val="none" w:sz="0" w:space="0" w:color="auto"/>
      </w:divBdr>
    </w:div>
    <w:div w:id="669214571">
      <w:marLeft w:val="0"/>
      <w:marRight w:val="0"/>
      <w:marTop w:val="0"/>
      <w:marBottom w:val="0"/>
      <w:divBdr>
        <w:top w:val="none" w:sz="0" w:space="0" w:color="auto"/>
        <w:left w:val="none" w:sz="0" w:space="0" w:color="auto"/>
        <w:bottom w:val="none" w:sz="0" w:space="0" w:color="auto"/>
        <w:right w:val="none" w:sz="0" w:space="0" w:color="auto"/>
      </w:divBdr>
    </w:div>
    <w:div w:id="670261047">
      <w:marLeft w:val="0"/>
      <w:marRight w:val="0"/>
      <w:marTop w:val="0"/>
      <w:marBottom w:val="0"/>
      <w:divBdr>
        <w:top w:val="none" w:sz="0" w:space="0" w:color="auto"/>
        <w:left w:val="none" w:sz="0" w:space="0" w:color="auto"/>
        <w:bottom w:val="none" w:sz="0" w:space="0" w:color="auto"/>
        <w:right w:val="none" w:sz="0" w:space="0" w:color="auto"/>
      </w:divBdr>
    </w:div>
    <w:div w:id="672798815">
      <w:marLeft w:val="0"/>
      <w:marRight w:val="0"/>
      <w:marTop w:val="0"/>
      <w:marBottom w:val="0"/>
      <w:divBdr>
        <w:top w:val="none" w:sz="0" w:space="0" w:color="auto"/>
        <w:left w:val="none" w:sz="0" w:space="0" w:color="auto"/>
        <w:bottom w:val="none" w:sz="0" w:space="0" w:color="auto"/>
        <w:right w:val="none" w:sz="0" w:space="0" w:color="auto"/>
      </w:divBdr>
    </w:div>
    <w:div w:id="673192186">
      <w:marLeft w:val="0"/>
      <w:marRight w:val="0"/>
      <w:marTop w:val="0"/>
      <w:marBottom w:val="0"/>
      <w:divBdr>
        <w:top w:val="none" w:sz="0" w:space="0" w:color="auto"/>
        <w:left w:val="none" w:sz="0" w:space="0" w:color="auto"/>
        <w:bottom w:val="none" w:sz="0" w:space="0" w:color="auto"/>
        <w:right w:val="none" w:sz="0" w:space="0" w:color="auto"/>
      </w:divBdr>
    </w:div>
    <w:div w:id="673648787">
      <w:marLeft w:val="0"/>
      <w:marRight w:val="0"/>
      <w:marTop w:val="0"/>
      <w:marBottom w:val="0"/>
      <w:divBdr>
        <w:top w:val="none" w:sz="0" w:space="0" w:color="auto"/>
        <w:left w:val="none" w:sz="0" w:space="0" w:color="auto"/>
        <w:bottom w:val="none" w:sz="0" w:space="0" w:color="auto"/>
        <w:right w:val="none" w:sz="0" w:space="0" w:color="auto"/>
      </w:divBdr>
    </w:div>
    <w:div w:id="677582227">
      <w:marLeft w:val="0"/>
      <w:marRight w:val="0"/>
      <w:marTop w:val="0"/>
      <w:marBottom w:val="0"/>
      <w:divBdr>
        <w:top w:val="none" w:sz="0" w:space="0" w:color="auto"/>
        <w:left w:val="none" w:sz="0" w:space="0" w:color="auto"/>
        <w:bottom w:val="none" w:sz="0" w:space="0" w:color="auto"/>
        <w:right w:val="none" w:sz="0" w:space="0" w:color="auto"/>
      </w:divBdr>
    </w:div>
    <w:div w:id="678849678">
      <w:marLeft w:val="0"/>
      <w:marRight w:val="0"/>
      <w:marTop w:val="0"/>
      <w:marBottom w:val="0"/>
      <w:divBdr>
        <w:top w:val="none" w:sz="0" w:space="0" w:color="auto"/>
        <w:left w:val="none" w:sz="0" w:space="0" w:color="auto"/>
        <w:bottom w:val="none" w:sz="0" w:space="0" w:color="auto"/>
        <w:right w:val="none" w:sz="0" w:space="0" w:color="auto"/>
      </w:divBdr>
    </w:div>
    <w:div w:id="681397595">
      <w:marLeft w:val="0"/>
      <w:marRight w:val="0"/>
      <w:marTop w:val="0"/>
      <w:marBottom w:val="0"/>
      <w:divBdr>
        <w:top w:val="none" w:sz="0" w:space="0" w:color="auto"/>
        <w:left w:val="none" w:sz="0" w:space="0" w:color="auto"/>
        <w:bottom w:val="none" w:sz="0" w:space="0" w:color="auto"/>
        <w:right w:val="none" w:sz="0" w:space="0" w:color="auto"/>
      </w:divBdr>
    </w:div>
    <w:div w:id="685983990">
      <w:marLeft w:val="0"/>
      <w:marRight w:val="0"/>
      <w:marTop w:val="0"/>
      <w:marBottom w:val="0"/>
      <w:divBdr>
        <w:top w:val="none" w:sz="0" w:space="0" w:color="auto"/>
        <w:left w:val="none" w:sz="0" w:space="0" w:color="auto"/>
        <w:bottom w:val="none" w:sz="0" w:space="0" w:color="auto"/>
        <w:right w:val="none" w:sz="0" w:space="0" w:color="auto"/>
      </w:divBdr>
    </w:div>
    <w:div w:id="689256076">
      <w:marLeft w:val="0"/>
      <w:marRight w:val="0"/>
      <w:marTop w:val="0"/>
      <w:marBottom w:val="0"/>
      <w:divBdr>
        <w:top w:val="none" w:sz="0" w:space="0" w:color="auto"/>
        <w:left w:val="none" w:sz="0" w:space="0" w:color="auto"/>
        <w:bottom w:val="none" w:sz="0" w:space="0" w:color="auto"/>
        <w:right w:val="none" w:sz="0" w:space="0" w:color="auto"/>
      </w:divBdr>
    </w:div>
    <w:div w:id="691490002">
      <w:marLeft w:val="0"/>
      <w:marRight w:val="0"/>
      <w:marTop w:val="0"/>
      <w:marBottom w:val="0"/>
      <w:divBdr>
        <w:top w:val="none" w:sz="0" w:space="0" w:color="auto"/>
        <w:left w:val="none" w:sz="0" w:space="0" w:color="auto"/>
        <w:bottom w:val="none" w:sz="0" w:space="0" w:color="auto"/>
        <w:right w:val="none" w:sz="0" w:space="0" w:color="auto"/>
      </w:divBdr>
    </w:div>
    <w:div w:id="692346237">
      <w:marLeft w:val="0"/>
      <w:marRight w:val="0"/>
      <w:marTop w:val="0"/>
      <w:marBottom w:val="0"/>
      <w:divBdr>
        <w:top w:val="none" w:sz="0" w:space="0" w:color="auto"/>
        <w:left w:val="none" w:sz="0" w:space="0" w:color="auto"/>
        <w:bottom w:val="none" w:sz="0" w:space="0" w:color="auto"/>
        <w:right w:val="none" w:sz="0" w:space="0" w:color="auto"/>
      </w:divBdr>
    </w:div>
    <w:div w:id="693654974">
      <w:marLeft w:val="0"/>
      <w:marRight w:val="0"/>
      <w:marTop w:val="0"/>
      <w:marBottom w:val="0"/>
      <w:divBdr>
        <w:top w:val="none" w:sz="0" w:space="0" w:color="auto"/>
        <w:left w:val="none" w:sz="0" w:space="0" w:color="auto"/>
        <w:bottom w:val="none" w:sz="0" w:space="0" w:color="auto"/>
        <w:right w:val="none" w:sz="0" w:space="0" w:color="auto"/>
      </w:divBdr>
    </w:div>
    <w:div w:id="696924902">
      <w:marLeft w:val="0"/>
      <w:marRight w:val="0"/>
      <w:marTop w:val="0"/>
      <w:marBottom w:val="0"/>
      <w:divBdr>
        <w:top w:val="none" w:sz="0" w:space="0" w:color="auto"/>
        <w:left w:val="none" w:sz="0" w:space="0" w:color="auto"/>
        <w:bottom w:val="none" w:sz="0" w:space="0" w:color="auto"/>
        <w:right w:val="none" w:sz="0" w:space="0" w:color="auto"/>
      </w:divBdr>
    </w:div>
    <w:div w:id="697895933">
      <w:marLeft w:val="0"/>
      <w:marRight w:val="0"/>
      <w:marTop w:val="0"/>
      <w:marBottom w:val="0"/>
      <w:divBdr>
        <w:top w:val="none" w:sz="0" w:space="0" w:color="auto"/>
        <w:left w:val="none" w:sz="0" w:space="0" w:color="auto"/>
        <w:bottom w:val="none" w:sz="0" w:space="0" w:color="auto"/>
        <w:right w:val="none" w:sz="0" w:space="0" w:color="auto"/>
      </w:divBdr>
    </w:div>
    <w:div w:id="698550581">
      <w:marLeft w:val="0"/>
      <w:marRight w:val="0"/>
      <w:marTop w:val="0"/>
      <w:marBottom w:val="0"/>
      <w:divBdr>
        <w:top w:val="none" w:sz="0" w:space="0" w:color="auto"/>
        <w:left w:val="none" w:sz="0" w:space="0" w:color="auto"/>
        <w:bottom w:val="none" w:sz="0" w:space="0" w:color="auto"/>
        <w:right w:val="none" w:sz="0" w:space="0" w:color="auto"/>
      </w:divBdr>
    </w:div>
    <w:div w:id="706373328">
      <w:marLeft w:val="0"/>
      <w:marRight w:val="0"/>
      <w:marTop w:val="0"/>
      <w:marBottom w:val="0"/>
      <w:divBdr>
        <w:top w:val="none" w:sz="0" w:space="0" w:color="auto"/>
        <w:left w:val="none" w:sz="0" w:space="0" w:color="auto"/>
        <w:bottom w:val="none" w:sz="0" w:space="0" w:color="auto"/>
        <w:right w:val="none" w:sz="0" w:space="0" w:color="auto"/>
      </w:divBdr>
    </w:div>
    <w:div w:id="706491155">
      <w:marLeft w:val="0"/>
      <w:marRight w:val="0"/>
      <w:marTop w:val="0"/>
      <w:marBottom w:val="0"/>
      <w:divBdr>
        <w:top w:val="none" w:sz="0" w:space="0" w:color="auto"/>
        <w:left w:val="none" w:sz="0" w:space="0" w:color="auto"/>
        <w:bottom w:val="none" w:sz="0" w:space="0" w:color="auto"/>
        <w:right w:val="none" w:sz="0" w:space="0" w:color="auto"/>
      </w:divBdr>
    </w:div>
    <w:div w:id="709499179">
      <w:marLeft w:val="0"/>
      <w:marRight w:val="0"/>
      <w:marTop w:val="0"/>
      <w:marBottom w:val="0"/>
      <w:divBdr>
        <w:top w:val="none" w:sz="0" w:space="0" w:color="auto"/>
        <w:left w:val="none" w:sz="0" w:space="0" w:color="auto"/>
        <w:bottom w:val="none" w:sz="0" w:space="0" w:color="auto"/>
        <w:right w:val="none" w:sz="0" w:space="0" w:color="auto"/>
      </w:divBdr>
    </w:div>
    <w:div w:id="710613928">
      <w:marLeft w:val="0"/>
      <w:marRight w:val="0"/>
      <w:marTop w:val="0"/>
      <w:marBottom w:val="0"/>
      <w:divBdr>
        <w:top w:val="none" w:sz="0" w:space="0" w:color="auto"/>
        <w:left w:val="none" w:sz="0" w:space="0" w:color="auto"/>
        <w:bottom w:val="none" w:sz="0" w:space="0" w:color="auto"/>
        <w:right w:val="none" w:sz="0" w:space="0" w:color="auto"/>
      </w:divBdr>
    </w:div>
    <w:div w:id="710958420">
      <w:marLeft w:val="0"/>
      <w:marRight w:val="0"/>
      <w:marTop w:val="0"/>
      <w:marBottom w:val="0"/>
      <w:divBdr>
        <w:top w:val="none" w:sz="0" w:space="0" w:color="auto"/>
        <w:left w:val="none" w:sz="0" w:space="0" w:color="auto"/>
        <w:bottom w:val="none" w:sz="0" w:space="0" w:color="auto"/>
        <w:right w:val="none" w:sz="0" w:space="0" w:color="auto"/>
      </w:divBdr>
    </w:div>
    <w:div w:id="714546276">
      <w:marLeft w:val="0"/>
      <w:marRight w:val="0"/>
      <w:marTop w:val="0"/>
      <w:marBottom w:val="0"/>
      <w:divBdr>
        <w:top w:val="none" w:sz="0" w:space="0" w:color="auto"/>
        <w:left w:val="none" w:sz="0" w:space="0" w:color="auto"/>
        <w:bottom w:val="none" w:sz="0" w:space="0" w:color="auto"/>
        <w:right w:val="none" w:sz="0" w:space="0" w:color="auto"/>
      </w:divBdr>
    </w:div>
    <w:div w:id="714934521">
      <w:marLeft w:val="0"/>
      <w:marRight w:val="0"/>
      <w:marTop w:val="0"/>
      <w:marBottom w:val="0"/>
      <w:divBdr>
        <w:top w:val="none" w:sz="0" w:space="0" w:color="auto"/>
        <w:left w:val="none" w:sz="0" w:space="0" w:color="auto"/>
        <w:bottom w:val="none" w:sz="0" w:space="0" w:color="auto"/>
        <w:right w:val="none" w:sz="0" w:space="0" w:color="auto"/>
      </w:divBdr>
    </w:div>
    <w:div w:id="718210528">
      <w:marLeft w:val="0"/>
      <w:marRight w:val="0"/>
      <w:marTop w:val="0"/>
      <w:marBottom w:val="0"/>
      <w:divBdr>
        <w:top w:val="none" w:sz="0" w:space="0" w:color="auto"/>
        <w:left w:val="none" w:sz="0" w:space="0" w:color="auto"/>
        <w:bottom w:val="none" w:sz="0" w:space="0" w:color="auto"/>
        <w:right w:val="none" w:sz="0" w:space="0" w:color="auto"/>
      </w:divBdr>
    </w:div>
    <w:div w:id="719863214">
      <w:marLeft w:val="0"/>
      <w:marRight w:val="0"/>
      <w:marTop w:val="0"/>
      <w:marBottom w:val="0"/>
      <w:divBdr>
        <w:top w:val="none" w:sz="0" w:space="0" w:color="auto"/>
        <w:left w:val="none" w:sz="0" w:space="0" w:color="auto"/>
        <w:bottom w:val="none" w:sz="0" w:space="0" w:color="auto"/>
        <w:right w:val="none" w:sz="0" w:space="0" w:color="auto"/>
      </w:divBdr>
    </w:div>
    <w:div w:id="720178896">
      <w:marLeft w:val="0"/>
      <w:marRight w:val="0"/>
      <w:marTop w:val="0"/>
      <w:marBottom w:val="0"/>
      <w:divBdr>
        <w:top w:val="none" w:sz="0" w:space="0" w:color="auto"/>
        <w:left w:val="none" w:sz="0" w:space="0" w:color="auto"/>
        <w:bottom w:val="none" w:sz="0" w:space="0" w:color="auto"/>
        <w:right w:val="none" w:sz="0" w:space="0" w:color="auto"/>
      </w:divBdr>
    </w:div>
    <w:div w:id="725032565">
      <w:marLeft w:val="0"/>
      <w:marRight w:val="0"/>
      <w:marTop w:val="0"/>
      <w:marBottom w:val="0"/>
      <w:divBdr>
        <w:top w:val="none" w:sz="0" w:space="0" w:color="auto"/>
        <w:left w:val="none" w:sz="0" w:space="0" w:color="auto"/>
        <w:bottom w:val="none" w:sz="0" w:space="0" w:color="auto"/>
        <w:right w:val="none" w:sz="0" w:space="0" w:color="auto"/>
      </w:divBdr>
    </w:div>
    <w:div w:id="725178340">
      <w:marLeft w:val="0"/>
      <w:marRight w:val="0"/>
      <w:marTop w:val="0"/>
      <w:marBottom w:val="0"/>
      <w:divBdr>
        <w:top w:val="none" w:sz="0" w:space="0" w:color="auto"/>
        <w:left w:val="none" w:sz="0" w:space="0" w:color="auto"/>
        <w:bottom w:val="none" w:sz="0" w:space="0" w:color="auto"/>
        <w:right w:val="none" w:sz="0" w:space="0" w:color="auto"/>
      </w:divBdr>
    </w:div>
    <w:div w:id="726344896">
      <w:marLeft w:val="0"/>
      <w:marRight w:val="0"/>
      <w:marTop w:val="0"/>
      <w:marBottom w:val="0"/>
      <w:divBdr>
        <w:top w:val="none" w:sz="0" w:space="0" w:color="auto"/>
        <w:left w:val="none" w:sz="0" w:space="0" w:color="auto"/>
        <w:bottom w:val="none" w:sz="0" w:space="0" w:color="auto"/>
        <w:right w:val="none" w:sz="0" w:space="0" w:color="auto"/>
      </w:divBdr>
    </w:div>
    <w:div w:id="728115388">
      <w:marLeft w:val="0"/>
      <w:marRight w:val="0"/>
      <w:marTop w:val="0"/>
      <w:marBottom w:val="0"/>
      <w:divBdr>
        <w:top w:val="none" w:sz="0" w:space="0" w:color="auto"/>
        <w:left w:val="none" w:sz="0" w:space="0" w:color="auto"/>
        <w:bottom w:val="none" w:sz="0" w:space="0" w:color="auto"/>
        <w:right w:val="none" w:sz="0" w:space="0" w:color="auto"/>
      </w:divBdr>
    </w:div>
    <w:div w:id="730032935">
      <w:marLeft w:val="0"/>
      <w:marRight w:val="0"/>
      <w:marTop w:val="0"/>
      <w:marBottom w:val="0"/>
      <w:divBdr>
        <w:top w:val="none" w:sz="0" w:space="0" w:color="auto"/>
        <w:left w:val="none" w:sz="0" w:space="0" w:color="auto"/>
        <w:bottom w:val="none" w:sz="0" w:space="0" w:color="auto"/>
        <w:right w:val="none" w:sz="0" w:space="0" w:color="auto"/>
      </w:divBdr>
    </w:div>
    <w:div w:id="732116101">
      <w:marLeft w:val="0"/>
      <w:marRight w:val="0"/>
      <w:marTop w:val="0"/>
      <w:marBottom w:val="0"/>
      <w:divBdr>
        <w:top w:val="none" w:sz="0" w:space="0" w:color="auto"/>
        <w:left w:val="none" w:sz="0" w:space="0" w:color="auto"/>
        <w:bottom w:val="none" w:sz="0" w:space="0" w:color="auto"/>
        <w:right w:val="none" w:sz="0" w:space="0" w:color="auto"/>
      </w:divBdr>
    </w:div>
    <w:div w:id="734089776">
      <w:marLeft w:val="0"/>
      <w:marRight w:val="0"/>
      <w:marTop w:val="0"/>
      <w:marBottom w:val="0"/>
      <w:divBdr>
        <w:top w:val="none" w:sz="0" w:space="0" w:color="auto"/>
        <w:left w:val="none" w:sz="0" w:space="0" w:color="auto"/>
        <w:bottom w:val="none" w:sz="0" w:space="0" w:color="auto"/>
        <w:right w:val="none" w:sz="0" w:space="0" w:color="auto"/>
      </w:divBdr>
    </w:div>
    <w:div w:id="734278600">
      <w:marLeft w:val="0"/>
      <w:marRight w:val="0"/>
      <w:marTop w:val="0"/>
      <w:marBottom w:val="0"/>
      <w:divBdr>
        <w:top w:val="none" w:sz="0" w:space="0" w:color="auto"/>
        <w:left w:val="none" w:sz="0" w:space="0" w:color="auto"/>
        <w:bottom w:val="none" w:sz="0" w:space="0" w:color="auto"/>
        <w:right w:val="none" w:sz="0" w:space="0" w:color="auto"/>
      </w:divBdr>
    </w:div>
    <w:div w:id="735586498">
      <w:marLeft w:val="0"/>
      <w:marRight w:val="0"/>
      <w:marTop w:val="0"/>
      <w:marBottom w:val="0"/>
      <w:divBdr>
        <w:top w:val="none" w:sz="0" w:space="0" w:color="auto"/>
        <w:left w:val="none" w:sz="0" w:space="0" w:color="auto"/>
        <w:bottom w:val="none" w:sz="0" w:space="0" w:color="auto"/>
        <w:right w:val="none" w:sz="0" w:space="0" w:color="auto"/>
      </w:divBdr>
    </w:div>
    <w:div w:id="735860583">
      <w:marLeft w:val="0"/>
      <w:marRight w:val="0"/>
      <w:marTop w:val="0"/>
      <w:marBottom w:val="0"/>
      <w:divBdr>
        <w:top w:val="none" w:sz="0" w:space="0" w:color="auto"/>
        <w:left w:val="none" w:sz="0" w:space="0" w:color="auto"/>
        <w:bottom w:val="none" w:sz="0" w:space="0" w:color="auto"/>
        <w:right w:val="none" w:sz="0" w:space="0" w:color="auto"/>
      </w:divBdr>
    </w:div>
    <w:div w:id="740250005">
      <w:marLeft w:val="0"/>
      <w:marRight w:val="0"/>
      <w:marTop w:val="0"/>
      <w:marBottom w:val="0"/>
      <w:divBdr>
        <w:top w:val="none" w:sz="0" w:space="0" w:color="auto"/>
        <w:left w:val="none" w:sz="0" w:space="0" w:color="auto"/>
        <w:bottom w:val="none" w:sz="0" w:space="0" w:color="auto"/>
        <w:right w:val="none" w:sz="0" w:space="0" w:color="auto"/>
      </w:divBdr>
    </w:div>
    <w:div w:id="743114711">
      <w:marLeft w:val="0"/>
      <w:marRight w:val="0"/>
      <w:marTop w:val="0"/>
      <w:marBottom w:val="0"/>
      <w:divBdr>
        <w:top w:val="none" w:sz="0" w:space="0" w:color="auto"/>
        <w:left w:val="none" w:sz="0" w:space="0" w:color="auto"/>
        <w:bottom w:val="none" w:sz="0" w:space="0" w:color="auto"/>
        <w:right w:val="none" w:sz="0" w:space="0" w:color="auto"/>
      </w:divBdr>
    </w:div>
    <w:div w:id="749815710">
      <w:marLeft w:val="0"/>
      <w:marRight w:val="0"/>
      <w:marTop w:val="0"/>
      <w:marBottom w:val="0"/>
      <w:divBdr>
        <w:top w:val="none" w:sz="0" w:space="0" w:color="auto"/>
        <w:left w:val="none" w:sz="0" w:space="0" w:color="auto"/>
        <w:bottom w:val="none" w:sz="0" w:space="0" w:color="auto"/>
        <w:right w:val="none" w:sz="0" w:space="0" w:color="auto"/>
      </w:divBdr>
    </w:div>
    <w:div w:id="752824076">
      <w:marLeft w:val="0"/>
      <w:marRight w:val="0"/>
      <w:marTop w:val="0"/>
      <w:marBottom w:val="0"/>
      <w:divBdr>
        <w:top w:val="none" w:sz="0" w:space="0" w:color="auto"/>
        <w:left w:val="none" w:sz="0" w:space="0" w:color="auto"/>
        <w:bottom w:val="none" w:sz="0" w:space="0" w:color="auto"/>
        <w:right w:val="none" w:sz="0" w:space="0" w:color="auto"/>
      </w:divBdr>
    </w:div>
    <w:div w:id="754012933">
      <w:marLeft w:val="0"/>
      <w:marRight w:val="0"/>
      <w:marTop w:val="0"/>
      <w:marBottom w:val="0"/>
      <w:divBdr>
        <w:top w:val="none" w:sz="0" w:space="0" w:color="auto"/>
        <w:left w:val="none" w:sz="0" w:space="0" w:color="auto"/>
        <w:bottom w:val="none" w:sz="0" w:space="0" w:color="auto"/>
        <w:right w:val="none" w:sz="0" w:space="0" w:color="auto"/>
      </w:divBdr>
    </w:div>
    <w:div w:id="757403723">
      <w:marLeft w:val="0"/>
      <w:marRight w:val="0"/>
      <w:marTop w:val="0"/>
      <w:marBottom w:val="0"/>
      <w:divBdr>
        <w:top w:val="none" w:sz="0" w:space="0" w:color="auto"/>
        <w:left w:val="none" w:sz="0" w:space="0" w:color="auto"/>
        <w:bottom w:val="none" w:sz="0" w:space="0" w:color="auto"/>
        <w:right w:val="none" w:sz="0" w:space="0" w:color="auto"/>
      </w:divBdr>
    </w:div>
    <w:div w:id="757597486">
      <w:marLeft w:val="0"/>
      <w:marRight w:val="0"/>
      <w:marTop w:val="0"/>
      <w:marBottom w:val="0"/>
      <w:divBdr>
        <w:top w:val="none" w:sz="0" w:space="0" w:color="auto"/>
        <w:left w:val="none" w:sz="0" w:space="0" w:color="auto"/>
        <w:bottom w:val="none" w:sz="0" w:space="0" w:color="auto"/>
        <w:right w:val="none" w:sz="0" w:space="0" w:color="auto"/>
      </w:divBdr>
    </w:div>
    <w:div w:id="757751380">
      <w:marLeft w:val="0"/>
      <w:marRight w:val="0"/>
      <w:marTop w:val="0"/>
      <w:marBottom w:val="0"/>
      <w:divBdr>
        <w:top w:val="none" w:sz="0" w:space="0" w:color="auto"/>
        <w:left w:val="none" w:sz="0" w:space="0" w:color="auto"/>
        <w:bottom w:val="none" w:sz="0" w:space="0" w:color="auto"/>
        <w:right w:val="none" w:sz="0" w:space="0" w:color="auto"/>
      </w:divBdr>
    </w:div>
    <w:div w:id="758217335">
      <w:marLeft w:val="0"/>
      <w:marRight w:val="0"/>
      <w:marTop w:val="0"/>
      <w:marBottom w:val="0"/>
      <w:divBdr>
        <w:top w:val="none" w:sz="0" w:space="0" w:color="auto"/>
        <w:left w:val="none" w:sz="0" w:space="0" w:color="auto"/>
        <w:bottom w:val="none" w:sz="0" w:space="0" w:color="auto"/>
        <w:right w:val="none" w:sz="0" w:space="0" w:color="auto"/>
      </w:divBdr>
    </w:div>
    <w:div w:id="758604395">
      <w:marLeft w:val="0"/>
      <w:marRight w:val="0"/>
      <w:marTop w:val="0"/>
      <w:marBottom w:val="0"/>
      <w:divBdr>
        <w:top w:val="none" w:sz="0" w:space="0" w:color="auto"/>
        <w:left w:val="none" w:sz="0" w:space="0" w:color="auto"/>
        <w:bottom w:val="none" w:sz="0" w:space="0" w:color="auto"/>
        <w:right w:val="none" w:sz="0" w:space="0" w:color="auto"/>
      </w:divBdr>
    </w:div>
    <w:div w:id="759328761">
      <w:marLeft w:val="0"/>
      <w:marRight w:val="0"/>
      <w:marTop w:val="0"/>
      <w:marBottom w:val="0"/>
      <w:divBdr>
        <w:top w:val="none" w:sz="0" w:space="0" w:color="auto"/>
        <w:left w:val="none" w:sz="0" w:space="0" w:color="auto"/>
        <w:bottom w:val="none" w:sz="0" w:space="0" w:color="auto"/>
        <w:right w:val="none" w:sz="0" w:space="0" w:color="auto"/>
      </w:divBdr>
    </w:div>
    <w:div w:id="760222122">
      <w:marLeft w:val="0"/>
      <w:marRight w:val="0"/>
      <w:marTop w:val="0"/>
      <w:marBottom w:val="0"/>
      <w:divBdr>
        <w:top w:val="none" w:sz="0" w:space="0" w:color="auto"/>
        <w:left w:val="none" w:sz="0" w:space="0" w:color="auto"/>
        <w:bottom w:val="none" w:sz="0" w:space="0" w:color="auto"/>
        <w:right w:val="none" w:sz="0" w:space="0" w:color="auto"/>
      </w:divBdr>
    </w:div>
    <w:div w:id="763495432">
      <w:marLeft w:val="0"/>
      <w:marRight w:val="0"/>
      <w:marTop w:val="0"/>
      <w:marBottom w:val="0"/>
      <w:divBdr>
        <w:top w:val="none" w:sz="0" w:space="0" w:color="auto"/>
        <w:left w:val="none" w:sz="0" w:space="0" w:color="auto"/>
        <w:bottom w:val="none" w:sz="0" w:space="0" w:color="auto"/>
        <w:right w:val="none" w:sz="0" w:space="0" w:color="auto"/>
      </w:divBdr>
    </w:div>
    <w:div w:id="769664018">
      <w:marLeft w:val="0"/>
      <w:marRight w:val="0"/>
      <w:marTop w:val="0"/>
      <w:marBottom w:val="0"/>
      <w:divBdr>
        <w:top w:val="none" w:sz="0" w:space="0" w:color="auto"/>
        <w:left w:val="none" w:sz="0" w:space="0" w:color="auto"/>
        <w:bottom w:val="none" w:sz="0" w:space="0" w:color="auto"/>
        <w:right w:val="none" w:sz="0" w:space="0" w:color="auto"/>
      </w:divBdr>
    </w:div>
    <w:div w:id="770247592">
      <w:marLeft w:val="0"/>
      <w:marRight w:val="0"/>
      <w:marTop w:val="0"/>
      <w:marBottom w:val="0"/>
      <w:divBdr>
        <w:top w:val="none" w:sz="0" w:space="0" w:color="auto"/>
        <w:left w:val="none" w:sz="0" w:space="0" w:color="auto"/>
        <w:bottom w:val="none" w:sz="0" w:space="0" w:color="auto"/>
        <w:right w:val="none" w:sz="0" w:space="0" w:color="auto"/>
      </w:divBdr>
    </w:div>
    <w:div w:id="771903952">
      <w:marLeft w:val="0"/>
      <w:marRight w:val="0"/>
      <w:marTop w:val="0"/>
      <w:marBottom w:val="0"/>
      <w:divBdr>
        <w:top w:val="none" w:sz="0" w:space="0" w:color="auto"/>
        <w:left w:val="none" w:sz="0" w:space="0" w:color="auto"/>
        <w:bottom w:val="none" w:sz="0" w:space="0" w:color="auto"/>
        <w:right w:val="none" w:sz="0" w:space="0" w:color="auto"/>
      </w:divBdr>
    </w:div>
    <w:div w:id="772670179">
      <w:marLeft w:val="0"/>
      <w:marRight w:val="0"/>
      <w:marTop w:val="0"/>
      <w:marBottom w:val="0"/>
      <w:divBdr>
        <w:top w:val="none" w:sz="0" w:space="0" w:color="auto"/>
        <w:left w:val="none" w:sz="0" w:space="0" w:color="auto"/>
        <w:bottom w:val="none" w:sz="0" w:space="0" w:color="auto"/>
        <w:right w:val="none" w:sz="0" w:space="0" w:color="auto"/>
      </w:divBdr>
    </w:div>
    <w:div w:id="776098281">
      <w:marLeft w:val="0"/>
      <w:marRight w:val="0"/>
      <w:marTop w:val="0"/>
      <w:marBottom w:val="0"/>
      <w:divBdr>
        <w:top w:val="none" w:sz="0" w:space="0" w:color="auto"/>
        <w:left w:val="none" w:sz="0" w:space="0" w:color="auto"/>
        <w:bottom w:val="none" w:sz="0" w:space="0" w:color="auto"/>
        <w:right w:val="none" w:sz="0" w:space="0" w:color="auto"/>
      </w:divBdr>
    </w:div>
    <w:div w:id="778649814">
      <w:marLeft w:val="0"/>
      <w:marRight w:val="0"/>
      <w:marTop w:val="0"/>
      <w:marBottom w:val="0"/>
      <w:divBdr>
        <w:top w:val="none" w:sz="0" w:space="0" w:color="auto"/>
        <w:left w:val="none" w:sz="0" w:space="0" w:color="auto"/>
        <w:bottom w:val="none" w:sz="0" w:space="0" w:color="auto"/>
        <w:right w:val="none" w:sz="0" w:space="0" w:color="auto"/>
      </w:divBdr>
    </w:div>
    <w:div w:id="782185187">
      <w:marLeft w:val="0"/>
      <w:marRight w:val="0"/>
      <w:marTop w:val="0"/>
      <w:marBottom w:val="0"/>
      <w:divBdr>
        <w:top w:val="none" w:sz="0" w:space="0" w:color="auto"/>
        <w:left w:val="none" w:sz="0" w:space="0" w:color="auto"/>
        <w:bottom w:val="none" w:sz="0" w:space="0" w:color="auto"/>
        <w:right w:val="none" w:sz="0" w:space="0" w:color="auto"/>
      </w:divBdr>
    </w:div>
    <w:div w:id="783306078">
      <w:marLeft w:val="0"/>
      <w:marRight w:val="0"/>
      <w:marTop w:val="0"/>
      <w:marBottom w:val="0"/>
      <w:divBdr>
        <w:top w:val="none" w:sz="0" w:space="0" w:color="auto"/>
        <w:left w:val="none" w:sz="0" w:space="0" w:color="auto"/>
        <w:bottom w:val="none" w:sz="0" w:space="0" w:color="auto"/>
        <w:right w:val="none" w:sz="0" w:space="0" w:color="auto"/>
      </w:divBdr>
    </w:div>
    <w:div w:id="784546344">
      <w:marLeft w:val="0"/>
      <w:marRight w:val="0"/>
      <w:marTop w:val="0"/>
      <w:marBottom w:val="0"/>
      <w:divBdr>
        <w:top w:val="none" w:sz="0" w:space="0" w:color="auto"/>
        <w:left w:val="none" w:sz="0" w:space="0" w:color="auto"/>
        <w:bottom w:val="none" w:sz="0" w:space="0" w:color="auto"/>
        <w:right w:val="none" w:sz="0" w:space="0" w:color="auto"/>
      </w:divBdr>
    </w:div>
    <w:div w:id="784621876">
      <w:marLeft w:val="0"/>
      <w:marRight w:val="0"/>
      <w:marTop w:val="0"/>
      <w:marBottom w:val="0"/>
      <w:divBdr>
        <w:top w:val="none" w:sz="0" w:space="0" w:color="auto"/>
        <w:left w:val="none" w:sz="0" w:space="0" w:color="auto"/>
        <w:bottom w:val="none" w:sz="0" w:space="0" w:color="auto"/>
        <w:right w:val="none" w:sz="0" w:space="0" w:color="auto"/>
      </w:divBdr>
    </w:div>
    <w:div w:id="784887714">
      <w:marLeft w:val="0"/>
      <w:marRight w:val="0"/>
      <w:marTop w:val="0"/>
      <w:marBottom w:val="0"/>
      <w:divBdr>
        <w:top w:val="none" w:sz="0" w:space="0" w:color="auto"/>
        <w:left w:val="none" w:sz="0" w:space="0" w:color="auto"/>
        <w:bottom w:val="none" w:sz="0" w:space="0" w:color="auto"/>
        <w:right w:val="none" w:sz="0" w:space="0" w:color="auto"/>
      </w:divBdr>
    </w:div>
    <w:div w:id="785076572">
      <w:marLeft w:val="0"/>
      <w:marRight w:val="0"/>
      <w:marTop w:val="0"/>
      <w:marBottom w:val="0"/>
      <w:divBdr>
        <w:top w:val="none" w:sz="0" w:space="0" w:color="auto"/>
        <w:left w:val="none" w:sz="0" w:space="0" w:color="auto"/>
        <w:bottom w:val="none" w:sz="0" w:space="0" w:color="auto"/>
        <w:right w:val="none" w:sz="0" w:space="0" w:color="auto"/>
      </w:divBdr>
    </w:div>
    <w:div w:id="786236338">
      <w:marLeft w:val="0"/>
      <w:marRight w:val="0"/>
      <w:marTop w:val="0"/>
      <w:marBottom w:val="0"/>
      <w:divBdr>
        <w:top w:val="none" w:sz="0" w:space="0" w:color="auto"/>
        <w:left w:val="none" w:sz="0" w:space="0" w:color="auto"/>
        <w:bottom w:val="none" w:sz="0" w:space="0" w:color="auto"/>
        <w:right w:val="none" w:sz="0" w:space="0" w:color="auto"/>
      </w:divBdr>
    </w:div>
    <w:div w:id="786463858">
      <w:marLeft w:val="0"/>
      <w:marRight w:val="0"/>
      <w:marTop w:val="0"/>
      <w:marBottom w:val="0"/>
      <w:divBdr>
        <w:top w:val="none" w:sz="0" w:space="0" w:color="auto"/>
        <w:left w:val="none" w:sz="0" w:space="0" w:color="auto"/>
        <w:bottom w:val="none" w:sz="0" w:space="0" w:color="auto"/>
        <w:right w:val="none" w:sz="0" w:space="0" w:color="auto"/>
      </w:divBdr>
    </w:div>
    <w:div w:id="786586815">
      <w:marLeft w:val="0"/>
      <w:marRight w:val="0"/>
      <w:marTop w:val="0"/>
      <w:marBottom w:val="0"/>
      <w:divBdr>
        <w:top w:val="none" w:sz="0" w:space="0" w:color="auto"/>
        <w:left w:val="none" w:sz="0" w:space="0" w:color="auto"/>
        <w:bottom w:val="none" w:sz="0" w:space="0" w:color="auto"/>
        <w:right w:val="none" w:sz="0" w:space="0" w:color="auto"/>
      </w:divBdr>
    </w:div>
    <w:div w:id="794909962">
      <w:marLeft w:val="0"/>
      <w:marRight w:val="0"/>
      <w:marTop w:val="0"/>
      <w:marBottom w:val="0"/>
      <w:divBdr>
        <w:top w:val="none" w:sz="0" w:space="0" w:color="auto"/>
        <w:left w:val="none" w:sz="0" w:space="0" w:color="auto"/>
        <w:bottom w:val="none" w:sz="0" w:space="0" w:color="auto"/>
        <w:right w:val="none" w:sz="0" w:space="0" w:color="auto"/>
      </w:divBdr>
    </w:div>
    <w:div w:id="795371972">
      <w:marLeft w:val="0"/>
      <w:marRight w:val="0"/>
      <w:marTop w:val="0"/>
      <w:marBottom w:val="0"/>
      <w:divBdr>
        <w:top w:val="none" w:sz="0" w:space="0" w:color="auto"/>
        <w:left w:val="none" w:sz="0" w:space="0" w:color="auto"/>
        <w:bottom w:val="none" w:sz="0" w:space="0" w:color="auto"/>
        <w:right w:val="none" w:sz="0" w:space="0" w:color="auto"/>
      </w:divBdr>
    </w:div>
    <w:div w:id="797845030">
      <w:marLeft w:val="0"/>
      <w:marRight w:val="0"/>
      <w:marTop w:val="0"/>
      <w:marBottom w:val="0"/>
      <w:divBdr>
        <w:top w:val="none" w:sz="0" w:space="0" w:color="auto"/>
        <w:left w:val="none" w:sz="0" w:space="0" w:color="auto"/>
        <w:bottom w:val="none" w:sz="0" w:space="0" w:color="auto"/>
        <w:right w:val="none" w:sz="0" w:space="0" w:color="auto"/>
      </w:divBdr>
    </w:div>
    <w:div w:id="801845899">
      <w:marLeft w:val="0"/>
      <w:marRight w:val="0"/>
      <w:marTop w:val="0"/>
      <w:marBottom w:val="0"/>
      <w:divBdr>
        <w:top w:val="none" w:sz="0" w:space="0" w:color="auto"/>
        <w:left w:val="none" w:sz="0" w:space="0" w:color="auto"/>
        <w:bottom w:val="none" w:sz="0" w:space="0" w:color="auto"/>
        <w:right w:val="none" w:sz="0" w:space="0" w:color="auto"/>
      </w:divBdr>
    </w:div>
    <w:div w:id="803087434">
      <w:marLeft w:val="0"/>
      <w:marRight w:val="0"/>
      <w:marTop w:val="0"/>
      <w:marBottom w:val="0"/>
      <w:divBdr>
        <w:top w:val="none" w:sz="0" w:space="0" w:color="auto"/>
        <w:left w:val="none" w:sz="0" w:space="0" w:color="auto"/>
        <w:bottom w:val="none" w:sz="0" w:space="0" w:color="auto"/>
        <w:right w:val="none" w:sz="0" w:space="0" w:color="auto"/>
      </w:divBdr>
    </w:div>
    <w:div w:id="807474992">
      <w:marLeft w:val="0"/>
      <w:marRight w:val="0"/>
      <w:marTop w:val="0"/>
      <w:marBottom w:val="0"/>
      <w:divBdr>
        <w:top w:val="none" w:sz="0" w:space="0" w:color="auto"/>
        <w:left w:val="none" w:sz="0" w:space="0" w:color="auto"/>
        <w:bottom w:val="none" w:sz="0" w:space="0" w:color="auto"/>
        <w:right w:val="none" w:sz="0" w:space="0" w:color="auto"/>
      </w:divBdr>
    </w:div>
    <w:div w:id="808086725">
      <w:marLeft w:val="0"/>
      <w:marRight w:val="0"/>
      <w:marTop w:val="0"/>
      <w:marBottom w:val="0"/>
      <w:divBdr>
        <w:top w:val="none" w:sz="0" w:space="0" w:color="auto"/>
        <w:left w:val="none" w:sz="0" w:space="0" w:color="auto"/>
        <w:bottom w:val="none" w:sz="0" w:space="0" w:color="auto"/>
        <w:right w:val="none" w:sz="0" w:space="0" w:color="auto"/>
      </w:divBdr>
    </w:div>
    <w:div w:id="808090820">
      <w:marLeft w:val="0"/>
      <w:marRight w:val="0"/>
      <w:marTop w:val="0"/>
      <w:marBottom w:val="0"/>
      <w:divBdr>
        <w:top w:val="none" w:sz="0" w:space="0" w:color="auto"/>
        <w:left w:val="none" w:sz="0" w:space="0" w:color="auto"/>
        <w:bottom w:val="none" w:sz="0" w:space="0" w:color="auto"/>
        <w:right w:val="none" w:sz="0" w:space="0" w:color="auto"/>
      </w:divBdr>
    </w:div>
    <w:div w:id="808205183">
      <w:marLeft w:val="0"/>
      <w:marRight w:val="0"/>
      <w:marTop w:val="0"/>
      <w:marBottom w:val="0"/>
      <w:divBdr>
        <w:top w:val="none" w:sz="0" w:space="0" w:color="auto"/>
        <w:left w:val="none" w:sz="0" w:space="0" w:color="auto"/>
        <w:bottom w:val="none" w:sz="0" w:space="0" w:color="auto"/>
        <w:right w:val="none" w:sz="0" w:space="0" w:color="auto"/>
      </w:divBdr>
    </w:div>
    <w:div w:id="810899965">
      <w:marLeft w:val="0"/>
      <w:marRight w:val="0"/>
      <w:marTop w:val="0"/>
      <w:marBottom w:val="0"/>
      <w:divBdr>
        <w:top w:val="none" w:sz="0" w:space="0" w:color="auto"/>
        <w:left w:val="none" w:sz="0" w:space="0" w:color="auto"/>
        <w:bottom w:val="none" w:sz="0" w:space="0" w:color="auto"/>
        <w:right w:val="none" w:sz="0" w:space="0" w:color="auto"/>
      </w:divBdr>
    </w:div>
    <w:div w:id="811557503">
      <w:marLeft w:val="0"/>
      <w:marRight w:val="0"/>
      <w:marTop w:val="0"/>
      <w:marBottom w:val="0"/>
      <w:divBdr>
        <w:top w:val="none" w:sz="0" w:space="0" w:color="auto"/>
        <w:left w:val="none" w:sz="0" w:space="0" w:color="auto"/>
        <w:bottom w:val="none" w:sz="0" w:space="0" w:color="auto"/>
        <w:right w:val="none" w:sz="0" w:space="0" w:color="auto"/>
      </w:divBdr>
    </w:div>
    <w:div w:id="812060732">
      <w:marLeft w:val="0"/>
      <w:marRight w:val="0"/>
      <w:marTop w:val="0"/>
      <w:marBottom w:val="0"/>
      <w:divBdr>
        <w:top w:val="none" w:sz="0" w:space="0" w:color="auto"/>
        <w:left w:val="none" w:sz="0" w:space="0" w:color="auto"/>
        <w:bottom w:val="none" w:sz="0" w:space="0" w:color="auto"/>
        <w:right w:val="none" w:sz="0" w:space="0" w:color="auto"/>
      </w:divBdr>
    </w:div>
    <w:div w:id="815729089">
      <w:marLeft w:val="0"/>
      <w:marRight w:val="0"/>
      <w:marTop w:val="0"/>
      <w:marBottom w:val="0"/>
      <w:divBdr>
        <w:top w:val="none" w:sz="0" w:space="0" w:color="auto"/>
        <w:left w:val="none" w:sz="0" w:space="0" w:color="auto"/>
        <w:bottom w:val="none" w:sz="0" w:space="0" w:color="auto"/>
        <w:right w:val="none" w:sz="0" w:space="0" w:color="auto"/>
      </w:divBdr>
    </w:div>
    <w:div w:id="816997567">
      <w:marLeft w:val="0"/>
      <w:marRight w:val="0"/>
      <w:marTop w:val="0"/>
      <w:marBottom w:val="0"/>
      <w:divBdr>
        <w:top w:val="none" w:sz="0" w:space="0" w:color="auto"/>
        <w:left w:val="none" w:sz="0" w:space="0" w:color="auto"/>
        <w:bottom w:val="none" w:sz="0" w:space="0" w:color="auto"/>
        <w:right w:val="none" w:sz="0" w:space="0" w:color="auto"/>
      </w:divBdr>
    </w:div>
    <w:div w:id="819158358">
      <w:marLeft w:val="0"/>
      <w:marRight w:val="0"/>
      <w:marTop w:val="0"/>
      <w:marBottom w:val="0"/>
      <w:divBdr>
        <w:top w:val="none" w:sz="0" w:space="0" w:color="auto"/>
        <w:left w:val="none" w:sz="0" w:space="0" w:color="auto"/>
        <w:bottom w:val="none" w:sz="0" w:space="0" w:color="auto"/>
        <w:right w:val="none" w:sz="0" w:space="0" w:color="auto"/>
      </w:divBdr>
    </w:div>
    <w:div w:id="820082232">
      <w:marLeft w:val="0"/>
      <w:marRight w:val="0"/>
      <w:marTop w:val="0"/>
      <w:marBottom w:val="0"/>
      <w:divBdr>
        <w:top w:val="none" w:sz="0" w:space="0" w:color="auto"/>
        <w:left w:val="none" w:sz="0" w:space="0" w:color="auto"/>
        <w:bottom w:val="none" w:sz="0" w:space="0" w:color="auto"/>
        <w:right w:val="none" w:sz="0" w:space="0" w:color="auto"/>
      </w:divBdr>
    </w:div>
    <w:div w:id="822895696">
      <w:marLeft w:val="0"/>
      <w:marRight w:val="0"/>
      <w:marTop w:val="0"/>
      <w:marBottom w:val="0"/>
      <w:divBdr>
        <w:top w:val="none" w:sz="0" w:space="0" w:color="auto"/>
        <w:left w:val="none" w:sz="0" w:space="0" w:color="auto"/>
        <w:bottom w:val="none" w:sz="0" w:space="0" w:color="auto"/>
        <w:right w:val="none" w:sz="0" w:space="0" w:color="auto"/>
      </w:divBdr>
    </w:div>
    <w:div w:id="823468093">
      <w:marLeft w:val="0"/>
      <w:marRight w:val="0"/>
      <w:marTop w:val="0"/>
      <w:marBottom w:val="0"/>
      <w:divBdr>
        <w:top w:val="none" w:sz="0" w:space="0" w:color="auto"/>
        <w:left w:val="none" w:sz="0" w:space="0" w:color="auto"/>
        <w:bottom w:val="none" w:sz="0" w:space="0" w:color="auto"/>
        <w:right w:val="none" w:sz="0" w:space="0" w:color="auto"/>
      </w:divBdr>
    </w:div>
    <w:div w:id="825822495">
      <w:marLeft w:val="0"/>
      <w:marRight w:val="0"/>
      <w:marTop w:val="0"/>
      <w:marBottom w:val="0"/>
      <w:divBdr>
        <w:top w:val="none" w:sz="0" w:space="0" w:color="auto"/>
        <w:left w:val="none" w:sz="0" w:space="0" w:color="auto"/>
        <w:bottom w:val="none" w:sz="0" w:space="0" w:color="auto"/>
        <w:right w:val="none" w:sz="0" w:space="0" w:color="auto"/>
      </w:divBdr>
    </w:div>
    <w:div w:id="826555350">
      <w:marLeft w:val="0"/>
      <w:marRight w:val="0"/>
      <w:marTop w:val="0"/>
      <w:marBottom w:val="0"/>
      <w:divBdr>
        <w:top w:val="none" w:sz="0" w:space="0" w:color="auto"/>
        <w:left w:val="none" w:sz="0" w:space="0" w:color="auto"/>
        <w:bottom w:val="none" w:sz="0" w:space="0" w:color="auto"/>
        <w:right w:val="none" w:sz="0" w:space="0" w:color="auto"/>
      </w:divBdr>
    </w:div>
    <w:div w:id="827013230">
      <w:marLeft w:val="0"/>
      <w:marRight w:val="0"/>
      <w:marTop w:val="0"/>
      <w:marBottom w:val="0"/>
      <w:divBdr>
        <w:top w:val="none" w:sz="0" w:space="0" w:color="auto"/>
        <w:left w:val="none" w:sz="0" w:space="0" w:color="auto"/>
        <w:bottom w:val="none" w:sz="0" w:space="0" w:color="auto"/>
        <w:right w:val="none" w:sz="0" w:space="0" w:color="auto"/>
      </w:divBdr>
    </w:div>
    <w:div w:id="827021216">
      <w:marLeft w:val="0"/>
      <w:marRight w:val="0"/>
      <w:marTop w:val="0"/>
      <w:marBottom w:val="0"/>
      <w:divBdr>
        <w:top w:val="none" w:sz="0" w:space="0" w:color="auto"/>
        <w:left w:val="none" w:sz="0" w:space="0" w:color="auto"/>
        <w:bottom w:val="none" w:sz="0" w:space="0" w:color="auto"/>
        <w:right w:val="none" w:sz="0" w:space="0" w:color="auto"/>
      </w:divBdr>
    </w:div>
    <w:div w:id="828445686">
      <w:marLeft w:val="0"/>
      <w:marRight w:val="0"/>
      <w:marTop w:val="0"/>
      <w:marBottom w:val="0"/>
      <w:divBdr>
        <w:top w:val="none" w:sz="0" w:space="0" w:color="auto"/>
        <w:left w:val="none" w:sz="0" w:space="0" w:color="auto"/>
        <w:bottom w:val="none" w:sz="0" w:space="0" w:color="auto"/>
        <w:right w:val="none" w:sz="0" w:space="0" w:color="auto"/>
      </w:divBdr>
    </w:div>
    <w:div w:id="828600040">
      <w:marLeft w:val="0"/>
      <w:marRight w:val="0"/>
      <w:marTop w:val="0"/>
      <w:marBottom w:val="0"/>
      <w:divBdr>
        <w:top w:val="none" w:sz="0" w:space="0" w:color="auto"/>
        <w:left w:val="none" w:sz="0" w:space="0" w:color="auto"/>
        <w:bottom w:val="none" w:sz="0" w:space="0" w:color="auto"/>
        <w:right w:val="none" w:sz="0" w:space="0" w:color="auto"/>
      </w:divBdr>
    </w:div>
    <w:div w:id="833838610">
      <w:marLeft w:val="0"/>
      <w:marRight w:val="0"/>
      <w:marTop w:val="0"/>
      <w:marBottom w:val="0"/>
      <w:divBdr>
        <w:top w:val="none" w:sz="0" w:space="0" w:color="auto"/>
        <w:left w:val="none" w:sz="0" w:space="0" w:color="auto"/>
        <w:bottom w:val="none" w:sz="0" w:space="0" w:color="auto"/>
        <w:right w:val="none" w:sz="0" w:space="0" w:color="auto"/>
      </w:divBdr>
    </w:div>
    <w:div w:id="834493951">
      <w:marLeft w:val="0"/>
      <w:marRight w:val="0"/>
      <w:marTop w:val="0"/>
      <w:marBottom w:val="0"/>
      <w:divBdr>
        <w:top w:val="none" w:sz="0" w:space="0" w:color="auto"/>
        <w:left w:val="none" w:sz="0" w:space="0" w:color="auto"/>
        <w:bottom w:val="none" w:sz="0" w:space="0" w:color="auto"/>
        <w:right w:val="none" w:sz="0" w:space="0" w:color="auto"/>
      </w:divBdr>
    </w:div>
    <w:div w:id="837042325">
      <w:marLeft w:val="0"/>
      <w:marRight w:val="0"/>
      <w:marTop w:val="0"/>
      <w:marBottom w:val="0"/>
      <w:divBdr>
        <w:top w:val="none" w:sz="0" w:space="0" w:color="auto"/>
        <w:left w:val="none" w:sz="0" w:space="0" w:color="auto"/>
        <w:bottom w:val="none" w:sz="0" w:space="0" w:color="auto"/>
        <w:right w:val="none" w:sz="0" w:space="0" w:color="auto"/>
      </w:divBdr>
    </w:div>
    <w:div w:id="837383042">
      <w:marLeft w:val="0"/>
      <w:marRight w:val="0"/>
      <w:marTop w:val="0"/>
      <w:marBottom w:val="0"/>
      <w:divBdr>
        <w:top w:val="none" w:sz="0" w:space="0" w:color="auto"/>
        <w:left w:val="none" w:sz="0" w:space="0" w:color="auto"/>
        <w:bottom w:val="none" w:sz="0" w:space="0" w:color="auto"/>
        <w:right w:val="none" w:sz="0" w:space="0" w:color="auto"/>
      </w:divBdr>
    </w:div>
    <w:div w:id="837813305">
      <w:marLeft w:val="0"/>
      <w:marRight w:val="0"/>
      <w:marTop w:val="0"/>
      <w:marBottom w:val="0"/>
      <w:divBdr>
        <w:top w:val="none" w:sz="0" w:space="0" w:color="auto"/>
        <w:left w:val="none" w:sz="0" w:space="0" w:color="auto"/>
        <w:bottom w:val="none" w:sz="0" w:space="0" w:color="auto"/>
        <w:right w:val="none" w:sz="0" w:space="0" w:color="auto"/>
      </w:divBdr>
    </w:div>
    <w:div w:id="837841578">
      <w:marLeft w:val="0"/>
      <w:marRight w:val="0"/>
      <w:marTop w:val="0"/>
      <w:marBottom w:val="0"/>
      <w:divBdr>
        <w:top w:val="none" w:sz="0" w:space="0" w:color="auto"/>
        <w:left w:val="none" w:sz="0" w:space="0" w:color="auto"/>
        <w:bottom w:val="none" w:sz="0" w:space="0" w:color="auto"/>
        <w:right w:val="none" w:sz="0" w:space="0" w:color="auto"/>
      </w:divBdr>
    </w:div>
    <w:div w:id="845750086">
      <w:marLeft w:val="0"/>
      <w:marRight w:val="0"/>
      <w:marTop w:val="0"/>
      <w:marBottom w:val="0"/>
      <w:divBdr>
        <w:top w:val="none" w:sz="0" w:space="0" w:color="auto"/>
        <w:left w:val="none" w:sz="0" w:space="0" w:color="auto"/>
        <w:bottom w:val="none" w:sz="0" w:space="0" w:color="auto"/>
        <w:right w:val="none" w:sz="0" w:space="0" w:color="auto"/>
      </w:divBdr>
    </w:div>
    <w:div w:id="847405605">
      <w:marLeft w:val="0"/>
      <w:marRight w:val="0"/>
      <w:marTop w:val="0"/>
      <w:marBottom w:val="0"/>
      <w:divBdr>
        <w:top w:val="none" w:sz="0" w:space="0" w:color="auto"/>
        <w:left w:val="none" w:sz="0" w:space="0" w:color="auto"/>
        <w:bottom w:val="none" w:sz="0" w:space="0" w:color="auto"/>
        <w:right w:val="none" w:sz="0" w:space="0" w:color="auto"/>
      </w:divBdr>
    </w:div>
    <w:div w:id="847713657">
      <w:marLeft w:val="0"/>
      <w:marRight w:val="0"/>
      <w:marTop w:val="0"/>
      <w:marBottom w:val="0"/>
      <w:divBdr>
        <w:top w:val="none" w:sz="0" w:space="0" w:color="auto"/>
        <w:left w:val="none" w:sz="0" w:space="0" w:color="auto"/>
        <w:bottom w:val="none" w:sz="0" w:space="0" w:color="auto"/>
        <w:right w:val="none" w:sz="0" w:space="0" w:color="auto"/>
      </w:divBdr>
    </w:div>
    <w:div w:id="848448954">
      <w:marLeft w:val="0"/>
      <w:marRight w:val="0"/>
      <w:marTop w:val="0"/>
      <w:marBottom w:val="0"/>
      <w:divBdr>
        <w:top w:val="none" w:sz="0" w:space="0" w:color="auto"/>
        <w:left w:val="none" w:sz="0" w:space="0" w:color="auto"/>
        <w:bottom w:val="none" w:sz="0" w:space="0" w:color="auto"/>
        <w:right w:val="none" w:sz="0" w:space="0" w:color="auto"/>
      </w:divBdr>
    </w:div>
    <w:div w:id="852963536">
      <w:marLeft w:val="0"/>
      <w:marRight w:val="0"/>
      <w:marTop w:val="0"/>
      <w:marBottom w:val="0"/>
      <w:divBdr>
        <w:top w:val="none" w:sz="0" w:space="0" w:color="auto"/>
        <w:left w:val="none" w:sz="0" w:space="0" w:color="auto"/>
        <w:bottom w:val="none" w:sz="0" w:space="0" w:color="auto"/>
        <w:right w:val="none" w:sz="0" w:space="0" w:color="auto"/>
      </w:divBdr>
    </w:div>
    <w:div w:id="855071822">
      <w:marLeft w:val="0"/>
      <w:marRight w:val="0"/>
      <w:marTop w:val="0"/>
      <w:marBottom w:val="0"/>
      <w:divBdr>
        <w:top w:val="none" w:sz="0" w:space="0" w:color="auto"/>
        <w:left w:val="none" w:sz="0" w:space="0" w:color="auto"/>
        <w:bottom w:val="none" w:sz="0" w:space="0" w:color="auto"/>
        <w:right w:val="none" w:sz="0" w:space="0" w:color="auto"/>
      </w:divBdr>
    </w:div>
    <w:div w:id="861281916">
      <w:marLeft w:val="0"/>
      <w:marRight w:val="0"/>
      <w:marTop w:val="0"/>
      <w:marBottom w:val="0"/>
      <w:divBdr>
        <w:top w:val="none" w:sz="0" w:space="0" w:color="auto"/>
        <w:left w:val="none" w:sz="0" w:space="0" w:color="auto"/>
        <w:bottom w:val="none" w:sz="0" w:space="0" w:color="auto"/>
        <w:right w:val="none" w:sz="0" w:space="0" w:color="auto"/>
      </w:divBdr>
    </w:div>
    <w:div w:id="865171716">
      <w:marLeft w:val="0"/>
      <w:marRight w:val="0"/>
      <w:marTop w:val="0"/>
      <w:marBottom w:val="0"/>
      <w:divBdr>
        <w:top w:val="none" w:sz="0" w:space="0" w:color="auto"/>
        <w:left w:val="none" w:sz="0" w:space="0" w:color="auto"/>
        <w:bottom w:val="none" w:sz="0" w:space="0" w:color="auto"/>
        <w:right w:val="none" w:sz="0" w:space="0" w:color="auto"/>
      </w:divBdr>
    </w:div>
    <w:div w:id="865288398">
      <w:marLeft w:val="0"/>
      <w:marRight w:val="0"/>
      <w:marTop w:val="0"/>
      <w:marBottom w:val="0"/>
      <w:divBdr>
        <w:top w:val="none" w:sz="0" w:space="0" w:color="auto"/>
        <w:left w:val="none" w:sz="0" w:space="0" w:color="auto"/>
        <w:bottom w:val="none" w:sz="0" w:space="0" w:color="auto"/>
        <w:right w:val="none" w:sz="0" w:space="0" w:color="auto"/>
      </w:divBdr>
    </w:div>
    <w:div w:id="867794482">
      <w:marLeft w:val="0"/>
      <w:marRight w:val="0"/>
      <w:marTop w:val="0"/>
      <w:marBottom w:val="0"/>
      <w:divBdr>
        <w:top w:val="none" w:sz="0" w:space="0" w:color="auto"/>
        <w:left w:val="none" w:sz="0" w:space="0" w:color="auto"/>
        <w:bottom w:val="none" w:sz="0" w:space="0" w:color="auto"/>
        <w:right w:val="none" w:sz="0" w:space="0" w:color="auto"/>
      </w:divBdr>
    </w:div>
    <w:div w:id="868488700">
      <w:marLeft w:val="0"/>
      <w:marRight w:val="0"/>
      <w:marTop w:val="0"/>
      <w:marBottom w:val="0"/>
      <w:divBdr>
        <w:top w:val="none" w:sz="0" w:space="0" w:color="auto"/>
        <w:left w:val="none" w:sz="0" w:space="0" w:color="auto"/>
        <w:bottom w:val="none" w:sz="0" w:space="0" w:color="auto"/>
        <w:right w:val="none" w:sz="0" w:space="0" w:color="auto"/>
      </w:divBdr>
    </w:div>
    <w:div w:id="871499140">
      <w:marLeft w:val="0"/>
      <w:marRight w:val="0"/>
      <w:marTop w:val="0"/>
      <w:marBottom w:val="0"/>
      <w:divBdr>
        <w:top w:val="none" w:sz="0" w:space="0" w:color="auto"/>
        <w:left w:val="none" w:sz="0" w:space="0" w:color="auto"/>
        <w:bottom w:val="none" w:sz="0" w:space="0" w:color="auto"/>
        <w:right w:val="none" w:sz="0" w:space="0" w:color="auto"/>
      </w:divBdr>
    </w:div>
    <w:div w:id="873157884">
      <w:marLeft w:val="0"/>
      <w:marRight w:val="0"/>
      <w:marTop w:val="0"/>
      <w:marBottom w:val="0"/>
      <w:divBdr>
        <w:top w:val="none" w:sz="0" w:space="0" w:color="auto"/>
        <w:left w:val="none" w:sz="0" w:space="0" w:color="auto"/>
        <w:bottom w:val="none" w:sz="0" w:space="0" w:color="auto"/>
        <w:right w:val="none" w:sz="0" w:space="0" w:color="auto"/>
      </w:divBdr>
    </w:div>
    <w:div w:id="873733317">
      <w:marLeft w:val="0"/>
      <w:marRight w:val="0"/>
      <w:marTop w:val="0"/>
      <w:marBottom w:val="0"/>
      <w:divBdr>
        <w:top w:val="none" w:sz="0" w:space="0" w:color="auto"/>
        <w:left w:val="none" w:sz="0" w:space="0" w:color="auto"/>
        <w:bottom w:val="none" w:sz="0" w:space="0" w:color="auto"/>
        <w:right w:val="none" w:sz="0" w:space="0" w:color="auto"/>
      </w:divBdr>
    </w:div>
    <w:div w:id="873888621">
      <w:marLeft w:val="0"/>
      <w:marRight w:val="0"/>
      <w:marTop w:val="0"/>
      <w:marBottom w:val="0"/>
      <w:divBdr>
        <w:top w:val="none" w:sz="0" w:space="0" w:color="auto"/>
        <w:left w:val="none" w:sz="0" w:space="0" w:color="auto"/>
        <w:bottom w:val="none" w:sz="0" w:space="0" w:color="auto"/>
        <w:right w:val="none" w:sz="0" w:space="0" w:color="auto"/>
      </w:divBdr>
    </w:div>
    <w:div w:id="879049496">
      <w:marLeft w:val="0"/>
      <w:marRight w:val="0"/>
      <w:marTop w:val="0"/>
      <w:marBottom w:val="0"/>
      <w:divBdr>
        <w:top w:val="none" w:sz="0" w:space="0" w:color="auto"/>
        <w:left w:val="none" w:sz="0" w:space="0" w:color="auto"/>
        <w:bottom w:val="none" w:sz="0" w:space="0" w:color="auto"/>
        <w:right w:val="none" w:sz="0" w:space="0" w:color="auto"/>
      </w:divBdr>
    </w:div>
    <w:div w:id="882401160">
      <w:marLeft w:val="0"/>
      <w:marRight w:val="0"/>
      <w:marTop w:val="0"/>
      <w:marBottom w:val="0"/>
      <w:divBdr>
        <w:top w:val="none" w:sz="0" w:space="0" w:color="auto"/>
        <w:left w:val="none" w:sz="0" w:space="0" w:color="auto"/>
        <w:bottom w:val="none" w:sz="0" w:space="0" w:color="auto"/>
        <w:right w:val="none" w:sz="0" w:space="0" w:color="auto"/>
      </w:divBdr>
    </w:div>
    <w:div w:id="883558644">
      <w:marLeft w:val="0"/>
      <w:marRight w:val="0"/>
      <w:marTop w:val="0"/>
      <w:marBottom w:val="0"/>
      <w:divBdr>
        <w:top w:val="none" w:sz="0" w:space="0" w:color="auto"/>
        <w:left w:val="none" w:sz="0" w:space="0" w:color="auto"/>
        <w:bottom w:val="none" w:sz="0" w:space="0" w:color="auto"/>
        <w:right w:val="none" w:sz="0" w:space="0" w:color="auto"/>
      </w:divBdr>
    </w:div>
    <w:div w:id="884606661">
      <w:marLeft w:val="0"/>
      <w:marRight w:val="0"/>
      <w:marTop w:val="0"/>
      <w:marBottom w:val="0"/>
      <w:divBdr>
        <w:top w:val="none" w:sz="0" w:space="0" w:color="auto"/>
        <w:left w:val="none" w:sz="0" w:space="0" w:color="auto"/>
        <w:bottom w:val="none" w:sz="0" w:space="0" w:color="auto"/>
        <w:right w:val="none" w:sz="0" w:space="0" w:color="auto"/>
      </w:divBdr>
    </w:div>
    <w:div w:id="887883398">
      <w:marLeft w:val="0"/>
      <w:marRight w:val="0"/>
      <w:marTop w:val="0"/>
      <w:marBottom w:val="0"/>
      <w:divBdr>
        <w:top w:val="none" w:sz="0" w:space="0" w:color="auto"/>
        <w:left w:val="none" w:sz="0" w:space="0" w:color="auto"/>
        <w:bottom w:val="none" w:sz="0" w:space="0" w:color="auto"/>
        <w:right w:val="none" w:sz="0" w:space="0" w:color="auto"/>
      </w:divBdr>
    </w:div>
    <w:div w:id="889223774">
      <w:marLeft w:val="0"/>
      <w:marRight w:val="0"/>
      <w:marTop w:val="0"/>
      <w:marBottom w:val="0"/>
      <w:divBdr>
        <w:top w:val="none" w:sz="0" w:space="0" w:color="auto"/>
        <w:left w:val="none" w:sz="0" w:space="0" w:color="auto"/>
        <w:bottom w:val="none" w:sz="0" w:space="0" w:color="auto"/>
        <w:right w:val="none" w:sz="0" w:space="0" w:color="auto"/>
      </w:divBdr>
    </w:div>
    <w:div w:id="891841157">
      <w:marLeft w:val="0"/>
      <w:marRight w:val="0"/>
      <w:marTop w:val="0"/>
      <w:marBottom w:val="0"/>
      <w:divBdr>
        <w:top w:val="none" w:sz="0" w:space="0" w:color="auto"/>
        <w:left w:val="none" w:sz="0" w:space="0" w:color="auto"/>
        <w:bottom w:val="none" w:sz="0" w:space="0" w:color="auto"/>
        <w:right w:val="none" w:sz="0" w:space="0" w:color="auto"/>
      </w:divBdr>
    </w:div>
    <w:div w:id="893154757">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896626330">
      <w:marLeft w:val="0"/>
      <w:marRight w:val="0"/>
      <w:marTop w:val="0"/>
      <w:marBottom w:val="0"/>
      <w:divBdr>
        <w:top w:val="none" w:sz="0" w:space="0" w:color="auto"/>
        <w:left w:val="none" w:sz="0" w:space="0" w:color="auto"/>
        <w:bottom w:val="none" w:sz="0" w:space="0" w:color="auto"/>
        <w:right w:val="none" w:sz="0" w:space="0" w:color="auto"/>
      </w:divBdr>
    </w:div>
    <w:div w:id="901795703">
      <w:marLeft w:val="0"/>
      <w:marRight w:val="0"/>
      <w:marTop w:val="0"/>
      <w:marBottom w:val="0"/>
      <w:divBdr>
        <w:top w:val="none" w:sz="0" w:space="0" w:color="auto"/>
        <w:left w:val="none" w:sz="0" w:space="0" w:color="auto"/>
        <w:bottom w:val="none" w:sz="0" w:space="0" w:color="auto"/>
        <w:right w:val="none" w:sz="0" w:space="0" w:color="auto"/>
      </w:divBdr>
    </w:div>
    <w:div w:id="903223853">
      <w:marLeft w:val="0"/>
      <w:marRight w:val="0"/>
      <w:marTop w:val="0"/>
      <w:marBottom w:val="0"/>
      <w:divBdr>
        <w:top w:val="none" w:sz="0" w:space="0" w:color="auto"/>
        <w:left w:val="none" w:sz="0" w:space="0" w:color="auto"/>
        <w:bottom w:val="none" w:sz="0" w:space="0" w:color="auto"/>
        <w:right w:val="none" w:sz="0" w:space="0" w:color="auto"/>
      </w:divBdr>
    </w:div>
    <w:div w:id="906067577">
      <w:marLeft w:val="0"/>
      <w:marRight w:val="0"/>
      <w:marTop w:val="0"/>
      <w:marBottom w:val="0"/>
      <w:divBdr>
        <w:top w:val="none" w:sz="0" w:space="0" w:color="auto"/>
        <w:left w:val="none" w:sz="0" w:space="0" w:color="auto"/>
        <w:bottom w:val="none" w:sz="0" w:space="0" w:color="auto"/>
        <w:right w:val="none" w:sz="0" w:space="0" w:color="auto"/>
      </w:divBdr>
    </w:div>
    <w:div w:id="908996752">
      <w:marLeft w:val="0"/>
      <w:marRight w:val="0"/>
      <w:marTop w:val="0"/>
      <w:marBottom w:val="0"/>
      <w:divBdr>
        <w:top w:val="none" w:sz="0" w:space="0" w:color="auto"/>
        <w:left w:val="none" w:sz="0" w:space="0" w:color="auto"/>
        <w:bottom w:val="none" w:sz="0" w:space="0" w:color="auto"/>
        <w:right w:val="none" w:sz="0" w:space="0" w:color="auto"/>
      </w:divBdr>
    </w:div>
    <w:div w:id="909116432">
      <w:marLeft w:val="0"/>
      <w:marRight w:val="0"/>
      <w:marTop w:val="0"/>
      <w:marBottom w:val="0"/>
      <w:divBdr>
        <w:top w:val="none" w:sz="0" w:space="0" w:color="auto"/>
        <w:left w:val="none" w:sz="0" w:space="0" w:color="auto"/>
        <w:bottom w:val="none" w:sz="0" w:space="0" w:color="auto"/>
        <w:right w:val="none" w:sz="0" w:space="0" w:color="auto"/>
      </w:divBdr>
    </w:div>
    <w:div w:id="910390976">
      <w:marLeft w:val="0"/>
      <w:marRight w:val="0"/>
      <w:marTop w:val="0"/>
      <w:marBottom w:val="0"/>
      <w:divBdr>
        <w:top w:val="none" w:sz="0" w:space="0" w:color="auto"/>
        <w:left w:val="none" w:sz="0" w:space="0" w:color="auto"/>
        <w:bottom w:val="none" w:sz="0" w:space="0" w:color="auto"/>
        <w:right w:val="none" w:sz="0" w:space="0" w:color="auto"/>
      </w:divBdr>
    </w:div>
    <w:div w:id="913050093">
      <w:marLeft w:val="0"/>
      <w:marRight w:val="0"/>
      <w:marTop w:val="0"/>
      <w:marBottom w:val="0"/>
      <w:divBdr>
        <w:top w:val="none" w:sz="0" w:space="0" w:color="auto"/>
        <w:left w:val="none" w:sz="0" w:space="0" w:color="auto"/>
        <w:bottom w:val="none" w:sz="0" w:space="0" w:color="auto"/>
        <w:right w:val="none" w:sz="0" w:space="0" w:color="auto"/>
      </w:divBdr>
    </w:div>
    <w:div w:id="917206817">
      <w:marLeft w:val="0"/>
      <w:marRight w:val="0"/>
      <w:marTop w:val="0"/>
      <w:marBottom w:val="0"/>
      <w:divBdr>
        <w:top w:val="none" w:sz="0" w:space="0" w:color="auto"/>
        <w:left w:val="none" w:sz="0" w:space="0" w:color="auto"/>
        <w:bottom w:val="none" w:sz="0" w:space="0" w:color="auto"/>
        <w:right w:val="none" w:sz="0" w:space="0" w:color="auto"/>
      </w:divBdr>
    </w:div>
    <w:div w:id="921378140">
      <w:marLeft w:val="0"/>
      <w:marRight w:val="0"/>
      <w:marTop w:val="0"/>
      <w:marBottom w:val="0"/>
      <w:divBdr>
        <w:top w:val="none" w:sz="0" w:space="0" w:color="auto"/>
        <w:left w:val="none" w:sz="0" w:space="0" w:color="auto"/>
        <w:bottom w:val="none" w:sz="0" w:space="0" w:color="auto"/>
        <w:right w:val="none" w:sz="0" w:space="0" w:color="auto"/>
      </w:divBdr>
    </w:div>
    <w:div w:id="922377283">
      <w:marLeft w:val="0"/>
      <w:marRight w:val="0"/>
      <w:marTop w:val="0"/>
      <w:marBottom w:val="0"/>
      <w:divBdr>
        <w:top w:val="none" w:sz="0" w:space="0" w:color="auto"/>
        <w:left w:val="none" w:sz="0" w:space="0" w:color="auto"/>
        <w:bottom w:val="none" w:sz="0" w:space="0" w:color="auto"/>
        <w:right w:val="none" w:sz="0" w:space="0" w:color="auto"/>
      </w:divBdr>
    </w:div>
    <w:div w:id="925066865">
      <w:marLeft w:val="0"/>
      <w:marRight w:val="0"/>
      <w:marTop w:val="0"/>
      <w:marBottom w:val="0"/>
      <w:divBdr>
        <w:top w:val="none" w:sz="0" w:space="0" w:color="auto"/>
        <w:left w:val="none" w:sz="0" w:space="0" w:color="auto"/>
        <w:bottom w:val="none" w:sz="0" w:space="0" w:color="auto"/>
        <w:right w:val="none" w:sz="0" w:space="0" w:color="auto"/>
      </w:divBdr>
    </w:div>
    <w:div w:id="931163327">
      <w:marLeft w:val="0"/>
      <w:marRight w:val="0"/>
      <w:marTop w:val="0"/>
      <w:marBottom w:val="0"/>
      <w:divBdr>
        <w:top w:val="none" w:sz="0" w:space="0" w:color="auto"/>
        <w:left w:val="none" w:sz="0" w:space="0" w:color="auto"/>
        <w:bottom w:val="none" w:sz="0" w:space="0" w:color="auto"/>
        <w:right w:val="none" w:sz="0" w:space="0" w:color="auto"/>
      </w:divBdr>
    </w:div>
    <w:div w:id="932864196">
      <w:marLeft w:val="0"/>
      <w:marRight w:val="0"/>
      <w:marTop w:val="0"/>
      <w:marBottom w:val="0"/>
      <w:divBdr>
        <w:top w:val="none" w:sz="0" w:space="0" w:color="auto"/>
        <w:left w:val="none" w:sz="0" w:space="0" w:color="auto"/>
        <w:bottom w:val="none" w:sz="0" w:space="0" w:color="auto"/>
        <w:right w:val="none" w:sz="0" w:space="0" w:color="auto"/>
      </w:divBdr>
    </w:div>
    <w:div w:id="935794061">
      <w:marLeft w:val="0"/>
      <w:marRight w:val="0"/>
      <w:marTop w:val="0"/>
      <w:marBottom w:val="0"/>
      <w:divBdr>
        <w:top w:val="none" w:sz="0" w:space="0" w:color="auto"/>
        <w:left w:val="none" w:sz="0" w:space="0" w:color="auto"/>
        <w:bottom w:val="none" w:sz="0" w:space="0" w:color="auto"/>
        <w:right w:val="none" w:sz="0" w:space="0" w:color="auto"/>
      </w:divBdr>
    </w:div>
    <w:div w:id="937636501">
      <w:marLeft w:val="0"/>
      <w:marRight w:val="0"/>
      <w:marTop w:val="0"/>
      <w:marBottom w:val="0"/>
      <w:divBdr>
        <w:top w:val="none" w:sz="0" w:space="0" w:color="auto"/>
        <w:left w:val="none" w:sz="0" w:space="0" w:color="auto"/>
        <w:bottom w:val="none" w:sz="0" w:space="0" w:color="auto"/>
        <w:right w:val="none" w:sz="0" w:space="0" w:color="auto"/>
      </w:divBdr>
    </w:div>
    <w:div w:id="938607295">
      <w:marLeft w:val="0"/>
      <w:marRight w:val="0"/>
      <w:marTop w:val="0"/>
      <w:marBottom w:val="0"/>
      <w:divBdr>
        <w:top w:val="none" w:sz="0" w:space="0" w:color="auto"/>
        <w:left w:val="none" w:sz="0" w:space="0" w:color="auto"/>
        <w:bottom w:val="none" w:sz="0" w:space="0" w:color="auto"/>
        <w:right w:val="none" w:sz="0" w:space="0" w:color="auto"/>
      </w:divBdr>
    </w:div>
    <w:div w:id="940532388">
      <w:marLeft w:val="0"/>
      <w:marRight w:val="0"/>
      <w:marTop w:val="0"/>
      <w:marBottom w:val="0"/>
      <w:divBdr>
        <w:top w:val="none" w:sz="0" w:space="0" w:color="auto"/>
        <w:left w:val="none" w:sz="0" w:space="0" w:color="auto"/>
        <w:bottom w:val="none" w:sz="0" w:space="0" w:color="auto"/>
        <w:right w:val="none" w:sz="0" w:space="0" w:color="auto"/>
      </w:divBdr>
    </w:div>
    <w:div w:id="940993252">
      <w:marLeft w:val="0"/>
      <w:marRight w:val="0"/>
      <w:marTop w:val="0"/>
      <w:marBottom w:val="0"/>
      <w:divBdr>
        <w:top w:val="none" w:sz="0" w:space="0" w:color="auto"/>
        <w:left w:val="none" w:sz="0" w:space="0" w:color="auto"/>
        <w:bottom w:val="none" w:sz="0" w:space="0" w:color="auto"/>
        <w:right w:val="none" w:sz="0" w:space="0" w:color="auto"/>
      </w:divBdr>
    </w:div>
    <w:div w:id="941687308">
      <w:marLeft w:val="0"/>
      <w:marRight w:val="0"/>
      <w:marTop w:val="0"/>
      <w:marBottom w:val="0"/>
      <w:divBdr>
        <w:top w:val="none" w:sz="0" w:space="0" w:color="auto"/>
        <w:left w:val="none" w:sz="0" w:space="0" w:color="auto"/>
        <w:bottom w:val="none" w:sz="0" w:space="0" w:color="auto"/>
        <w:right w:val="none" w:sz="0" w:space="0" w:color="auto"/>
      </w:divBdr>
    </w:div>
    <w:div w:id="941763131">
      <w:marLeft w:val="0"/>
      <w:marRight w:val="0"/>
      <w:marTop w:val="0"/>
      <w:marBottom w:val="0"/>
      <w:divBdr>
        <w:top w:val="none" w:sz="0" w:space="0" w:color="auto"/>
        <w:left w:val="none" w:sz="0" w:space="0" w:color="auto"/>
        <w:bottom w:val="none" w:sz="0" w:space="0" w:color="auto"/>
        <w:right w:val="none" w:sz="0" w:space="0" w:color="auto"/>
      </w:divBdr>
    </w:div>
    <w:div w:id="942155090">
      <w:marLeft w:val="0"/>
      <w:marRight w:val="0"/>
      <w:marTop w:val="0"/>
      <w:marBottom w:val="0"/>
      <w:divBdr>
        <w:top w:val="none" w:sz="0" w:space="0" w:color="auto"/>
        <w:left w:val="none" w:sz="0" w:space="0" w:color="auto"/>
        <w:bottom w:val="none" w:sz="0" w:space="0" w:color="auto"/>
        <w:right w:val="none" w:sz="0" w:space="0" w:color="auto"/>
      </w:divBdr>
    </w:div>
    <w:div w:id="944773071">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956523653">
      <w:marLeft w:val="0"/>
      <w:marRight w:val="0"/>
      <w:marTop w:val="0"/>
      <w:marBottom w:val="0"/>
      <w:divBdr>
        <w:top w:val="none" w:sz="0" w:space="0" w:color="auto"/>
        <w:left w:val="none" w:sz="0" w:space="0" w:color="auto"/>
        <w:bottom w:val="none" w:sz="0" w:space="0" w:color="auto"/>
        <w:right w:val="none" w:sz="0" w:space="0" w:color="auto"/>
      </w:divBdr>
    </w:div>
    <w:div w:id="959189929">
      <w:marLeft w:val="0"/>
      <w:marRight w:val="0"/>
      <w:marTop w:val="0"/>
      <w:marBottom w:val="0"/>
      <w:divBdr>
        <w:top w:val="none" w:sz="0" w:space="0" w:color="auto"/>
        <w:left w:val="none" w:sz="0" w:space="0" w:color="auto"/>
        <w:bottom w:val="none" w:sz="0" w:space="0" w:color="auto"/>
        <w:right w:val="none" w:sz="0" w:space="0" w:color="auto"/>
      </w:divBdr>
    </w:div>
    <w:div w:id="960038301">
      <w:marLeft w:val="0"/>
      <w:marRight w:val="0"/>
      <w:marTop w:val="0"/>
      <w:marBottom w:val="0"/>
      <w:divBdr>
        <w:top w:val="none" w:sz="0" w:space="0" w:color="auto"/>
        <w:left w:val="none" w:sz="0" w:space="0" w:color="auto"/>
        <w:bottom w:val="none" w:sz="0" w:space="0" w:color="auto"/>
        <w:right w:val="none" w:sz="0" w:space="0" w:color="auto"/>
      </w:divBdr>
    </w:div>
    <w:div w:id="960956245">
      <w:marLeft w:val="0"/>
      <w:marRight w:val="0"/>
      <w:marTop w:val="0"/>
      <w:marBottom w:val="0"/>
      <w:divBdr>
        <w:top w:val="none" w:sz="0" w:space="0" w:color="auto"/>
        <w:left w:val="none" w:sz="0" w:space="0" w:color="auto"/>
        <w:bottom w:val="none" w:sz="0" w:space="0" w:color="auto"/>
        <w:right w:val="none" w:sz="0" w:space="0" w:color="auto"/>
      </w:divBdr>
    </w:div>
    <w:div w:id="961813175">
      <w:marLeft w:val="0"/>
      <w:marRight w:val="0"/>
      <w:marTop w:val="0"/>
      <w:marBottom w:val="0"/>
      <w:divBdr>
        <w:top w:val="none" w:sz="0" w:space="0" w:color="auto"/>
        <w:left w:val="none" w:sz="0" w:space="0" w:color="auto"/>
        <w:bottom w:val="none" w:sz="0" w:space="0" w:color="auto"/>
        <w:right w:val="none" w:sz="0" w:space="0" w:color="auto"/>
      </w:divBdr>
    </w:div>
    <w:div w:id="963969427">
      <w:marLeft w:val="0"/>
      <w:marRight w:val="0"/>
      <w:marTop w:val="0"/>
      <w:marBottom w:val="0"/>
      <w:divBdr>
        <w:top w:val="none" w:sz="0" w:space="0" w:color="auto"/>
        <w:left w:val="none" w:sz="0" w:space="0" w:color="auto"/>
        <w:bottom w:val="none" w:sz="0" w:space="0" w:color="auto"/>
        <w:right w:val="none" w:sz="0" w:space="0" w:color="auto"/>
      </w:divBdr>
    </w:div>
    <w:div w:id="970670362">
      <w:marLeft w:val="0"/>
      <w:marRight w:val="0"/>
      <w:marTop w:val="0"/>
      <w:marBottom w:val="0"/>
      <w:divBdr>
        <w:top w:val="none" w:sz="0" w:space="0" w:color="auto"/>
        <w:left w:val="none" w:sz="0" w:space="0" w:color="auto"/>
        <w:bottom w:val="none" w:sz="0" w:space="0" w:color="auto"/>
        <w:right w:val="none" w:sz="0" w:space="0" w:color="auto"/>
      </w:divBdr>
    </w:div>
    <w:div w:id="970986090">
      <w:marLeft w:val="0"/>
      <w:marRight w:val="0"/>
      <w:marTop w:val="0"/>
      <w:marBottom w:val="0"/>
      <w:divBdr>
        <w:top w:val="none" w:sz="0" w:space="0" w:color="auto"/>
        <w:left w:val="none" w:sz="0" w:space="0" w:color="auto"/>
        <w:bottom w:val="none" w:sz="0" w:space="0" w:color="auto"/>
        <w:right w:val="none" w:sz="0" w:space="0" w:color="auto"/>
      </w:divBdr>
    </w:div>
    <w:div w:id="974022243">
      <w:marLeft w:val="0"/>
      <w:marRight w:val="0"/>
      <w:marTop w:val="0"/>
      <w:marBottom w:val="0"/>
      <w:divBdr>
        <w:top w:val="none" w:sz="0" w:space="0" w:color="auto"/>
        <w:left w:val="none" w:sz="0" w:space="0" w:color="auto"/>
        <w:bottom w:val="none" w:sz="0" w:space="0" w:color="auto"/>
        <w:right w:val="none" w:sz="0" w:space="0" w:color="auto"/>
      </w:divBdr>
    </w:div>
    <w:div w:id="975718090">
      <w:marLeft w:val="0"/>
      <w:marRight w:val="0"/>
      <w:marTop w:val="0"/>
      <w:marBottom w:val="0"/>
      <w:divBdr>
        <w:top w:val="none" w:sz="0" w:space="0" w:color="auto"/>
        <w:left w:val="none" w:sz="0" w:space="0" w:color="auto"/>
        <w:bottom w:val="none" w:sz="0" w:space="0" w:color="auto"/>
        <w:right w:val="none" w:sz="0" w:space="0" w:color="auto"/>
      </w:divBdr>
    </w:div>
    <w:div w:id="975984807">
      <w:marLeft w:val="0"/>
      <w:marRight w:val="0"/>
      <w:marTop w:val="0"/>
      <w:marBottom w:val="0"/>
      <w:divBdr>
        <w:top w:val="none" w:sz="0" w:space="0" w:color="auto"/>
        <w:left w:val="none" w:sz="0" w:space="0" w:color="auto"/>
        <w:bottom w:val="none" w:sz="0" w:space="0" w:color="auto"/>
        <w:right w:val="none" w:sz="0" w:space="0" w:color="auto"/>
      </w:divBdr>
    </w:div>
    <w:div w:id="980161223">
      <w:marLeft w:val="0"/>
      <w:marRight w:val="0"/>
      <w:marTop w:val="0"/>
      <w:marBottom w:val="0"/>
      <w:divBdr>
        <w:top w:val="none" w:sz="0" w:space="0" w:color="auto"/>
        <w:left w:val="none" w:sz="0" w:space="0" w:color="auto"/>
        <w:bottom w:val="none" w:sz="0" w:space="0" w:color="auto"/>
        <w:right w:val="none" w:sz="0" w:space="0" w:color="auto"/>
      </w:divBdr>
    </w:div>
    <w:div w:id="980230461">
      <w:marLeft w:val="0"/>
      <w:marRight w:val="0"/>
      <w:marTop w:val="0"/>
      <w:marBottom w:val="0"/>
      <w:divBdr>
        <w:top w:val="none" w:sz="0" w:space="0" w:color="auto"/>
        <w:left w:val="none" w:sz="0" w:space="0" w:color="auto"/>
        <w:bottom w:val="none" w:sz="0" w:space="0" w:color="auto"/>
        <w:right w:val="none" w:sz="0" w:space="0" w:color="auto"/>
      </w:divBdr>
    </w:div>
    <w:div w:id="981272619">
      <w:marLeft w:val="0"/>
      <w:marRight w:val="0"/>
      <w:marTop w:val="0"/>
      <w:marBottom w:val="0"/>
      <w:divBdr>
        <w:top w:val="none" w:sz="0" w:space="0" w:color="auto"/>
        <w:left w:val="none" w:sz="0" w:space="0" w:color="auto"/>
        <w:bottom w:val="none" w:sz="0" w:space="0" w:color="auto"/>
        <w:right w:val="none" w:sz="0" w:space="0" w:color="auto"/>
      </w:divBdr>
    </w:div>
    <w:div w:id="981544862">
      <w:marLeft w:val="0"/>
      <w:marRight w:val="0"/>
      <w:marTop w:val="0"/>
      <w:marBottom w:val="0"/>
      <w:divBdr>
        <w:top w:val="none" w:sz="0" w:space="0" w:color="auto"/>
        <w:left w:val="none" w:sz="0" w:space="0" w:color="auto"/>
        <w:bottom w:val="none" w:sz="0" w:space="0" w:color="auto"/>
        <w:right w:val="none" w:sz="0" w:space="0" w:color="auto"/>
      </w:divBdr>
    </w:div>
    <w:div w:id="982127284">
      <w:marLeft w:val="0"/>
      <w:marRight w:val="0"/>
      <w:marTop w:val="0"/>
      <w:marBottom w:val="0"/>
      <w:divBdr>
        <w:top w:val="none" w:sz="0" w:space="0" w:color="auto"/>
        <w:left w:val="none" w:sz="0" w:space="0" w:color="auto"/>
        <w:bottom w:val="none" w:sz="0" w:space="0" w:color="auto"/>
        <w:right w:val="none" w:sz="0" w:space="0" w:color="auto"/>
      </w:divBdr>
    </w:div>
    <w:div w:id="983000249">
      <w:marLeft w:val="0"/>
      <w:marRight w:val="0"/>
      <w:marTop w:val="0"/>
      <w:marBottom w:val="0"/>
      <w:divBdr>
        <w:top w:val="none" w:sz="0" w:space="0" w:color="auto"/>
        <w:left w:val="none" w:sz="0" w:space="0" w:color="auto"/>
        <w:bottom w:val="none" w:sz="0" w:space="0" w:color="auto"/>
        <w:right w:val="none" w:sz="0" w:space="0" w:color="auto"/>
      </w:divBdr>
    </w:div>
    <w:div w:id="983778919">
      <w:marLeft w:val="0"/>
      <w:marRight w:val="0"/>
      <w:marTop w:val="0"/>
      <w:marBottom w:val="0"/>
      <w:divBdr>
        <w:top w:val="none" w:sz="0" w:space="0" w:color="auto"/>
        <w:left w:val="none" w:sz="0" w:space="0" w:color="auto"/>
        <w:bottom w:val="none" w:sz="0" w:space="0" w:color="auto"/>
        <w:right w:val="none" w:sz="0" w:space="0" w:color="auto"/>
      </w:divBdr>
    </w:div>
    <w:div w:id="984622405">
      <w:marLeft w:val="0"/>
      <w:marRight w:val="0"/>
      <w:marTop w:val="0"/>
      <w:marBottom w:val="0"/>
      <w:divBdr>
        <w:top w:val="none" w:sz="0" w:space="0" w:color="auto"/>
        <w:left w:val="none" w:sz="0" w:space="0" w:color="auto"/>
        <w:bottom w:val="none" w:sz="0" w:space="0" w:color="auto"/>
        <w:right w:val="none" w:sz="0" w:space="0" w:color="auto"/>
      </w:divBdr>
    </w:div>
    <w:div w:id="985864221">
      <w:marLeft w:val="0"/>
      <w:marRight w:val="0"/>
      <w:marTop w:val="0"/>
      <w:marBottom w:val="0"/>
      <w:divBdr>
        <w:top w:val="none" w:sz="0" w:space="0" w:color="auto"/>
        <w:left w:val="none" w:sz="0" w:space="0" w:color="auto"/>
        <w:bottom w:val="none" w:sz="0" w:space="0" w:color="auto"/>
        <w:right w:val="none" w:sz="0" w:space="0" w:color="auto"/>
      </w:divBdr>
    </w:div>
    <w:div w:id="987054660">
      <w:marLeft w:val="0"/>
      <w:marRight w:val="0"/>
      <w:marTop w:val="0"/>
      <w:marBottom w:val="0"/>
      <w:divBdr>
        <w:top w:val="none" w:sz="0" w:space="0" w:color="auto"/>
        <w:left w:val="none" w:sz="0" w:space="0" w:color="auto"/>
        <w:bottom w:val="none" w:sz="0" w:space="0" w:color="auto"/>
        <w:right w:val="none" w:sz="0" w:space="0" w:color="auto"/>
      </w:divBdr>
    </w:div>
    <w:div w:id="987436432">
      <w:marLeft w:val="0"/>
      <w:marRight w:val="0"/>
      <w:marTop w:val="0"/>
      <w:marBottom w:val="0"/>
      <w:divBdr>
        <w:top w:val="none" w:sz="0" w:space="0" w:color="auto"/>
        <w:left w:val="none" w:sz="0" w:space="0" w:color="auto"/>
        <w:bottom w:val="none" w:sz="0" w:space="0" w:color="auto"/>
        <w:right w:val="none" w:sz="0" w:space="0" w:color="auto"/>
      </w:divBdr>
    </w:div>
    <w:div w:id="987589877">
      <w:marLeft w:val="0"/>
      <w:marRight w:val="0"/>
      <w:marTop w:val="0"/>
      <w:marBottom w:val="0"/>
      <w:divBdr>
        <w:top w:val="none" w:sz="0" w:space="0" w:color="auto"/>
        <w:left w:val="none" w:sz="0" w:space="0" w:color="auto"/>
        <w:bottom w:val="none" w:sz="0" w:space="0" w:color="auto"/>
        <w:right w:val="none" w:sz="0" w:space="0" w:color="auto"/>
      </w:divBdr>
    </w:div>
    <w:div w:id="988482248">
      <w:marLeft w:val="0"/>
      <w:marRight w:val="0"/>
      <w:marTop w:val="0"/>
      <w:marBottom w:val="0"/>
      <w:divBdr>
        <w:top w:val="none" w:sz="0" w:space="0" w:color="auto"/>
        <w:left w:val="none" w:sz="0" w:space="0" w:color="auto"/>
        <w:bottom w:val="none" w:sz="0" w:space="0" w:color="auto"/>
        <w:right w:val="none" w:sz="0" w:space="0" w:color="auto"/>
      </w:divBdr>
    </w:div>
    <w:div w:id="989137448">
      <w:marLeft w:val="0"/>
      <w:marRight w:val="0"/>
      <w:marTop w:val="0"/>
      <w:marBottom w:val="0"/>
      <w:divBdr>
        <w:top w:val="none" w:sz="0" w:space="0" w:color="auto"/>
        <w:left w:val="none" w:sz="0" w:space="0" w:color="auto"/>
        <w:bottom w:val="none" w:sz="0" w:space="0" w:color="auto"/>
        <w:right w:val="none" w:sz="0" w:space="0" w:color="auto"/>
      </w:divBdr>
    </w:div>
    <w:div w:id="989359762">
      <w:marLeft w:val="0"/>
      <w:marRight w:val="0"/>
      <w:marTop w:val="0"/>
      <w:marBottom w:val="0"/>
      <w:divBdr>
        <w:top w:val="none" w:sz="0" w:space="0" w:color="auto"/>
        <w:left w:val="none" w:sz="0" w:space="0" w:color="auto"/>
        <w:bottom w:val="none" w:sz="0" w:space="0" w:color="auto"/>
        <w:right w:val="none" w:sz="0" w:space="0" w:color="auto"/>
      </w:divBdr>
    </w:div>
    <w:div w:id="993215387">
      <w:marLeft w:val="0"/>
      <w:marRight w:val="0"/>
      <w:marTop w:val="0"/>
      <w:marBottom w:val="0"/>
      <w:divBdr>
        <w:top w:val="none" w:sz="0" w:space="0" w:color="auto"/>
        <w:left w:val="none" w:sz="0" w:space="0" w:color="auto"/>
        <w:bottom w:val="none" w:sz="0" w:space="0" w:color="auto"/>
        <w:right w:val="none" w:sz="0" w:space="0" w:color="auto"/>
      </w:divBdr>
    </w:div>
    <w:div w:id="996110246">
      <w:marLeft w:val="0"/>
      <w:marRight w:val="0"/>
      <w:marTop w:val="0"/>
      <w:marBottom w:val="0"/>
      <w:divBdr>
        <w:top w:val="none" w:sz="0" w:space="0" w:color="auto"/>
        <w:left w:val="none" w:sz="0" w:space="0" w:color="auto"/>
        <w:bottom w:val="none" w:sz="0" w:space="0" w:color="auto"/>
        <w:right w:val="none" w:sz="0" w:space="0" w:color="auto"/>
      </w:divBdr>
    </w:div>
    <w:div w:id="998113946">
      <w:marLeft w:val="0"/>
      <w:marRight w:val="0"/>
      <w:marTop w:val="0"/>
      <w:marBottom w:val="0"/>
      <w:divBdr>
        <w:top w:val="none" w:sz="0" w:space="0" w:color="auto"/>
        <w:left w:val="none" w:sz="0" w:space="0" w:color="auto"/>
        <w:bottom w:val="none" w:sz="0" w:space="0" w:color="auto"/>
        <w:right w:val="none" w:sz="0" w:space="0" w:color="auto"/>
      </w:divBdr>
    </w:div>
    <w:div w:id="998582951">
      <w:marLeft w:val="0"/>
      <w:marRight w:val="0"/>
      <w:marTop w:val="0"/>
      <w:marBottom w:val="0"/>
      <w:divBdr>
        <w:top w:val="none" w:sz="0" w:space="0" w:color="auto"/>
        <w:left w:val="none" w:sz="0" w:space="0" w:color="auto"/>
        <w:bottom w:val="none" w:sz="0" w:space="0" w:color="auto"/>
        <w:right w:val="none" w:sz="0" w:space="0" w:color="auto"/>
      </w:divBdr>
    </w:div>
    <w:div w:id="1005592218">
      <w:marLeft w:val="0"/>
      <w:marRight w:val="0"/>
      <w:marTop w:val="0"/>
      <w:marBottom w:val="0"/>
      <w:divBdr>
        <w:top w:val="none" w:sz="0" w:space="0" w:color="auto"/>
        <w:left w:val="none" w:sz="0" w:space="0" w:color="auto"/>
        <w:bottom w:val="none" w:sz="0" w:space="0" w:color="auto"/>
        <w:right w:val="none" w:sz="0" w:space="0" w:color="auto"/>
      </w:divBdr>
    </w:div>
    <w:div w:id="1008606305">
      <w:marLeft w:val="0"/>
      <w:marRight w:val="0"/>
      <w:marTop w:val="0"/>
      <w:marBottom w:val="0"/>
      <w:divBdr>
        <w:top w:val="none" w:sz="0" w:space="0" w:color="auto"/>
        <w:left w:val="none" w:sz="0" w:space="0" w:color="auto"/>
        <w:bottom w:val="none" w:sz="0" w:space="0" w:color="auto"/>
        <w:right w:val="none" w:sz="0" w:space="0" w:color="auto"/>
      </w:divBdr>
    </w:div>
    <w:div w:id="1008871966">
      <w:marLeft w:val="0"/>
      <w:marRight w:val="0"/>
      <w:marTop w:val="0"/>
      <w:marBottom w:val="0"/>
      <w:divBdr>
        <w:top w:val="none" w:sz="0" w:space="0" w:color="auto"/>
        <w:left w:val="none" w:sz="0" w:space="0" w:color="auto"/>
        <w:bottom w:val="none" w:sz="0" w:space="0" w:color="auto"/>
        <w:right w:val="none" w:sz="0" w:space="0" w:color="auto"/>
      </w:divBdr>
    </w:div>
    <w:div w:id="1009135038">
      <w:marLeft w:val="0"/>
      <w:marRight w:val="0"/>
      <w:marTop w:val="0"/>
      <w:marBottom w:val="0"/>
      <w:divBdr>
        <w:top w:val="none" w:sz="0" w:space="0" w:color="auto"/>
        <w:left w:val="none" w:sz="0" w:space="0" w:color="auto"/>
        <w:bottom w:val="none" w:sz="0" w:space="0" w:color="auto"/>
        <w:right w:val="none" w:sz="0" w:space="0" w:color="auto"/>
      </w:divBdr>
    </w:div>
    <w:div w:id="1009941620">
      <w:marLeft w:val="0"/>
      <w:marRight w:val="0"/>
      <w:marTop w:val="0"/>
      <w:marBottom w:val="0"/>
      <w:divBdr>
        <w:top w:val="none" w:sz="0" w:space="0" w:color="auto"/>
        <w:left w:val="none" w:sz="0" w:space="0" w:color="auto"/>
        <w:bottom w:val="none" w:sz="0" w:space="0" w:color="auto"/>
        <w:right w:val="none" w:sz="0" w:space="0" w:color="auto"/>
      </w:divBdr>
    </w:div>
    <w:div w:id="1013803889">
      <w:marLeft w:val="0"/>
      <w:marRight w:val="0"/>
      <w:marTop w:val="0"/>
      <w:marBottom w:val="0"/>
      <w:divBdr>
        <w:top w:val="none" w:sz="0" w:space="0" w:color="auto"/>
        <w:left w:val="none" w:sz="0" w:space="0" w:color="auto"/>
        <w:bottom w:val="none" w:sz="0" w:space="0" w:color="auto"/>
        <w:right w:val="none" w:sz="0" w:space="0" w:color="auto"/>
      </w:divBdr>
    </w:div>
    <w:div w:id="1014266749">
      <w:marLeft w:val="0"/>
      <w:marRight w:val="0"/>
      <w:marTop w:val="0"/>
      <w:marBottom w:val="0"/>
      <w:divBdr>
        <w:top w:val="none" w:sz="0" w:space="0" w:color="auto"/>
        <w:left w:val="none" w:sz="0" w:space="0" w:color="auto"/>
        <w:bottom w:val="none" w:sz="0" w:space="0" w:color="auto"/>
        <w:right w:val="none" w:sz="0" w:space="0" w:color="auto"/>
      </w:divBdr>
    </w:div>
    <w:div w:id="1016611651">
      <w:marLeft w:val="0"/>
      <w:marRight w:val="0"/>
      <w:marTop w:val="0"/>
      <w:marBottom w:val="0"/>
      <w:divBdr>
        <w:top w:val="none" w:sz="0" w:space="0" w:color="auto"/>
        <w:left w:val="none" w:sz="0" w:space="0" w:color="auto"/>
        <w:bottom w:val="none" w:sz="0" w:space="0" w:color="auto"/>
        <w:right w:val="none" w:sz="0" w:space="0" w:color="auto"/>
      </w:divBdr>
    </w:div>
    <w:div w:id="1017192108">
      <w:marLeft w:val="0"/>
      <w:marRight w:val="0"/>
      <w:marTop w:val="0"/>
      <w:marBottom w:val="0"/>
      <w:divBdr>
        <w:top w:val="none" w:sz="0" w:space="0" w:color="auto"/>
        <w:left w:val="none" w:sz="0" w:space="0" w:color="auto"/>
        <w:bottom w:val="none" w:sz="0" w:space="0" w:color="auto"/>
        <w:right w:val="none" w:sz="0" w:space="0" w:color="auto"/>
      </w:divBdr>
    </w:div>
    <w:div w:id="1017971200">
      <w:marLeft w:val="0"/>
      <w:marRight w:val="0"/>
      <w:marTop w:val="0"/>
      <w:marBottom w:val="0"/>
      <w:divBdr>
        <w:top w:val="none" w:sz="0" w:space="0" w:color="auto"/>
        <w:left w:val="none" w:sz="0" w:space="0" w:color="auto"/>
        <w:bottom w:val="none" w:sz="0" w:space="0" w:color="auto"/>
        <w:right w:val="none" w:sz="0" w:space="0" w:color="auto"/>
      </w:divBdr>
    </w:div>
    <w:div w:id="1021781102">
      <w:marLeft w:val="0"/>
      <w:marRight w:val="0"/>
      <w:marTop w:val="0"/>
      <w:marBottom w:val="0"/>
      <w:divBdr>
        <w:top w:val="none" w:sz="0" w:space="0" w:color="auto"/>
        <w:left w:val="none" w:sz="0" w:space="0" w:color="auto"/>
        <w:bottom w:val="none" w:sz="0" w:space="0" w:color="auto"/>
        <w:right w:val="none" w:sz="0" w:space="0" w:color="auto"/>
      </w:divBdr>
    </w:div>
    <w:div w:id="1023871091">
      <w:marLeft w:val="0"/>
      <w:marRight w:val="0"/>
      <w:marTop w:val="0"/>
      <w:marBottom w:val="0"/>
      <w:divBdr>
        <w:top w:val="none" w:sz="0" w:space="0" w:color="auto"/>
        <w:left w:val="none" w:sz="0" w:space="0" w:color="auto"/>
        <w:bottom w:val="none" w:sz="0" w:space="0" w:color="auto"/>
        <w:right w:val="none" w:sz="0" w:space="0" w:color="auto"/>
      </w:divBdr>
    </w:div>
    <w:div w:id="1024677077">
      <w:marLeft w:val="0"/>
      <w:marRight w:val="0"/>
      <w:marTop w:val="0"/>
      <w:marBottom w:val="0"/>
      <w:divBdr>
        <w:top w:val="none" w:sz="0" w:space="0" w:color="auto"/>
        <w:left w:val="none" w:sz="0" w:space="0" w:color="auto"/>
        <w:bottom w:val="none" w:sz="0" w:space="0" w:color="auto"/>
        <w:right w:val="none" w:sz="0" w:space="0" w:color="auto"/>
      </w:divBdr>
    </w:div>
    <w:div w:id="1029254550">
      <w:marLeft w:val="0"/>
      <w:marRight w:val="0"/>
      <w:marTop w:val="0"/>
      <w:marBottom w:val="0"/>
      <w:divBdr>
        <w:top w:val="none" w:sz="0" w:space="0" w:color="auto"/>
        <w:left w:val="none" w:sz="0" w:space="0" w:color="auto"/>
        <w:bottom w:val="none" w:sz="0" w:space="0" w:color="auto"/>
        <w:right w:val="none" w:sz="0" w:space="0" w:color="auto"/>
      </w:divBdr>
    </w:div>
    <w:div w:id="1031683272">
      <w:marLeft w:val="0"/>
      <w:marRight w:val="0"/>
      <w:marTop w:val="0"/>
      <w:marBottom w:val="0"/>
      <w:divBdr>
        <w:top w:val="none" w:sz="0" w:space="0" w:color="auto"/>
        <w:left w:val="none" w:sz="0" w:space="0" w:color="auto"/>
        <w:bottom w:val="none" w:sz="0" w:space="0" w:color="auto"/>
        <w:right w:val="none" w:sz="0" w:space="0" w:color="auto"/>
      </w:divBdr>
    </w:div>
    <w:div w:id="1033993938">
      <w:marLeft w:val="0"/>
      <w:marRight w:val="0"/>
      <w:marTop w:val="0"/>
      <w:marBottom w:val="0"/>
      <w:divBdr>
        <w:top w:val="none" w:sz="0" w:space="0" w:color="auto"/>
        <w:left w:val="none" w:sz="0" w:space="0" w:color="auto"/>
        <w:bottom w:val="none" w:sz="0" w:space="0" w:color="auto"/>
        <w:right w:val="none" w:sz="0" w:space="0" w:color="auto"/>
      </w:divBdr>
    </w:div>
    <w:div w:id="1034813568">
      <w:marLeft w:val="0"/>
      <w:marRight w:val="0"/>
      <w:marTop w:val="0"/>
      <w:marBottom w:val="0"/>
      <w:divBdr>
        <w:top w:val="none" w:sz="0" w:space="0" w:color="auto"/>
        <w:left w:val="none" w:sz="0" w:space="0" w:color="auto"/>
        <w:bottom w:val="none" w:sz="0" w:space="0" w:color="auto"/>
        <w:right w:val="none" w:sz="0" w:space="0" w:color="auto"/>
      </w:divBdr>
    </w:div>
    <w:div w:id="1035426989">
      <w:marLeft w:val="0"/>
      <w:marRight w:val="0"/>
      <w:marTop w:val="0"/>
      <w:marBottom w:val="0"/>
      <w:divBdr>
        <w:top w:val="none" w:sz="0" w:space="0" w:color="auto"/>
        <w:left w:val="none" w:sz="0" w:space="0" w:color="auto"/>
        <w:bottom w:val="none" w:sz="0" w:space="0" w:color="auto"/>
        <w:right w:val="none" w:sz="0" w:space="0" w:color="auto"/>
      </w:divBdr>
    </w:div>
    <w:div w:id="1036856857">
      <w:marLeft w:val="0"/>
      <w:marRight w:val="0"/>
      <w:marTop w:val="0"/>
      <w:marBottom w:val="0"/>
      <w:divBdr>
        <w:top w:val="none" w:sz="0" w:space="0" w:color="auto"/>
        <w:left w:val="none" w:sz="0" w:space="0" w:color="auto"/>
        <w:bottom w:val="none" w:sz="0" w:space="0" w:color="auto"/>
        <w:right w:val="none" w:sz="0" w:space="0" w:color="auto"/>
      </w:divBdr>
    </w:div>
    <w:div w:id="1036927296">
      <w:marLeft w:val="0"/>
      <w:marRight w:val="0"/>
      <w:marTop w:val="0"/>
      <w:marBottom w:val="0"/>
      <w:divBdr>
        <w:top w:val="none" w:sz="0" w:space="0" w:color="auto"/>
        <w:left w:val="none" w:sz="0" w:space="0" w:color="auto"/>
        <w:bottom w:val="none" w:sz="0" w:space="0" w:color="auto"/>
        <w:right w:val="none" w:sz="0" w:space="0" w:color="auto"/>
      </w:divBdr>
    </w:div>
    <w:div w:id="1038362152">
      <w:marLeft w:val="0"/>
      <w:marRight w:val="0"/>
      <w:marTop w:val="0"/>
      <w:marBottom w:val="0"/>
      <w:divBdr>
        <w:top w:val="none" w:sz="0" w:space="0" w:color="auto"/>
        <w:left w:val="none" w:sz="0" w:space="0" w:color="auto"/>
        <w:bottom w:val="none" w:sz="0" w:space="0" w:color="auto"/>
        <w:right w:val="none" w:sz="0" w:space="0" w:color="auto"/>
      </w:divBdr>
    </w:div>
    <w:div w:id="1038437873">
      <w:marLeft w:val="0"/>
      <w:marRight w:val="0"/>
      <w:marTop w:val="0"/>
      <w:marBottom w:val="0"/>
      <w:divBdr>
        <w:top w:val="none" w:sz="0" w:space="0" w:color="auto"/>
        <w:left w:val="none" w:sz="0" w:space="0" w:color="auto"/>
        <w:bottom w:val="none" w:sz="0" w:space="0" w:color="auto"/>
        <w:right w:val="none" w:sz="0" w:space="0" w:color="auto"/>
      </w:divBdr>
    </w:div>
    <w:div w:id="1042285289">
      <w:marLeft w:val="0"/>
      <w:marRight w:val="0"/>
      <w:marTop w:val="0"/>
      <w:marBottom w:val="0"/>
      <w:divBdr>
        <w:top w:val="none" w:sz="0" w:space="0" w:color="auto"/>
        <w:left w:val="none" w:sz="0" w:space="0" w:color="auto"/>
        <w:bottom w:val="none" w:sz="0" w:space="0" w:color="auto"/>
        <w:right w:val="none" w:sz="0" w:space="0" w:color="auto"/>
      </w:divBdr>
    </w:div>
    <w:div w:id="1049500459">
      <w:marLeft w:val="0"/>
      <w:marRight w:val="0"/>
      <w:marTop w:val="0"/>
      <w:marBottom w:val="0"/>
      <w:divBdr>
        <w:top w:val="none" w:sz="0" w:space="0" w:color="auto"/>
        <w:left w:val="none" w:sz="0" w:space="0" w:color="auto"/>
        <w:bottom w:val="none" w:sz="0" w:space="0" w:color="auto"/>
        <w:right w:val="none" w:sz="0" w:space="0" w:color="auto"/>
      </w:divBdr>
    </w:div>
    <w:div w:id="1050616445">
      <w:marLeft w:val="0"/>
      <w:marRight w:val="0"/>
      <w:marTop w:val="0"/>
      <w:marBottom w:val="0"/>
      <w:divBdr>
        <w:top w:val="none" w:sz="0" w:space="0" w:color="auto"/>
        <w:left w:val="none" w:sz="0" w:space="0" w:color="auto"/>
        <w:bottom w:val="none" w:sz="0" w:space="0" w:color="auto"/>
        <w:right w:val="none" w:sz="0" w:space="0" w:color="auto"/>
      </w:divBdr>
    </w:div>
    <w:div w:id="1051615491">
      <w:marLeft w:val="0"/>
      <w:marRight w:val="0"/>
      <w:marTop w:val="0"/>
      <w:marBottom w:val="0"/>
      <w:divBdr>
        <w:top w:val="none" w:sz="0" w:space="0" w:color="auto"/>
        <w:left w:val="none" w:sz="0" w:space="0" w:color="auto"/>
        <w:bottom w:val="none" w:sz="0" w:space="0" w:color="auto"/>
        <w:right w:val="none" w:sz="0" w:space="0" w:color="auto"/>
      </w:divBdr>
    </w:div>
    <w:div w:id="1053044572">
      <w:marLeft w:val="0"/>
      <w:marRight w:val="0"/>
      <w:marTop w:val="0"/>
      <w:marBottom w:val="0"/>
      <w:divBdr>
        <w:top w:val="none" w:sz="0" w:space="0" w:color="auto"/>
        <w:left w:val="none" w:sz="0" w:space="0" w:color="auto"/>
        <w:bottom w:val="none" w:sz="0" w:space="0" w:color="auto"/>
        <w:right w:val="none" w:sz="0" w:space="0" w:color="auto"/>
      </w:divBdr>
    </w:div>
    <w:div w:id="1054237739">
      <w:marLeft w:val="0"/>
      <w:marRight w:val="0"/>
      <w:marTop w:val="0"/>
      <w:marBottom w:val="0"/>
      <w:divBdr>
        <w:top w:val="none" w:sz="0" w:space="0" w:color="auto"/>
        <w:left w:val="none" w:sz="0" w:space="0" w:color="auto"/>
        <w:bottom w:val="none" w:sz="0" w:space="0" w:color="auto"/>
        <w:right w:val="none" w:sz="0" w:space="0" w:color="auto"/>
      </w:divBdr>
    </w:div>
    <w:div w:id="1055590546">
      <w:marLeft w:val="0"/>
      <w:marRight w:val="0"/>
      <w:marTop w:val="0"/>
      <w:marBottom w:val="0"/>
      <w:divBdr>
        <w:top w:val="none" w:sz="0" w:space="0" w:color="auto"/>
        <w:left w:val="none" w:sz="0" w:space="0" w:color="auto"/>
        <w:bottom w:val="none" w:sz="0" w:space="0" w:color="auto"/>
        <w:right w:val="none" w:sz="0" w:space="0" w:color="auto"/>
      </w:divBdr>
    </w:div>
    <w:div w:id="1059783660">
      <w:marLeft w:val="0"/>
      <w:marRight w:val="0"/>
      <w:marTop w:val="0"/>
      <w:marBottom w:val="0"/>
      <w:divBdr>
        <w:top w:val="none" w:sz="0" w:space="0" w:color="auto"/>
        <w:left w:val="none" w:sz="0" w:space="0" w:color="auto"/>
        <w:bottom w:val="none" w:sz="0" w:space="0" w:color="auto"/>
        <w:right w:val="none" w:sz="0" w:space="0" w:color="auto"/>
      </w:divBdr>
    </w:div>
    <w:div w:id="1062362623">
      <w:marLeft w:val="0"/>
      <w:marRight w:val="0"/>
      <w:marTop w:val="0"/>
      <w:marBottom w:val="0"/>
      <w:divBdr>
        <w:top w:val="none" w:sz="0" w:space="0" w:color="auto"/>
        <w:left w:val="none" w:sz="0" w:space="0" w:color="auto"/>
        <w:bottom w:val="none" w:sz="0" w:space="0" w:color="auto"/>
        <w:right w:val="none" w:sz="0" w:space="0" w:color="auto"/>
      </w:divBdr>
    </w:div>
    <w:div w:id="1063675756">
      <w:marLeft w:val="0"/>
      <w:marRight w:val="0"/>
      <w:marTop w:val="0"/>
      <w:marBottom w:val="0"/>
      <w:divBdr>
        <w:top w:val="none" w:sz="0" w:space="0" w:color="auto"/>
        <w:left w:val="none" w:sz="0" w:space="0" w:color="auto"/>
        <w:bottom w:val="none" w:sz="0" w:space="0" w:color="auto"/>
        <w:right w:val="none" w:sz="0" w:space="0" w:color="auto"/>
      </w:divBdr>
    </w:div>
    <w:div w:id="1064836240">
      <w:marLeft w:val="0"/>
      <w:marRight w:val="0"/>
      <w:marTop w:val="0"/>
      <w:marBottom w:val="0"/>
      <w:divBdr>
        <w:top w:val="none" w:sz="0" w:space="0" w:color="auto"/>
        <w:left w:val="none" w:sz="0" w:space="0" w:color="auto"/>
        <w:bottom w:val="none" w:sz="0" w:space="0" w:color="auto"/>
        <w:right w:val="none" w:sz="0" w:space="0" w:color="auto"/>
      </w:divBdr>
    </w:div>
    <w:div w:id="1065296527">
      <w:marLeft w:val="0"/>
      <w:marRight w:val="0"/>
      <w:marTop w:val="0"/>
      <w:marBottom w:val="0"/>
      <w:divBdr>
        <w:top w:val="none" w:sz="0" w:space="0" w:color="auto"/>
        <w:left w:val="none" w:sz="0" w:space="0" w:color="auto"/>
        <w:bottom w:val="none" w:sz="0" w:space="0" w:color="auto"/>
        <w:right w:val="none" w:sz="0" w:space="0" w:color="auto"/>
      </w:divBdr>
    </w:div>
    <w:div w:id="1066412841">
      <w:marLeft w:val="0"/>
      <w:marRight w:val="0"/>
      <w:marTop w:val="0"/>
      <w:marBottom w:val="0"/>
      <w:divBdr>
        <w:top w:val="none" w:sz="0" w:space="0" w:color="auto"/>
        <w:left w:val="none" w:sz="0" w:space="0" w:color="auto"/>
        <w:bottom w:val="none" w:sz="0" w:space="0" w:color="auto"/>
        <w:right w:val="none" w:sz="0" w:space="0" w:color="auto"/>
      </w:divBdr>
    </w:div>
    <w:div w:id="1068963325">
      <w:marLeft w:val="0"/>
      <w:marRight w:val="0"/>
      <w:marTop w:val="0"/>
      <w:marBottom w:val="0"/>
      <w:divBdr>
        <w:top w:val="none" w:sz="0" w:space="0" w:color="auto"/>
        <w:left w:val="none" w:sz="0" w:space="0" w:color="auto"/>
        <w:bottom w:val="none" w:sz="0" w:space="0" w:color="auto"/>
        <w:right w:val="none" w:sz="0" w:space="0" w:color="auto"/>
      </w:divBdr>
    </w:div>
    <w:div w:id="1069235310">
      <w:marLeft w:val="0"/>
      <w:marRight w:val="0"/>
      <w:marTop w:val="0"/>
      <w:marBottom w:val="0"/>
      <w:divBdr>
        <w:top w:val="none" w:sz="0" w:space="0" w:color="auto"/>
        <w:left w:val="none" w:sz="0" w:space="0" w:color="auto"/>
        <w:bottom w:val="none" w:sz="0" w:space="0" w:color="auto"/>
        <w:right w:val="none" w:sz="0" w:space="0" w:color="auto"/>
      </w:divBdr>
    </w:div>
    <w:div w:id="1070232143">
      <w:marLeft w:val="0"/>
      <w:marRight w:val="0"/>
      <w:marTop w:val="0"/>
      <w:marBottom w:val="0"/>
      <w:divBdr>
        <w:top w:val="none" w:sz="0" w:space="0" w:color="auto"/>
        <w:left w:val="none" w:sz="0" w:space="0" w:color="auto"/>
        <w:bottom w:val="none" w:sz="0" w:space="0" w:color="auto"/>
        <w:right w:val="none" w:sz="0" w:space="0" w:color="auto"/>
      </w:divBdr>
    </w:div>
    <w:div w:id="1072122828">
      <w:marLeft w:val="0"/>
      <w:marRight w:val="0"/>
      <w:marTop w:val="0"/>
      <w:marBottom w:val="0"/>
      <w:divBdr>
        <w:top w:val="none" w:sz="0" w:space="0" w:color="auto"/>
        <w:left w:val="none" w:sz="0" w:space="0" w:color="auto"/>
        <w:bottom w:val="none" w:sz="0" w:space="0" w:color="auto"/>
        <w:right w:val="none" w:sz="0" w:space="0" w:color="auto"/>
      </w:divBdr>
    </w:div>
    <w:div w:id="1072384663">
      <w:marLeft w:val="0"/>
      <w:marRight w:val="0"/>
      <w:marTop w:val="0"/>
      <w:marBottom w:val="0"/>
      <w:divBdr>
        <w:top w:val="none" w:sz="0" w:space="0" w:color="auto"/>
        <w:left w:val="none" w:sz="0" w:space="0" w:color="auto"/>
        <w:bottom w:val="none" w:sz="0" w:space="0" w:color="auto"/>
        <w:right w:val="none" w:sz="0" w:space="0" w:color="auto"/>
      </w:divBdr>
    </w:div>
    <w:div w:id="1072656414">
      <w:marLeft w:val="0"/>
      <w:marRight w:val="0"/>
      <w:marTop w:val="0"/>
      <w:marBottom w:val="0"/>
      <w:divBdr>
        <w:top w:val="none" w:sz="0" w:space="0" w:color="auto"/>
        <w:left w:val="none" w:sz="0" w:space="0" w:color="auto"/>
        <w:bottom w:val="none" w:sz="0" w:space="0" w:color="auto"/>
        <w:right w:val="none" w:sz="0" w:space="0" w:color="auto"/>
      </w:divBdr>
    </w:div>
    <w:div w:id="1075317251">
      <w:marLeft w:val="0"/>
      <w:marRight w:val="0"/>
      <w:marTop w:val="0"/>
      <w:marBottom w:val="0"/>
      <w:divBdr>
        <w:top w:val="none" w:sz="0" w:space="0" w:color="auto"/>
        <w:left w:val="none" w:sz="0" w:space="0" w:color="auto"/>
        <w:bottom w:val="none" w:sz="0" w:space="0" w:color="auto"/>
        <w:right w:val="none" w:sz="0" w:space="0" w:color="auto"/>
      </w:divBdr>
    </w:div>
    <w:div w:id="1076443238">
      <w:marLeft w:val="0"/>
      <w:marRight w:val="0"/>
      <w:marTop w:val="0"/>
      <w:marBottom w:val="0"/>
      <w:divBdr>
        <w:top w:val="none" w:sz="0" w:space="0" w:color="auto"/>
        <w:left w:val="none" w:sz="0" w:space="0" w:color="auto"/>
        <w:bottom w:val="none" w:sz="0" w:space="0" w:color="auto"/>
        <w:right w:val="none" w:sz="0" w:space="0" w:color="auto"/>
      </w:divBdr>
    </w:div>
    <w:div w:id="1082992255">
      <w:marLeft w:val="0"/>
      <w:marRight w:val="0"/>
      <w:marTop w:val="0"/>
      <w:marBottom w:val="0"/>
      <w:divBdr>
        <w:top w:val="none" w:sz="0" w:space="0" w:color="auto"/>
        <w:left w:val="none" w:sz="0" w:space="0" w:color="auto"/>
        <w:bottom w:val="none" w:sz="0" w:space="0" w:color="auto"/>
        <w:right w:val="none" w:sz="0" w:space="0" w:color="auto"/>
      </w:divBdr>
    </w:div>
    <w:div w:id="1083334559">
      <w:marLeft w:val="0"/>
      <w:marRight w:val="0"/>
      <w:marTop w:val="0"/>
      <w:marBottom w:val="0"/>
      <w:divBdr>
        <w:top w:val="none" w:sz="0" w:space="0" w:color="auto"/>
        <w:left w:val="none" w:sz="0" w:space="0" w:color="auto"/>
        <w:bottom w:val="none" w:sz="0" w:space="0" w:color="auto"/>
        <w:right w:val="none" w:sz="0" w:space="0" w:color="auto"/>
      </w:divBdr>
    </w:div>
    <w:div w:id="1083529937">
      <w:marLeft w:val="0"/>
      <w:marRight w:val="0"/>
      <w:marTop w:val="0"/>
      <w:marBottom w:val="0"/>
      <w:divBdr>
        <w:top w:val="none" w:sz="0" w:space="0" w:color="auto"/>
        <w:left w:val="none" w:sz="0" w:space="0" w:color="auto"/>
        <w:bottom w:val="none" w:sz="0" w:space="0" w:color="auto"/>
        <w:right w:val="none" w:sz="0" w:space="0" w:color="auto"/>
      </w:divBdr>
    </w:div>
    <w:div w:id="1085805907">
      <w:marLeft w:val="0"/>
      <w:marRight w:val="0"/>
      <w:marTop w:val="0"/>
      <w:marBottom w:val="0"/>
      <w:divBdr>
        <w:top w:val="none" w:sz="0" w:space="0" w:color="auto"/>
        <w:left w:val="none" w:sz="0" w:space="0" w:color="auto"/>
        <w:bottom w:val="none" w:sz="0" w:space="0" w:color="auto"/>
        <w:right w:val="none" w:sz="0" w:space="0" w:color="auto"/>
      </w:divBdr>
    </w:div>
    <w:div w:id="1094977092">
      <w:marLeft w:val="0"/>
      <w:marRight w:val="0"/>
      <w:marTop w:val="0"/>
      <w:marBottom w:val="0"/>
      <w:divBdr>
        <w:top w:val="none" w:sz="0" w:space="0" w:color="auto"/>
        <w:left w:val="none" w:sz="0" w:space="0" w:color="auto"/>
        <w:bottom w:val="none" w:sz="0" w:space="0" w:color="auto"/>
        <w:right w:val="none" w:sz="0" w:space="0" w:color="auto"/>
      </w:divBdr>
    </w:div>
    <w:div w:id="1095054422">
      <w:marLeft w:val="0"/>
      <w:marRight w:val="0"/>
      <w:marTop w:val="0"/>
      <w:marBottom w:val="0"/>
      <w:divBdr>
        <w:top w:val="none" w:sz="0" w:space="0" w:color="auto"/>
        <w:left w:val="none" w:sz="0" w:space="0" w:color="auto"/>
        <w:bottom w:val="none" w:sz="0" w:space="0" w:color="auto"/>
        <w:right w:val="none" w:sz="0" w:space="0" w:color="auto"/>
      </w:divBdr>
    </w:div>
    <w:div w:id="1095706747">
      <w:marLeft w:val="0"/>
      <w:marRight w:val="0"/>
      <w:marTop w:val="0"/>
      <w:marBottom w:val="0"/>
      <w:divBdr>
        <w:top w:val="none" w:sz="0" w:space="0" w:color="auto"/>
        <w:left w:val="none" w:sz="0" w:space="0" w:color="auto"/>
        <w:bottom w:val="none" w:sz="0" w:space="0" w:color="auto"/>
        <w:right w:val="none" w:sz="0" w:space="0" w:color="auto"/>
      </w:divBdr>
    </w:div>
    <w:div w:id="1104300023">
      <w:marLeft w:val="0"/>
      <w:marRight w:val="0"/>
      <w:marTop w:val="0"/>
      <w:marBottom w:val="0"/>
      <w:divBdr>
        <w:top w:val="none" w:sz="0" w:space="0" w:color="auto"/>
        <w:left w:val="none" w:sz="0" w:space="0" w:color="auto"/>
        <w:bottom w:val="none" w:sz="0" w:space="0" w:color="auto"/>
        <w:right w:val="none" w:sz="0" w:space="0" w:color="auto"/>
      </w:divBdr>
    </w:div>
    <w:div w:id="1107383474">
      <w:marLeft w:val="0"/>
      <w:marRight w:val="0"/>
      <w:marTop w:val="0"/>
      <w:marBottom w:val="0"/>
      <w:divBdr>
        <w:top w:val="none" w:sz="0" w:space="0" w:color="auto"/>
        <w:left w:val="none" w:sz="0" w:space="0" w:color="auto"/>
        <w:bottom w:val="none" w:sz="0" w:space="0" w:color="auto"/>
        <w:right w:val="none" w:sz="0" w:space="0" w:color="auto"/>
      </w:divBdr>
    </w:div>
    <w:div w:id="1107627520">
      <w:marLeft w:val="0"/>
      <w:marRight w:val="0"/>
      <w:marTop w:val="0"/>
      <w:marBottom w:val="0"/>
      <w:divBdr>
        <w:top w:val="none" w:sz="0" w:space="0" w:color="auto"/>
        <w:left w:val="none" w:sz="0" w:space="0" w:color="auto"/>
        <w:bottom w:val="none" w:sz="0" w:space="0" w:color="auto"/>
        <w:right w:val="none" w:sz="0" w:space="0" w:color="auto"/>
      </w:divBdr>
    </w:div>
    <w:div w:id="1110470357">
      <w:marLeft w:val="0"/>
      <w:marRight w:val="0"/>
      <w:marTop w:val="0"/>
      <w:marBottom w:val="0"/>
      <w:divBdr>
        <w:top w:val="none" w:sz="0" w:space="0" w:color="auto"/>
        <w:left w:val="none" w:sz="0" w:space="0" w:color="auto"/>
        <w:bottom w:val="none" w:sz="0" w:space="0" w:color="auto"/>
        <w:right w:val="none" w:sz="0" w:space="0" w:color="auto"/>
      </w:divBdr>
    </w:div>
    <w:div w:id="1110901512">
      <w:marLeft w:val="0"/>
      <w:marRight w:val="0"/>
      <w:marTop w:val="0"/>
      <w:marBottom w:val="0"/>
      <w:divBdr>
        <w:top w:val="none" w:sz="0" w:space="0" w:color="auto"/>
        <w:left w:val="none" w:sz="0" w:space="0" w:color="auto"/>
        <w:bottom w:val="none" w:sz="0" w:space="0" w:color="auto"/>
        <w:right w:val="none" w:sz="0" w:space="0" w:color="auto"/>
      </w:divBdr>
    </w:div>
    <w:div w:id="1111630338">
      <w:marLeft w:val="0"/>
      <w:marRight w:val="0"/>
      <w:marTop w:val="0"/>
      <w:marBottom w:val="0"/>
      <w:divBdr>
        <w:top w:val="none" w:sz="0" w:space="0" w:color="auto"/>
        <w:left w:val="none" w:sz="0" w:space="0" w:color="auto"/>
        <w:bottom w:val="none" w:sz="0" w:space="0" w:color="auto"/>
        <w:right w:val="none" w:sz="0" w:space="0" w:color="auto"/>
      </w:divBdr>
    </w:div>
    <w:div w:id="1111899924">
      <w:marLeft w:val="0"/>
      <w:marRight w:val="0"/>
      <w:marTop w:val="0"/>
      <w:marBottom w:val="0"/>
      <w:divBdr>
        <w:top w:val="none" w:sz="0" w:space="0" w:color="auto"/>
        <w:left w:val="none" w:sz="0" w:space="0" w:color="auto"/>
        <w:bottom w:val="none" w:sz="0" w:space="0" w:color="auto"/>
        <w:right w:val="none" w:sz="0" w:space="0" w:color="auto"/>
      </w:divBdr>
    </w:div>
    <w:div w:id="1112437263">
      <w:marLeft w:val="0"/>
      <w:marRight w:val="0"/>
      <w:marTop w:val="0"/>
      <w:marBottom w:val="0"/>
      <w:divBdr>
        <w:top w:val="none" w:sz="0" w:space="0" w:color="auto"/>
        <w:left w:val="none" w:sz="0" w:space="0" w:color="auto"/>
        <w:bottom w:val="none" w:sz="0" w:space="0" w:color="auto"/>
        <w:right w:val="none" w:sz="0" w:space="0" w:color="auto"/>
      </w:divBdr>
    </w:div>
    <w:div w:id="1113136702">
      <w:marLeft w:val="0"/>
      <w:marRight w:val="0"/>
      <w:marTop w:val="0"/>
      <w:marBottom w:val="0"/>
      <w:divBdr>
        <w:top w:val="none" w:sz="0" w:space="0" w:color="auto"/>
        <w:left w:val="none" w:sz="0" w:space="0" w:color="auto"/>
        <w:bottom w:val="none" w:sz="0" w:space="0" w:color="auto"/>
        <w:right w:val="none" w:sz="0" w:space="0" w:color="auto"/>
      </w:divBdr>
    </w:div>
    <w:div w:id="1113330703">
      <w:marLeft w:val="0"/>
      <w:marRight w:val="0"/>
      <w:marTop w:val="0"/>
      <w:marBottom w:val="0"/>
      <w:divBdr>
        <w:top w:val="none" w:sz="0" w:space="0" w:color="auto"/>
        <w:left w:val="none" w:sz="0" w:space="0" w:color="auto"/>
        <w:bottom w:val="none" w:sz="0" w:space="0" w:color="auto"/>
        <w:right w:val="none" w:sz="0" w:space="0" w:color="auto"/>
      </w:divBdr>
    </w:div>
    <w:div w:id="1114398053">
      <w:marLeft w:val="0"/>
      <w:marRight w:val="0"/>
      <w:marTop w:val="0"/>
      <w:marBottom w:val="0"/>
      <w:divBdr>
        <w:top w:val="none" w:sz="0" w:space="0" w:color="auto"/>
        <w:left w:val="none" w:sz="0" w:space="0" w:color="auto"/>
        <w:bottom w:val="none" w:sz="0" w:space="0" w:color="auto"/>
        <w:right w:val="none" w:sz="0" w:space="0" w:color="auto"/>
      </w:divBdr>
    </w:div>
    <w:div w:id="1114908676">
      <w:marLeft w:val="0"/>
      <w:marRight w:val="0"/>
      <w:marTop w:val="0"/>
      <w:marBottom w:val="0"/>
      <w:divBdr>
        <w:top w:val="none" w:sz="0" w:space="0" w:color="auto"/>
        <w:left w:val="none" w:sz="0" w:space="0" w:color="auto"/>
        <w:bottom w:val="none" w:sz="0" w:space="0" w:color="auto"/>
        <w:right w:val="none" w:sz="0" w:space="0" w:color="auto"/>
      </w:divBdr>
    </w:div>
    <w:div w:id="1115440974">
      <w:marLeft w:val="0"/>
      <w:marRight w:val="0"/>
      <w:marTop w:val="0"/>
      <w:marBottom w:val="0"/>
      <w:divBdr>
        <w:top w:val="none" w:sz="0" w:space="0" w:color="auto"/>
        <w:left w:val="none" w:sz="0" w:space="0" w:color="auto"/>
        <w:bottom w:val="none" w:sz="0" w:space="0" w:color="auto"/>
        <w:right w:val="none" w:sz="0" w:space="0" w:color="auto"/>
      </w:divBdr>
    </w:div>
    <w:div w:id="1115563859">
      <w:marLeft w:val="0"/>
      <w:marRight w:val="0"/>
      <w:marTop w:val="0"/>
      <w:marBottom w:val="0"/>
      <w:divBdr>
        <w:top w:val="none" w:sz="0" w:space="0" w:color="auto"/>
        <w:left w:val="none" w:sz="0" w:space="0" w:color="auto"/>
        <w:bottom w:val="none" w:sz="0" w:space="0" w:color="auto"/>
        <w:right w:val="none" w:sz="0" w:space="0" w:color="auto"/>
      </w:divBdr>
    </w:div>
    <w:div w:id="1119179682">
      <w:marLeft w:val="0"/>
      <w:marRight w:val="0"/>
      <w:marTop w:val="0"/>
      <w:marBottom w:val="0"/>
      <w:divBdr>
        <w:top w:val="none" w:sz="0" w:space="0" w:color="auto"/>
        <w:left w:val="none" w:sz="0" w:space="0" w:color="auto"/>
        <w:bottom w:val="none" w:sz="0" w:space="0" w:color="auto"/>
        <w:right w:val="none" w:sz="0" w:space="0" w:color="auto"/>
      </w:divBdr>
    </w:div>
    <w:div w:id="1123504598">
      <w:marLeft w:val="0"/>
      <w:marRight w:val="0"/>
      <w:marTop w:val="0"/>
      <w:marBottom w:val="0"/>
      <w:divBdr>
        <w:top w:val="none" w:sz="0" w:space="0" w:color="auto"/>
        <w:left w:val="none" w:sz="0" w:space="0" w:color="auto"/>
        <w:bottom w:val="none" w:sz="0" w:space="0" w:color="auto"/>
        <w:right w:val="none" w:sz="0" w:space="0" w:color="auto"/>
      </w:divBdr>
    </w:div>
    <w:div w:id="1124428504">
      <w:marLeft w:val="0"/>
      <w:marRight w:val="0"/>
      <w:marTop w:val="0"/>
      <w:marBottom w:val="0"/>
      <w:divBdr>
        <w:top w:val="none" w:sz="0" w:space="0" w:color="auto"/>
        <w:left w:val="none" w:sz="0" w:space="0" w:color="auto"/>
        <w:bottom w:val="none" w:sz="0" w:space="0" w:color="auto"/>
        <w:right w:val="none" w:sz="0" w:space="0" w:color="auto"/>
      </w:divBdr>
    </w:div>
    <w:div w:id="1125193318">
      <w:marLeft w:val="0"/>
      <w:marRight w:val="0"/>
      <w:marTop w:val="0"/>
      <w:marBottom w:val="0"/>
      <w:divBdr>
        <w:top w:val="none" w:sz="0" w:space="0" w:color="auto"/>
        <w:left w:val="none" w:sz="0" w:space="0" w:color="auto"/>
        <w:bottom w:val="none" w:sz="0" w:space="0" w:color="auto"/>
        <w:right w:val="none" w:sz="0" w:space="0" w:color="auto"/>
      </w:divBdr>
    </w:div>
    <w:div w:id="1126973790">
      <w:marLeft w:val="0"/>
      <w:marRight w:val="0"/>
      <w:marTop w:val="0"/>
      <w:marBottom w:val="0"/>
      <w:divBdr>
        <w:top w:val="none" w:sz="0" w:space="0" w:color="auto"/>
        <w:left w:val="none" w:sz="0" w:space="0" w:color="auto"/>
        <w:bottom w:val="none" w:sz="0" w:space="0" w:color="auto"/>
        <w:right w:val="none" w:sz="0" w:space="0" w:color="auto"/>
      </w:divBdr>
    </w:div>
    <w:div w:id="1130591828">
      <w:marLeft w:val="0"/>
      <w:marRight w:val="0"/>
      <w:marTop w:val="0"/>
      <w:marBottom w:val="0"/>
      <w:divBdr>
        <w:top w:val="none" w:sz="0" w:space="0" w:color="auto"/>
        <w:left w:val="none" w:sz="0" w:space="0" w:color="auto"/>
        <w:bottom w:val="none" w:sz="0" w:space="0" w:color="auto"/>
        <w:right w:val="none" w:sz="0" w:space="0" w:color="auto"/>
      </w:divBdr>
    </w:div>
    <w:div w:id="1131089740">
      <w:marLeft w:val="0"/>
      <w:marRight w:val="0"/>
      <w:marTop w:val="0"/>
      <w:marBottom w:val="0"/>
      <w:divBdr>
        <w:top w:val="none" w:sz="0" w:space="0" w:color="auto"/>
        <w:left w:val="none" w:sz="0" w:space="0" w:color="auto"/>
        <w:bottom w:val="none" w:sz="0" w:space="0" w:color="auto"/>
        <w:right w:val="none" w:sz="0" w:space="0" w:color="auto"/>
      </w:divBdr>
    </w:div>
    <w:div w:id="1131896183">
      <w:marLeft w:val="0"/>
      <w:marRight w:val="0"/>
      <w:marTop w:val="0"/>
      <w:marBottom w:val="0"/>
      <w:divBdr>
        <w:top w:val="none" w:sz="0" w:space="0" w:color="auto"/>
        <w:left w:val="none" w:sz="0" w:space="0" w:color="auto"/>
        <w:bottom w:val="none" w:sz="0" w:space="0" w:color="auto"/>
        <w:right w:val="none" w:sz="0" w:space="0" w:color="auto"/>
      </w:divBdr>
    </w:div>
    <w:div w:id="1135873985">
      <w:marLeft w:val="0"/>
      <w:marRight w:val="0"/>
      <w:marTop w:val="0"/>
      <w:marBottom w:val="0"/>
      <w:divBdr>
        <w:top w:val="none" w:sz="0" w:space="0" w:color="auto"/>
        <w:left w:val="none" w:sz="0" w:space="0" w:color="auto"/>
        <w:bottom w:val="none" w:sz="0" w:space="0" w:color="auto"/>
        <w:right w:val="none" w:sz="0" w:space="0" w:color="auto"/>
      </w:divBdr>
    </w:div>
    <w:div w:id="1137723618">
      <w:marLeft w:val="0"/>
      <w:marRight w:val="0"/>
      <w:marTop w:val="0"/>
      <w:marBottom w:val="0"/>
      <w:divBdr>
        <w:top w:val="none" w:sz="0" w:space="0" w:color="auto"/>
        <w:left w:val="none" w:sz="0" w:space="0" w:color="auto"/>
        <w:bottom w:val="none" w:sz="0" w:space="0" w:color="auto"/>
        <w:right w:val="none" w:sz="0" w:space="0" w:color="auto"/>
      </w:divBdr>
    </w:div>
    <w:div w:id="1139030308">
      <w:marLeft w:val="0"/>
      <w:marRight w:val="0"/>
      <w:marTop w:val="0"/>
      <w:marBottom w:val="0"/>
      <w:divBdr>
        <w:top w:val="none" w:sz="0" w:space="0" w:color="auto"/>
        <w:left w:val="none" w:sz="0" w:space="0" w:color="auto"/>
        <w:bottom w:val="none" w:sz="0" w:space="0" w:color="auto"/>
        <w:right w:val="none" w:sz="0" w:space="0" w:color="auto"/>
      </w:divBdr>
    </w:div>
    <w:div w:id="1139422873">
      <w:marLeft w:val="0"/>
      <w:marRight w:val="0"/>
      <w:marTop w:val="0"/>
      <w:marBottom w:val="0"/>
      <w:divBdr>
        <w:top w:val="none" w:sz="0" w:space="0" w:color="auto"/>
        <w:left w:val="none" w:sz="0" w:space="0" w:color="auto"/>
        <w:bottom w:val="none" w:sz="0" w:space="0" w:color="auto"/>
        <w:right w:val="none" w:sz="0" w:space="0" w:color="auto"/>
      </w:divBdr>
    </w:div>
    <w:div w:id="1142894344">
      <w:marLeft w:val="0"/>
      <w:marRight w:val="0"/>
      <w:marTop w:val="0"/>
      <w:marBottom w:val="0"/>
      <w:divBdr>
        <w:top w:val="none" w:sz="0" w:space="0" w:color="auto"/>
        <w:left w:val="none" w:sz="0" w:space="0" w:color="auto"/>
        <w:bottom w:val="none" w:sz="0" w:space="0" w:color="auto"/>
        <w:right w:val="none" w:sz="0" w:space="0" w:color="auto"/>
      </w:divBdr>
    </w:div>
    <w:div w:id="1143497739">
      <w:marLeft w:val="0"/>
      <w:marRight w:val="0"/>
      <w:marTop w:val="0"/>
      <w:marBottom w:val="0"/>
      <w:divBdr>
        <w:top w:val="none" w:sz="0" w:space="0" w:color="auto"/>
        <w:left w:val="none" w:sz="0" w:space="0" w:color="auto"/>
        <w:bottom w:val="none" w:sz="0" w:space="0" w:color="auto"/>
        <w:right w:val="none" w:sz="0" w:space="0" w:color="auto"/>
      </w:divBdr>
    </w:div>
    <w:div w:id="1143890220">
      <w:marLeft w:val="0"/>
      <w:marRight w:val="0"/>
      <w:marTop w:val="0"/>
      <w:marBottom w:val="0"/>
      <w:divBdr>
        <w:top w:val="none" w:sz="0" w:space="0" w:color="auto"/>
        <w:left w:val="none" w:sz="0" w:space="0" w:color="auto"/>
        <w:bottom w:val="none" w:sz="0" w:space="0" w:color="auto"/>
        <w:right w:val="none" w:sz="0" w:space="0" w:color="auto"/>
      </w:divBdr>
    </w:div>
    <w:div w:id="1144155448">
      <w:marLeft w:val="0"/>
      <w:marRight w:val="0"/>
      <w:marTop w:val="0"/>
      <w:marBottom w:val="0"/>
      <w:divBdr>
        <w:top w:val="none" w:sz="0" w:space="0" w:color="auto"/>
        <w:left w:val="none" w:sz="0" w:space="0" w:color="auto"/>
        <w:bottom w:val="none" w:sz="0" w:space="0" w:color="auto"/>
        <w:right w:val="none" w:sz="0" w:space="0" w:color="auto"/>
      </w:divBdr>
    </w:div>
    <w:div w:id="1147091723">
      <w:marLeft w:val="0"/>
      <w:marRight w:val="0"/>
      <w:marTop w:val="0"/>
      <w:marBottom w:val="0"/>
      <w:divBdr>
        <w:top w:val="none" w:sz="0" w:space="0" w:color="auto"/>
        <w:left w:val="none" w:sz="0" w:space="0" w:color="auto"/>
        <w:bottom w:val="none" w:sz="0" w:space="0" w:color="auto"/>
        <w:right w:val="none" w:sz="0" w:space="0" w:color="auto"/>
      </w:divBdr>
    </w:div>
    <w:div w:id="1148744550">
      <w:marLeft w:val="0"/>
      <w:marRight w:val="0"/>
      <w:marTop w:val="0"/>
      <w:marBottom w:val="0"/>
      <w:divBdr>
        <w:top w:val="none" w:sz="0" w:space="0" w:color="auto"/>
        <w:left w:val="none" w:sz="0" w:space="0" w:color="auto"/>
        <w:bottom w:val="none" w:sz="0" w:space="0" w:color="auto"/>
        <w:right w:val="none" w:sz="0" w:space="0" w:color="auto"/>
      </w:divBdr>
    </w:div>
    <w:div w:id="1149829725">
      <w:marLeft w:val="0"/>
      <w:marRight w:val="0"/>
      <w:marTop w:val="0"/>
      <w:marBottom w:val="0"/>
      <w:divBdr>
        <w:top w:val="none" w:sz="0" w:space="0" w:color="auto"/>
        <w:left w:val="none" w:sz="0" w:space="0" w:color="auto"/>
        <w:bottom w:val="none" w:sz="0" w:space="0" w:color="auto"/>
        <w:right w:val="none" w:sz="0" w:space="0" w:color="auto"/>
      </w:divBdr>
    </w:div>
    <w:div w:id="1152991523">
      <w:marLeft w:val="0"/>
      <w:marRight w:val="0"/>
      <w:marTop w:val="0"/>
      <w:marBottom w:val="0"/>
      <w:divBdr>
        <w:top w:val="none" w:sz="0" w:space="0" w:color="auto"/>
        <w:left w:val="none" w:sz="0" w:space="0" w:color="auto"/>
        <w:bottom w:val="none" w:sz="0" w:space="0" w:color="auto"/>
        <w:right w:val="none" w:sz="0" w:space="0" w:color="auto"/>
      </w:divBdr>
    </w:div>
    <w:div w:id="1153915845">
      <w:marLeft w:val="0"/>
      <w:marRight w:val="0"/>
      <w:marTop w:val="0"/>
      <w:marBottom w:val="0"/>
      <w:divBdr>
        <w:top w:val="none" w:sz="0" w:space="0" w:color="auto"/>
        <w:left w:val="none" w:sz="0" w:space="0" w:color="auto"/>
        <w:bottom w:val="none" w:sz="0" w:space="0" w:color="auto"/>
        <w:right w:val="none" w:sz="0" w:space="0" w:color="auto"/>
      </w:divBdr>
    </w:div>
    <w:div w:id="1154758622">
      <w:marLeft w:val="0"/>
      <w:marRight w:val="0"/>
      <w:marTop w:val="0"/>
      <w:marBottom w:val="0"/>
      <w:divBdr>
        <w:top w:val="none" w:sz="0" w:space="0" w:color="auto"/>
        <w:left w:val="none" w:sz="0" w:space="0" w:color="auto"/>
        <w:bottom w:val="none" w:sz="0" w:space="0" w:color="auto"/>
        <w:right w:val="none" w:sz="0" w:space="0" w:color="auto"/>
      </w:divBdr>
    </w:div>
    <w:div w:id="1159342484">
      <w:marLeft w:val="0"/>
      <w:marRight w:val="0"/>
      <w:marTop w:val="0"/>
      <w:marBottom w:val="0"/>
      <w:divBdr>
        <w:top w:val="none" w:sz="0" w:space="0" w:color="auto"/>
        <w:left w:val="none" w:sz="0" w:space="0" w:color="auto"/>
        <w:bottom w:val="none" w:sz="0" w:space="0" w:color="auto"/>
        <w:right w:val="none" w:sz="0" w:space="0" w:color="auto"/>
      </w:divBdr>
    </w:div>
    <w:div w:id="1165048189">
      <w:marLeft w:val="0"/>
      <w:marRight w:val="0"/>
      <w:marTop w:val="0"/>
      <w:marBottom w:val="0"/>
      <w:divBdr>
        <w:top w:val="none" w:sz="0" w:space="0" w:color="auto"/>
        <w:left w:val="none" w:sz="0" w:space="0" w:color="auto"/>
        <w:bottom w:val="none" w:sz="0" w:space="0" w:color="auto"/>
        <w:right w:val="none" w:sz="0" w:space="0" w:color="auto"/>
      </w:divBdr>
    </w:div>
    <w:div w:id="1165517518">
      <w:marLeft w:val="0"/>
      <w:marRight w:val="0"/>
      <w:marTop w:val="0"/>
      <w:marBottom w:val="0"/>
      <w:divBdr>
        <w:top w:val="none" w:sz="0" w:space="0" w:color="auto"/>
        <w:left w:val="none" w:sz="0" w:space="0" w:color="auto"/>
        <w:bottom w:val="none" w:sz="0" w:space="0" w:color="auto"/>
        <w:right w:val="none" w:sz="0" w:space="0" w:color="auto"/>
      </w:divBdr>
    </w:div>
    <w:div w:id="1166898150">
      <w:marLeft w:val="0"/>
      <w:marRight w:val="0"/>
      <w:marTop w:val="0"/>
      <w:marBottom w:val="0"/>
      <w:divBdr>
        <w:top w:val="none" w:sz="0" w:space="0" w:color="auto"/>
        <w:left w:val="none" w:sz="0" w:space="0" w:color="auto"/>
        <w:bottom w:val="none" w:sz="0" w:space="0" w:color="auto"/>
        <w:right w:val="none" w:sz="0" w:space="0" w:color="auto"/>
      </w:divBdr>
    </w:div>
    <w:div w:id="1168255355">
      <w:marLeft w:val="0"/>
      <w:marRight w:val="0"/>
      <w:marTop w:val="0"/>
      <w:marBottom w:val="0"/>
      <w:divBdr>
        <w:top w:val="none" w:sz="0" w:space="0" w:color="auto"/>
        <w:left w:val="none" w:sz="0" w:space="0" w:color="auto"/>
        <w:bottom w:val="none" w:sz="0" w:space="0" w:color="auto"/>
        <w:right w:val="none" w:sz="0" w:space="0" w:color="auto"/>
      </w:divBdr>
    </w:div>
    <w:div w:id="1169760282">
      <w:marLeft w:val="0"/>
      <w:marRight w:val="0"/>
      <w:marTop w:val="0"/>
      <w:marBottom w:val="0"/>
      <w:divBdr>
        <w:top w:val="none" w:sz="0" w:space="0" w:color="auto"/>
        <w:left w:val="none" w:sz="0" w:space="0" w:color="auto"/>
        <w:bottom w:val="none" w:sz="0" w:space="0" w:color="auto"/>
        <w:right w:val="none" w:sz="0" w:space="0" w:color="auto"/>
      </w:divBdr>
    </w:div>
    <w:div w:id="1170214786">
      <w:marLeft w:val="0"/>
      <w:marRight w:val="0"/>
      <w:marTop w:val="0"/>
      <w:marBottom w:val="0"/>
      <w:divBdr>
        <w:top w:val="none" w:sz="0" w:space="0" w:color="auto"/>
        <w:left w:val="none" w:sz="0" w:space="0" w:color="auto"/>
        <w:bottom w:val="none" w:sz="0" w:space="0" w:color="auto"/>
        <w:right w:val="none" w:sz="0" w:space="0" w:color="auto"/>
      </w:divBdr>
    </w:div>
    <w:div w:id="1171333658">
      <w:marLeft w:val="0"/>
      <w:marRight w:val="0"/>
      <w:marTop w:val="0"/>
      <w:marBottom w:val="0"/>
      <w:divBdr>
        <w:top w:val="none" w:sz="0" w:space="0" w:color="auto"/>
        <w:left w:val="none" w:sz="0" w:space="0" w:color="auto"/>
        <w:bottom w:val="none" w:sz="0" w:space="0" w:color="auto"/>
        <w:right w:val="none" w:sz="0" w:space="0" w:color="auto"/>
      </w:divBdr>
    </w:div>
    <w:div w:id="1175264781">
      <w:marLeft w:val="0"/>
      <w:marRight w:val="0"/>
      <w:marTop w:val="0"/>
      <w:marBottom w:val="0"/>
      <w:divBdr>
        <w:top w:val="none" w:sz="0" w:space="0" w:color="auto"/>
        <w:left w:val="none" w:sz="0" w:space="0" w:color="auto"/>
        <w:bottom w:val="none" w:sz="0" w:space="0" w:color="auto"/>
        <w:right w:val="none" w:sz="0" w:space="0" w:color="auto"/>
      </w:divBdr>
    </w:div>
    <w:div w:id="1178152220">
      <w:marLeft w:val="0"/>
      <w:marRight w:val="0"/>
      <w:marTop w:val="0"/>
      <w:marBottom w:val="0"/>
      <w:divBdr>
        <w:top w:val="none" w:sz="0" w:space="0" w:color="auto"/>
        <w:left w:val="none" w:sz="0" w:space="0" w:color="auto"/>
        <w:bottom w:val="none" w:sz="0" w:space="0" w:color="auto"/>
        <w:right w:val="none" w:sz="0" w:space="0" w:color="auto"/>
      </w:divBdr>
    </w:div>
    <w:div w:id="1181512596">
      <w:marLeft w:val="0"/>
      <w:marRight w:val="0"/>
      <w:marTop w:val="0"/>
      <w:marBottom w:val="0"/>
      <w:divBdr>
        <w:top w:val="none" w:sz="0" w:space="0" w:color="auto"/>
        <w:left w:val="none" w:sz="0" w:space="0" w:color="auto"/>
        <w:bottom w:val="none" w:sz="0" w:space="0" w:color="auto"/>
        <w:right w:val="none" w:sz="0" w:space="0" w:color="auto"/>
      </w:divBdr>
    </w:div>
    <w:div w:id="1182359667">
      <w:marLeft w:val="0"/>
      <w:marRight w:val="0"/>
      <w:marTop w:val="0"/>
      <w:marBottom w:val="0"/>
      <w:divBdr>
        <w:top w:val="none" w:sz="0" w:space="0" w:color="auto"/>
        <w:left w:val="none" w:sz="0" w:space="0" w:color="auto"/>
        <w:bottom w:val="none" w:sz="0" w:space="0" w:color="auto"/>
        <w:right w:val="none" w:sz="0" w:space="0" w:color="auto"/>
      </w:divBdr>
    </w:div>
    <w:div w:id="1186403345">
      <w:marLeft w:val="0"/>
      <w:marRight w:val="0"/>
      <w:marTop w:val="0"/>
      <w:marBottom w:val="0"/>
      <w:divBdr>
        <w:top w:val="none" w:sz="0" w:space="0" w:color="auto"/>
        <w:left w:val="none" w:sz="0" w:space="0" w:color="auto"/>
        <w:bottom w:val="none" w:sz="0" w:space="0" w:color="auto"/>
        <w:right w:val="none" w:sz="0" w:space="0" w:color="auto"/>
      </w:divBdr>
    </w:div>
    <w:div w:id="1187718696">
      <w:marLeft w:val="0"/>
      <w:marRight w:val="0"/>
      <w:marTop w:val="0"/>
      <w:marBottom w:val="0"/>
      <w:divBdr>
        <w:top w:val="none" w:sz="0" w:space="0" w:color="auto"/>
        <w:left w:val="none" w:sz="0" w:space="0" w:color="auto"/>
        <w:bottom w:val="none" w:sz="0" w:space="0" w:color="auto"/>
        <w:right w:val="none" w:sz="0" w:space="0" w:color="auto"/>
      </w:divBdr>
    </w:div>
    <w:div w:id="1191335539">
      <w:marLeft w:val="0"/>
      <w:marRight w:val="0"/>
      <w:marTop w:val="0"/>
      <w:marBottom w:val="0"/>
      <w:divBdr>
        <w:top w:val="none" w:sz="0" w:space="0" w:color="auto"/>
        <w:left w:val="none" w:sz="0" w:space="0" w:color="auto"/>
        <w:bottom w:val="none" w:sz="0" w:space="0" w:color="auto"/>
        <w:right w:val="none" w:sz="0" w:space="0" w:color="auto"/>
      </w:divBdr>
    </w:div>
    <w:div w:id="1194424536">
      <w:marLeft w:val="0"/>
      <w:marRight w:val="0"/>
      <w:marTop w:val="0"/>
      <w:marBottom w:val="0"/>
      <w:divBdr>
        <w:top w:val="none" w:sz="0" w:space="0" w:color="auto"/>
        <w:left w:val="none" w:sz="0" w:space="0" w:color="auto"/>
        <w:bottom w:val="none" w:sz="0" w:space="0" w:color="auto"/>
        <w:right w:val="none" w:sz="0" w:space="0" w:color="auto"/>
      </w:divBdr>
    </w:div>
    <w:div w:id="1195190359">
      <w:marLeft w:val="0"/>
      <w:marRight w:val="0"/>
      <w:marTop w:val="0"/>
      <w:marBottom w:val="0"/>
      <w:divBdr>
        <w:top w:val="none" w:sz="0" w:space="0" w:color="auto"/>
        <w:left w:val="none" w:sz="0" w:space="0" w:color="auto"/>
        <w:bottom w:val="none" w:sz="0" w:space="0" w:color="auto"/>
        <w:right w:val="none" w:sz="0" w:space="0" w:color="auto"/>
      </w:divBdr>
    </w:div>
    <w:div w:id="1195463190">
      <w:marLeft w:val="0"/>
      <w:marRight w:val="0"/>
      <w:marTop w:val="0"/>
      <w:marBottom w:val="0"/>
      <w:divBdr>
        <w:top w:val="none" w:sz="0" w:space="0" w:color="auto"/>
        <w:left w:val="none" w:sz="0" w:space="0" w:color="auto"/>
        <w:bottom w:val="none" w:sz="0" w:space="0" w:color="auto"/>
        <w:right w:val="none" w:sz="0" w:space="0" w:color="auto"/>
      </w:divBdr>
    </w:div>
    <w:div w:id="1196113828">
      <w:marLeft w:val="0"/>
      <w:marRight w:val="0"/>
      <w:marTop w:val="0"/>
      <w:marBottom w:val="0"/>
      <w:divBdr>
        <w:top w:val="none" w:sz="0" w:space="0" w:color="auto"/>
        <w:left w:val="none" w:sz="0" w:space="0" w:color="auto"/>
        <w:bottom w:val="none" w:sz="0" w:space="0" w:color="auto"/>
        <w:right w:val="none" w:sz="0" w:space="0" w:color="auto"/>
      </w:divBdr>
    </w:div>
    <w:div w:id="1196503686">
      <w:marLeft w:val="0"/>
      <w:marRight w:val="0"/>
      <w:marTop w:val="0"/>
      <w:marBottom w:val="0"/>
      <w:divBdr>
        <w:top w:val="none" w:sz="0" w:space="0" w:color="auto"/>
        <w:left w:val="none" w:sz="0" w:space="0" w:color="auto"/>
        <w:bottom w:val="none" w:sz="0" w:space="0" w:color="auto"/>
        <w:right w:val="none" w:sz="0" w:space="0" w:color="auto"/>
      </w:divBdr>
    </w:div>
    <w:div w:id="1197232395">
      <w:marLeft w:val="0"/>
      <w:marRight w:val="0"/>
      <w:marTop w:val="0"/>
      <w:marBottom w:val="0"/>
      <w:divBdr>
        <w:top w:val="none" w:sz="0" w:space="0" w:color="auto"/>
        <w:left w:val="none" w:sz="0" w:space="0" w:color="auto"/>
        <w:bottom w:val="none" w:sz="0" w:space="0" w:color="auto"/>
        <w:right w:val="none" w:sz="0" w:space="0" w:color="auto"/>
      </w:divBdr>
    </w:div>
    <w:div w:id="1198275531">
      <w:marLeft w:val="0"/>
      <w:marRight w:val="0"/>
      <w:marTop w:val="0"/>
      <w:marBottom w:val="0"/>
      <w:divBdr>
        <w:top w:val="none" w:sz="0" w:space="0" w:color="auto"/>
        <w:left w:val="none" w:sz="0" w:space="0" w:color="auto"/>
        <w:bottom w:val="none" w:sz="0" w:space="0" w:color="auto"/>
        <w:right w:val="none" w:sz="0" w:space="0" w:color="auto"/>
      </w:divBdr>
    </w:div>
    <w:div w:id="1198543397">
      <w:marLeft w:val="0"/>
      <w:marRight w:val="0"/>
      <w:marTop w:val="0"/>
      <w:marBottom w:val="0"/>
      <w:divBdr>
        <w:top w:val="none" w:sz="0" w:space="0" w:color="auto"/>
        <w:left w:val="none" w:sz="0" w:space="0" w:color="auto"/>
        <w:bottom w:val="none" w:sz="0" w:space="0" w:color="auto"/>
        <w:right w:val="none" w:sz="0" w:space="0" w:color="auto"/>
      </w:divBdr>
    </w:div>
    <w:div w:id="1198931289">
      <w:marLeft w:val="0"/>
      <w:marRight w:val="0"/>
      <w:marTop w:val="0"/>
      <w:marBottom w:val="0"/>
      <w:divBdr>
        <w:top w:val="none" w:sz="0" w:space="0" w:color="auto"/>
        <w:left w:val="none" w:sz="0" w:space="0" w:color="auto"/>
        <w:bottom w:val="none" w:sz="0" w:space="0" w:color="auto"/>
        <w:right w:val="none" w:sz="0" w:space="0" w:color="auto"/>
      </w:divBdr>
    </w:div>
    <w:div w:id="1199396859">
      <w:marLeft w:val="0"/>
      <w:marRight w:val="0"/>
      <w:marTop w:val="0"/>
      <w:marBottom w:val="0"/>
      <w:divBdr>
        <w:top w:val="none" w:sz="0" w:space="0" w:color="auto"/>
        <w:left w:val="none" w:sz="0" w:space="0" w:color="auto"/>
        <w:bottom w:val="none" w:sz="0" w:space="0" w:color="auto"/>
        <w:right w:val="none" w:sz="0" w:space="0" w:color="auto"/>
      </w:divBdr>
    </w:div>
    <w:div w:id="1199708676">
      <w:marLeft w:val="0"/>
      <w:marRight w:val="0"/>
      <w:marTop w:val="0"/>
      <w:marBottom w:val="0"/>
      <w:divBdr>
        <w:top w:val="none" w:sz="0" w:space="0" w:color="auto"/>
        <w:left w:val="none" w:sz="0" w:space="0" w:color="auto"/>
        <w:bottom w:val="none" w:sz="0" w:space="0" w:color="auto"/>
        <w:right w:val="none" w:sz="0" w:space="0" w:color="auto"/>
      </w:divBdr>
    </w:div>
    <w:div w:id="1199852470">
      <w:marLeft w:val="0"/>
      <w:marRight w:val="0"/>
      <w:marTop w:val="0"/>
      <w:marBottom w:val="0"/>
      <w:divBdr>
        <w:top w:val="none" w:sz="0" w:space="0" w:color="auto"/>
        <w:left w:val="none" w:sz="0" w:space="0" w:color="auto"/>
        <w:bottom w:val="none" w:sz="0" w:space="0" w:color="auto"/>
        <w:right w:val="none" w:sz="0" w:space="0" w:color="auto"/>
      </w:divBdr>
    </w:div>
    <w:div w:id="1201478770">
      <w:marLeft w:val="0"/>
      <w:marRight w:val="0"/>
      <w:marTop w:val="0"/>
      <w:marBottom w:val="0"/>
      <w:divBdr>
        <w:top w:val="none" w:sz="0" w:space="0" w:color="auto"/>
        <w:left w:val="none" w:sz="0" w:space="0" w:color="auto"/>
        <w:bottom w:val="none" w:sz="0" w:space="0" w:color="auto"/>
        <w:right w:val="none" w:sz="0" w:space="0" w:color="auto"/>
      </w:divBdr>
    </w:div>
    <w:div w:id="1203783399">
      <w:marLeft w:val="0"/>
      <w:marRight w:val="0"/>
      <w:marTop w:val="0"/>
      <w:marBottom w:val="0"/>
      <w:divBdr>
        <w:top w:val="none" w:sz="0" w:space="0" w:color="auto"/>
        <w:left w:val="none" w:sz="0" w:space="0" w:color="auto"/>
        <w:bottom w:val="none" w:sz="0" w:space="0" w:color="auto"/>
        <w:right w:val="none" w:sz="0" w:space="0" w:color="auto"/>
      </w:divBdr>
    </w:div>
    <w:div w:id="1204362114">
      <w:marLeft w:val="0"/>
      <w:marRight w:val="0"/>
      <w:marTop w:val="0"/>
      <w:marBottom w:val="0"/>
      <w:divBdr>
        <w:top w:val="none" w:sz="0" w:space="0" w:color="auto"/>
        <w:left w:val="none" w:sz="0" w:space="0" w:color="auto"/>
        <w:bottom w:val="none" w:sz="0" w:space="0" w:color="auto"/>
        <w:right w:val="none" w:sz="0" w:space="0" w:color="auto"/>
      </w:divBdr>
    </w:div>
    <w:div w:id="1210991358">
      <w:marLeft w:val="0"/>
      <w:marRight w:val="0"/>
      <w:marTop w:val="0"/>
      <w:marBottom w:val="0"/>
      <w:divBdr>
        <w:top w:val="none" w:sz="0" w:space="0" w:color="auto"/>
        <w:left w:val="none" w:sz="0" w:space="0" w:color="auto"/>
        <w:bottom w:val="none" w:sz="0" w:space="0" w:color="auto"/>
        <w:right w:val="none" w:sz="0" w:space="0" w:color="auto"/>
      </w:divBdr>
    </w:div>
    <w:div w:id="1211528412">
      <w:marLeft w:val="0"/>
      <w:marRight w:val="0"/>
      <w:marTop w:val="0"/>
      <w:marBottom w:val="0"/>
      <w:divBdr>
        <w:top w:val="none" w:sz="0" w:space="0" w:color="auto"/>
        <w:left w:val="none" w:sz="0" w:space="0" w:color="auto"/>
        <w:bottom w:val="none" w:sz="0" w:space="0" w:color="auto"/>
        <w:right w:val="none" w:sz="0" w:space="0" w:color="auto"/>
      </w:divBdr>
    </w:div>
    <w:div w:id="1211575469">
      <w:marLeft w:val="0"/>
      <w:marRight w:val="0"/>
      <w:marTop w:val="0"/>
      <w:marBottom w:val="0"/>
      <w:divBdr>
        <w:top w:val="none" w:sz="0" w:space="0" w:color="auto"/>
        <w:left w:val="none" w:sz="0" w:space="0" w:color="auto"/>
        <w:bottom w:val="none" w:sz="0" w:space="0" w:color="auto"/>
        <w:right w:val="none" w:sz="0" w:space="0" w:color="auto"/>
      </w:divBdr>
    </w:div>
    <w:div w:id="1218396047">
      <w:marLeft w:val="0"/>
      <w:marRight w:val="0"/>
      <w:marTop w:val="0"/>
      <w:marBottom w:val="0"/>
      <w:divBdr>
        <w:top w:val="none" w:sz="0" w:space="0" w:color="auto"/>
        <w:left w:val="none" w:sz="0" w:space="0" w:color="auto"/>
        <w:bottom w:val="none" w:sz="0" w:space="0" w:color="auto"/>
        <w:right w:val="none" w:sz="0" w:space="0" w:color="auto"/>
      </w:divBdr>
    </w:div>
    <w:div w:id="1218663686">
      <w:marLeft w:val="0"/>
      <w:marRight w:val="0"/>
      <w:marTop w:val="0"/>
      <w:marBottom w:val="0"/>
      <w:divBdr>
        <w:top w:val="none" w:sz="0" w:space="0" w:color="auto"/>
        <w:left w:val="none" w:sz="0" w:space="0" w:color="auto"/>
        <w:bottom w:val="none" w:sz="0" w:space="0" w:color="auto"/>
        <w:right w:val="none" w:sz="0" w:space="0" w:color="auto"/>
      </w:divBdr>
    </w:div>
    <w:div w:id="1219321490">
      <w:marLeft w:val="0"/>
      <w:marRight w:val="0"/>
      <w:marTop w:val="0"/>
      <w:marBottom w:val="0"/>
      <w:divBdr>
        <w:top w:val="none" w:sz="0" w:space="0" w:color="auto"/>
        <w:left w:val="none" w:sz="0" w:space="0" w:color="auto"/>
        <w:bottom w:val="none" w:sz="0" w:space="0" w:color="auto"/>
        <w:right w:val="none" w:sz="0" w:space="0" w:color="auto"/>
      </w:divBdr>
    </w:div>
    <w:div w:id="1224831788">
      <w:marLeft w:val="0"/>
      <w:marRight w:val="0"/>
      <w:marTop w:val="0"/>
      <w:marBottom w:val="0"/>
      <w:divBdr>
        <w:top w:val="none" w:sz="0" w:space="0" w:color="auto"/>
        <w:left w:val="none" w:sz="0" w:space="0" w:color="auto"/>
        <w:bottom w:val="none" w:sz="0" w:space="0" w:color="auto"/>
        <w:right w:val="none" w:sz="0" w:space="0" w:color="auto"/>
      </w:divBdr>
    </w:div>
    <w:div w:id="1225263628">
      <w:marLeft w:val="0"/>
      <w:marRight w:val="0"/>
      <w:marTop w:val="0"/>
      <w:marBottom w:val="0"/>
      <w:divBdr>
        <w:top w:val="none" w:sz="0" w:space="0" w:color="auto"/>
        <w:left w:val="none" w:sz="0" w:space="0" w:color="auto"/>
        <w:bottom w:val="none" w:sz="0" w:space="0" w:color="auto"/>
        <w:right w:val="none" w:sz="0" w:space="0" w:color="auto"/>
      </w:divBdr>
    </w:div>
    <w:div w:id="1225291401">
      <w:marLeft w:val="0"/>
      <w:marRight w:val="0"/>
      <w:marTop w:val="0"/>
      <w:marBottom w:val="0"/>
      <w:divBdr>
        <w:top w:val="none" w:sz="0" w:space="0" w:color="auto"/>
        <w:left w:val="none" w:sz="0" w:space="0" w:color="auto"/>
        <w:bottom w:val="none" w:sz="0" w:space="0" w:color="auto"/>
        <w:right w:val="none" w:sz="0" w:space="0" w:color="auto"/>
      </w:divBdr>
    </w:div>
    <w:div w:id="1227037064">
      <w:marLeft w:val="0"/>
      <w:marRight w:val="0"/>
      <w:marTop w:val="0"/>
      <w:marBottom w:val="0"/>
      <w:divBdr>
        <w:top w:val="none" w:sz="0" w:space="0" w:color="auto"/>
        <w:left w:val="none" w:sz="0" w:space="0" w:color="auto"/>
        <w:bottom w:val="none" w:sz="0" w:space="0" w:color="auto"/>
        <w:right w:val="none" w:sz="0" w:space="0" w:color="auto"/>
      </w:divBdr>
    </w:div>
    <w:div w:id="1227107602">
      <w:marLeft w:val="0"/>
      <w:marRight w:val="0"/>
      <w:marTop w:val="0"/>
      <w:marBottom w:val="0"/>
      <w:divBdr>
        <w:top w:val="none" w:sz="0" w:space="0" w:color="auto"/>
        <w:left w:val="none" w:sz="0" w:space="0" w:color="auto"/>
        <w:bottom w:val="none" w:sz="0" w:space="0" w:color="auto"/>
        <w:right w:val="none" w:sz="0" w:space="0" w:color="auto"/>
      </w:divBdr>
    </w:div>
    <w:div w:id="1227767733">
      <w:marLeft w:val="0"/>
      <w:marRight w:val="0"/>
      <w:marTop w:val="0"/>
      <w:marBottom w:val="0"/>
      <w:divBdr>
        <w:top w:val="none" w:sz="0" w:space="0" w:color="auto"/>
        <w:left w:val="none" w:sz="0" w:space="0" w:color="auto"/>
        <w:bottom w:val="none" w:sz="0" w:space="0" w:color="auto"/>
        <w:right w:val="none" w:sz="0" w:space="0" w:color="auto"/>
      </w:divBdr>
    </w:div>
    <w:div w:id="1227834384">
      <w:marLeft w:val="0"/>
      <w:marRight w:val="0"/>
      <w:marTop w:val="0"/>
      <w:marBottom w:val="0"/>
      <w:divBdr>
        <w:top w:val="none" w:sz="0" w:space="0" w:color="auto"/>
        <w:left w:val="none" w:sz="0" w:space="0" w:color="auto"/>
        <w:bottom w:val="none" w:sz="0" w:space="0" w:color="auto"/>
        <w:right w:val="none" w:sz="0" w:space="0" w:color="auto"/>
      </w:divBdr>
    </w:div>
    <w:div w:id="1227883531">
      <w:marLeft w:val="0"/>
      <w:marRight w:val="0"/>
      <w:marTop w:val="0"/>
      <w:marBottom w:val="0"/>
      <w:divBdr>
        <w:top w:val="none" w:sz="0" w:space="0" w:color="auto"/>
        <w:left w:val="none" w:sz="0" w:space="0" w:color="auto"/>
        <w:bottom w:val="none" w:sz="0" w:space="0" w:color="auto"/>
        <w:right w:val="none" w:sz="0" w:space="0" w:color="auto"/>
      </w:divBdr>
    </w:div>
    <w:div w:id="1229729925">
      <w:marLeft w:val="0"/>
      <w:marRight w:val="0"/>
      <w:marTop w:val="0"/>
      <w:marBottom w:val="0"/>
      <w:divBdr>
        <w:top w:val="none" w:sz="0" w:space="0" w:color="auto"/>
        <w:left w:val="none" w:sz="0" w:space="0" w:color="auto"/>
        <w:bottom w:val="none" w:sz="0" w:space="0" w:color="auto"/>
        <w:right w:val="none" w:sz="0" w:space="0" w:color="auto"/>
      </w:divBdr>
    </w:div>
    <w:div w:id="1235968130">
      <w:marLeft w:val="0"/>
      <w:marRight w:val="0"/>
      <w:marTop w:val="0"/>
      <w:marBottom w:val="0"/>
      <w:divBdr>
        <w:top w:val="none" w:sz="0" w:space="0" w:color="auto"/>
        <w:left w:val="none" w:sz="0" w:space="0" w:color="auto"/>
        <w:bottom w:val="none" w:sz="0" w:space="0" w:color="auto"/>
        <w:right w:val="none" w:sz="0" w:space="0" w:color="auto"/>
      </w:divBdr>
    </w:div>
    <w:div w:id="1236087594">
      <w:marLeft w:val="0"/>
      <w:marRight w:val="0"/>
      <w:marTop w:val="0"/>
      <w:marBottom w:val="0"/>
      <w:divBdr>
        <w:top w:val="none" w:sz="0" w:space="0" w:color="auto"/>
        <w:left w:val="none" w:sz="0" w:space="0" w:color="auto"/>
        <w:bottom w:val="none" w:sz="0" w:space="0" w:color="auto"/>
        <w:right w:val="none" w:sz="0" w:space="0" w:color="auto"/>
      </w:divBdr>
    </w:div>
    <w:div w:id="1241480740">
      <w:marLeft w:val="0"/>
      <w:marRight w:val="0"/>
      <w:marTop w:val="0"/>
      <w:marBottom w:val="0"/>
      <w:divBdr>
        <w:top w:val="none" w:sz="0" w:space="0" w:color="auto"/>
        <w:left w:val="none" w:sz="0" w:space="0" w:color="auto"/>
        <w:bottom w:val="none" w:sz="0" w:space="0" w:color="auto"/>
        <w:right w:val="none" w:sz="0" w:space="0" w:color="auto"/>
      </w:divBdr>
    </w:div>
    <w:div w:id="1249194431">
      <w:marLeft w:val="0"/>
      <w:marRight w:val="0"/>
      <w:marTop w:val="0"/>
      <w:marBottom w:val="0"/>
      <w:divBdr>
        <w:top w:val="none" w:sz="0" w:space="0" w:color="auto"/>
        <w:left w:val="none" w:sz="0" w:space="0" w:color="auto"/>
        <w:bottom w:val="none" w:sz="0" w:space="0" w:color="auto"/>
        <w:right w:val="none" w:sz="0" w:space="0" w:color="auto"/>
      </w:divBdr>
    </w:div>
    <w:div w:id="1250385475">
      <w:marLeft w:val="0"/>
      <w:marRight w:val="0"/>
      <w:marTop w:val="0"/>
      <w:marBottom w:val="0"/>
      <w:divBdr>
        <w:top w:val="none" w:sz="0" w:space="0" w:color="auto"/>
        <w:left w:val="none" w:sz="0" w:space="0" w:color="auto"/>
        <w:bottom w:val="none" w:sz="0" w:space="0" w:color="auto"/>
        <w:right w:val="none" w:sz="0" w:space="0" w:color="auto"/>
      </w:divBdr>
    </w:div>
    <w:div w:id="1250966699">
      <w:marLeft w:val="0"/>
      <w:marRight w:val="0"/>
      <w:marTop w:val="0"/>
      <w:marBottom w:val="0"/>
      <w:divBdr>
        <w:top w:val="none" w:sz="0" w:space="0" w:color="auto"/>
        <w:left w:val="none" w:sz="0" w:space="0" w:color="auto"/>
        <w:bottom w:val="none" w:sz="0" w:space="0" w:color="auto"/>
        <w:right w:val="none" w:sz="0" w:space="0" w:color="auto"/>
      </w:divBdr>
    </w:div>
    <w:div w:id="1254437888">
      <w:marLeft w:val="0"/>
      <w:marRight w:val="0"/>
      <w:marTop w:val="0"/>
      <w:marBottom w:val="0"/>
      <w:divBdr>
        <w:top w:val="none" w:sz="0" w:space="0" w:color="auto"/>
        <w:left w:val="none" w:sz="0" w:space="0" w:color="auto"/>
        <w:bottom w:val="none" w:sz="0" w:space="0" w:color="auto"/>
        <w:right w:val="none" w:sz="0" w:space="0" w:color="auto"/>
      </w:divBdr>
    </w:div>
    <w:div w:id="1255279604">
      <w:marLeft w:val="0"/>
      <w:marRight w:val="0"/>
      <w:marTop w:val="0"/>
      <w:marBottom w:val="0"/>
      <w:divBdr>
        <w:top w:val="none" w:sz="0" w:space="0" w:color="auto"/>
        <w:left w:val="none" w:sz="0" w:space="0" w:color="auto"/>
        <w:bottom w:val="none" w:sz="0" w:space="0" w:color="auto"/>
        <w:right w:val="none" w:sz="0" w:space="0" w:color="auto"/>
      </w:divBdr>
    </w:div>
    <w:div w:id="1255550350">
      <w:marLeft w:val="0"/>
      <w:marRight w:val="0"/>
      <w:marTop w:val="0"/>
      <w:marBottom w:val="0"/>
      <w:divBdr>
        <w:top w:val="none" w:sz="0" w:space="0" w:color="auto"/>
        <w:left w:val="none" w:sz="0" w:space="0" w:color="auto"/>
        <w:bottom w:val="none" w:sz="0" w:space="0" w:color="auto"/>
        <w:right w:val="none" w:sz="0" w:space="0" w:color="auto"/>
      </w:divBdr>
    </w:div>
    <w:div w:id="1255750471">
      <w:marLeft w:val="0"/>
      <w:marRight w:val="0"/>
      <w:marTop w:val="0"/>
      <w:marBottom w:val="0"/>
      <w:divBdr>
        <w:top w:val="none" w:sz="0" w:space="0" w:color="auto"/>
        <w:left w:val="none" w:sz="0" w:space="0" w:color="auto"/>
        <w:bottom w:val="none" w:sz="0" w:space="0" w:color="auto"/>
        <w:right w:val="none" w:sz="0" w:space="0" w:color="auto"/>
      </w:divBdr>
    </w:div>
    <w:div w:id="1257209723">
      <w:marLeft w:val="0"/>
      <w:marRight w:val="0"/>
      <w:marTop w:val="0"/>
      <w:marBottom w:val="0"/>
      <w:divBdr>
        <w:top w:val="none" w:sz="0" w:space="0" w:color="auto"/>
        <w:left w:val="none" w:sz="0" w:space="0" w:color="auto"/>
        <w:bottom w:val="none" w:sz="0" w:space="0" w:color="auto"/>
        <w:right w:val="none" w:sz="0" w:space="0" w:color="auto"/>
      </w:divBdr>
    </w:div>
    <w:div w:id="1258828096">
      <w:marLeft w:val="0"/>
      <w:marRight w:val="0"/>
      <w:marTop w:val="0"/>
      <w:marBottom w:val="0"/>
      <w:divBdr>
        <w:top w:val="none" w:sz="0" w:space="0" w:color="auto"/>
        <w:left w:val="none" w:sz="0" w:space="0" w:color="auto"/>
        <w:bottom w:val="none" w:sz="0" w:space="0" w:color="auto"/>
        <w:right w:val="none" w:sz="0" w:space="0" w:color="auto"/>
      </w:divBdr>
    </w:div>
    <w:div w:id="1261181468">
      <w:marLeft w:val="0"/>
      <w:marRight w:val="0"/>
      <w:marTop w:val="0"/>
      <w:marBottom w:val="0"/>
      <w:divBdr>
        <w:top w:val="none" w:sz="0" w:space="0" w:color="auto"/>
        <w:left w:val="none" w:sz="0" w:space="0" w:color="auto"/>
        <w:bottom w:val="none" w:sz="0" w:space="0" w:color="auto"/>
        <w:right w:val="none" w:sz="0" w:space="0" w:color="auto"/>
      </w:divBdr>
    </w:div>
    <w:div w:id="1264343405">
      <w:marLeft w:val="0"/>
      <w:marRight w:val="0"/>
      <w:marTop w:val="0"/>
      <w:marBottom w:val="0"/>
      <w:divBdr>
        <w:top w:val="none" w:sz="0" w:space="0" w:color="auto"/>
        <w:left w:val="none" w:sz="0" w:space="0" w:color="auto"/>
        <w:bottom w:val="none" w:sz="0" w:space="0" w:color="auto"/>
        <w:right w:val="none" w:sz="0" w:space="0" w:color="auto"/>
      </w:divBdr>
    </w:div>
    <w:div w:id="1268467246">
      <w:marLeft w:val="0"/>
      <w:marRight w:val="0"/>
      <w:marTop w:val="0"/>
      <w:marBottom w:val="0"/>
      <w:divBdr>
        <w:top w:val="none" w:sz="0" w:space="0" w:color="auto"/>
        <w:left w:val="none" w:sz="0" w:space="0" w:color="auto"/>
        <w:bottom w:val="none" w:sz="0" w:space="0" w:color="auto"/>
        <w:right w:val="none" w:sz="0" w:space="0" w:color="auto"/>
      </w:divBdr>
    </w:div>
    <w:div w:id="1270623383">
      <w:marLeft w:val="0"/>
      <w:marRight w:val="0"/>
      <w:marTop w:val="0"/>
      <w:marBottom w:val="0"/>
      <w:divBdr>
        <w:top w:val="none" w:sz="0" w:space="0" w:color="auto"/>
        <w:left w:val="none" w:sz="0" w:space="0" w:color="auto"/>
        <w:bottom w:val="none" w:sz="0" w:space="0" w:color="auto"/>
        <w:right w:val="none" w:sz="0" w:space="0" w:color="auto"/>
      </w:divBdr>
    </w:div>
    <w:div w:id="1271426523">
      <w:marLeft w:val="0"/>
      <w:marRight w:val="0"/>
      <w:marTop w:val="0"/>
      <w:marBottom w:val="0"/>
      <w:divBdr>
        <w:top w:val="none" w:sz="0" w:space="0" w:color="auto"/>
        <w:left w:val="none" w:sz="0" w:space="0" w:color="auto"/>
        <w:bottom w:val="none" w:sz="0" w:space="0" w:color="auto"/>
        <w:right w:val="none" w:sz="0" w:space="0" w:color="auto"/>
      </w:divBdr>
    </w:div>
    <w:div w:id="1272007173">
      <w:marLeft w:val="0"/>
      <w:marRight w:val="0"/>
      <w:marTop w:val="0"/>
      <w:marBottom w:val="0"/>
      <w:divBdr>
        <w:top w:val="none" w:sz="0" w:space="0" w:color="auto"/>
        <w:left w:val="none" w:sz="0" w:space="0" w:color="auto"/>
        <w:bottom w:val="none" w:sz="0" w:space="0" w:color="auto"/>
        <w:right w:val="none" w:sz="0" w:space="0" w:color="auto"/>
      </w:divBdr>
    </w:div>
    <w:div w:id="1273123667">
      <w:marLeft w:val="0"/>
      <w:marRight w:val="0"/>
      <w:marTop w:val="0"/>
      <w:marBottom w:val="0"/>
      <w:divBdr>
        <w:top w:val="none" w:sz="0" w:space="0" w:color="auto"/>
        <w:left w:val="none" w:sz="0" w:space="0" w:color="auto"/>
        <w:bottom w:val="none" w:sz="0" w:space="0" w:color="auto"/>
        <w:right w:val="none" w:sz="0" w:space="0" w:color="auto"/>
      </w:divBdr>
    </w:div>
    <w:div w:id="1275477809">
      <w:marLeft w:val="0"/>
      <w:marRight w:val="0"/>
      <w:marTop w:val="0"/>
      <w:marBottom w:val="0"/>
      <w:divBdr>
        <w:top w:val="none" w:sz="0" w:space="0" w:color="auto"/>
        <w:left w:val="none" w:sz="0" w:space="0" w:color="auto"/>
        <w:bottom w:val="none" w:sz="0" w:space="0" w:color="auto"/>
        <w:right w:val="none" w:sz="0" w:space="0" w:color="auto"/>
      </w:divBdr>
    </w:div>
    <w:div w:id="1276207885">
      <w:marLeft w:val="0"/>
      <w:marRight w:val="0"/>
      <w:marTop w:val="0"/>
      <w:marBottom w:val="0"/>
      <w:divBdr>
        <w:top w:val="none" w:sz="0" w:space="0" w:color="auto"/>
        <w:left w:val="none" w:sz="0" w:space="0" w:color="auto"/>
        <w:bottom w:val="none" w:sz="0" w:space="0" w:color="auto"/>
        <w:right w:val="none" w:sz="0" w:space="0" w:color="auto"/>
      </w:divBdr>
    </w:div>
    <w:div w:id="1281916724">
      <w:marLeft w:val="0"/>
      <w:marRight w:val="0"/>
      <w:marTop w:val="0"/>
      <w:marBottom w:val="0"/>
      <w:divBdr>
        <w:top w:val="none" w:sz="0" w:space="0" w:color="auto"/>
        <w:left w:val="none" w:sz="0" w:space="0" w:color="auto"/>
        <w:bottom w:val="none" w:sz="0" w:space="0" w:color="auto"/>
        <w:right w:val="none" w:sz="0" w:space="0" w:color="auto"/>
      </w:divBdr>
    </w:div>
    <w:div w:id="1282955642">
      <w:marLeft w:val="0"/>
      <w:marRight w:val="0"/>
      <w:marTop w:val="0"/>
      <w:marBottom w:val="0"/>
      <w:divBdr>
        <w:top w:val="none" w:sz="0" w:space="0" w:color="auto"/>
        <w:left w:val="none" w:sz="0" w:space="0" w:color="auto"/>
        <w:bottom w:val="none" w:sz="0" w:space="0" w:color="auto"/>
        <w:right w:val="none" w:sz="0" w:space="0" w:color="auto"/>
      </w:divBdr>
    </w:div>
    <w:div w:id="1283030822">
      <w:marLeft w:val="0"/>
      <w:marRight w:val="0"/>
      <w:marTop w:val="0"/>
      <w:marBottom w:val="0"/>
      <w:divBdr>
        <w:top w:val="none" w:sz="0" w:space="0" w:color="auto"/>
        <w:left w:val="none" w:sz="0" w:space="0" w:color="auto"/>
        <w:bottom w:val="none" w:sz="0" w:space="0" w:color="auto"/>
        <w:right w:val="none" w:sz="0" w:space="0" w:color="auto"/>
      </w:divBdr>
    </w:div>
    <w:div w:id="1284921531">
      <w:marLeft w:val="0"/>
      <w:marRight w:val="0"/>
      <w:marTop w:val="0"/>
      <w:marBottom w:val="0"/>
      <w:divBdr>
        <w:top w:val="none" w:sz="0" w:space="0" w:color="auto"/>
        <w:left w:val="none" w:sz="0" w:space="0" w:color="auto"/>
        <w:bottom w:val="none" w:sz="0" w:space="0" w:color="auto"/>
        <w:right w:val="none" w:sz="0" w:space="0" w:color="auto"/>
      </w:divBdr>
    </w:div>
    <w:div w:id="1286959700">
      <w:marLeft w:val="0"/>
      <w:marRight w:val="0"/>
      <w:marTop w:val="0"/>
      <w:marBottom w:val="0"/>
      <w:divBdr>
        <w:top w:val="none" w:sz="0" w:space="0" w:color="auto"/>
        <w:left w:val="none" w:sz="0" w:space="0" w:color="auto"/>
        <w:bottom w:val="none" w:sz="0" w:space="0" w:color="auto"/>
        <w:right w:val="none" w:sz="0" w:space="0" w:color="auto"/>
      </w:divBdr>
    </w:div>
    <w:div w:id="1287737383">
      <w:marLeft w:val="0"/>
      <w:marRight w:val="0"/>
      <w:marTop w:val="0"/>
      <w:marBottom w:val="0"/>
      <w:divBdr>
        <w:top w:val="none" w:sz="0" w:space="0" w:color="auto"/>
        <w:left w:val="none" w:sz="0" w:space="0" w:color="auto"/>
        <w:bottom w:val="none" w:sz="0" w:space="0" w:color="auto"/>
        <w:right w:val="none" w:sz="0" w:space="0" w:color="auto"/>
      </w:divBdr>
    </w:div>
    <w:div w:id="1292204076">
      <w:marLeft w:val="0"/>
      <w:marRight w:val="0"/>
      <w:marTop w:val="0"/>
      <w:marBottom w:val="0"/>
      <w:divBdr>
        <w:top w:val="none" w:sz="0" w:space="0" w:color="auto"/>
        <w:left w:val="none" w:sz="0" w:space="0" w:color="auto"/>
        <w:bottom w:val="none" w:sz="0" w:space="0" w:color="auto"/>
        <w:right w:val="none" w:sz="0" w:space="0" w:color="auto"/>
      </w:divBdr>
    </w:div>
    <w:div w:id="1294753064">
      <w:marLeft w:val="0"/>
      <w:marRight w:val="0"/>
      <w:marTop w:val="0"/>
      <w:marBottom w:val="0"/>
      <w:divBdr>
        <w:top w:val="none" w:sz="0" w:space="0" w:color="auto"/>
        <w:left w:val="none" w:sz="0" w:space="0" w:color="auto"/>
        <w:bottom w:val="none" w:sz="0" w:space="0" w:color="auto"/>
        <w:right w:val="none" w:sz="0" w:space="0" w:color="auto"/>
      </w:divBdr>
    </w:div>
    <w:div w:id="1295939582">
      <w:marLeft w:val="0"/>
      <w:marRight w:val="0"/>
      <w:marTop w:val="0"/>
      <w:marBottom w:val="0"/>
      <w:divBdr>
        <w:top w:val="none" w:sz="0" w:space="0" w:color="auto"/>
        <w:left w:val="none" w:sz="0" w:space="0" w:color="auto"/>
        <w:bottom w:val="none" w:sz="0" w:space="0" w:color="auto"/>
        <w:right w:val="none" w:sz="0" w:space="0" w:color="auto"/>
      </w:divBdr>
    </w:div>
    <w:div w:id="1298143422">
      <w:marLeft w:val="0"/>
      <w:marRight w:val="0"/>
      <w:marTop w:val="0"/>
      <w:marBottom w:val="0"/>
      <w:divBdr>
        <w:top w:val="none" w:sz="0" w:space="0" w:color="auto"/>
        <w:left w:val="none" w:sz="0" w:space="0" w:color="auto"/>
        <w:bottom w:val="none" w:sz="0" w:space="0" w:color="auto"/>
        <w:right w:val="none" w:sz="0" w:space="0" w:color="auto"/>
      </w:divBdr>
    </w:div>
    <w:div w:id="1301107888">
      <w:marLeft w:val="0"/>
      <w:marRight w:val="0"/>
      <w:marTop w:val="0"/>
      <w:marBottom w:val="0"/>
      <w:divBdr>
        <w:top w:val="none" w:sz="0" w:space="0" w:color="auto"/>
        <w:left w:val="none" w:sz="0" w:space="0" w:color="auto"/>
        <w:bottom w:val="none" w:sz="0" w:space="0" w:color="auto"/>
        <w:right w:val="none" w:sz="0" w:space="0" w:color="auto"/>
      </w:divBdr>
    </w:div>
    <w:div w:id="1301501558">
      <w:marLeft w:val="0"/>
      <w:marRight w:val="0"/>
      <w:marTop w:val="0"/>
      <w:marBottom w:val="0"/>
      <w:divBdr>
        <w:top w:val="none" w:sz="0" w:space="0" w:color="auto"/>
        <w:left w:val="none" w:sz="0" w:space="0" w:color="auto"/>
        <w:bottom w:val="none" w:sz="0" w:space="0" w:color="auto"/>
        <w:right w:val="none" w:sz="0" w:space="0" w:color="auto"/>
      </w:divBdr>
    </w:div>
    <w:div w:id="1302661180">
      <w:marLeft w:val="0"/>
      <w:marRight w:val="0"/>
      <w:marTop w:val="0"/>
      <w:marBottom w:val="0"/>
      <w:divBdr>
        <w:top w:val="none" w:sz="0" w:space="0" w:color="auto"/>
        <w:left w:val="none" w:sz="0" w:space="0" w:color="auto"/>
        <w:bottom w:val="none" w:sz="0" w:space="0" w:color="auto"/>
        <w:right w:val="none" w:sz="0" w:space="0" w:color="auto"/>
      </w:divBdr>
    </w:div>
    <w:div w:id="1302811036">
      <w:marLeft w:val="0"/>
      <w:marRight w:val="0"/>
      <w:marTop w:val="0"/>
      <w:marBottom w:val="0"/>
      <w:divBdr>
        <w:top w:val="none" w:sz="0" w:space="0" w:color="auto"/>
        <w:left w:val="none" w:sz="0" w:space="0" w:color="auto"/>
        <w:bottom w:val="none" w:sz="0" w:space="0" w:color="auto"/>
        <w:right w:val="none" w:sz="0" w:space="0" w:color="auto"/>
      </w:divBdr>
    </w:div>
    <w:div w:id="1303461616">
      <w:marLeft w:val="0"/>
      <w:marRight w:val="0"/>
      <w:marTop w:val="0"/>
      <w:marBottom w:val="0"/>
      <w:divBdr>
        <w:top w:val="none" w:sz="0" w:space="0" w:color="auto"/>
        <w:left w:val="none" w:sz="0" w:space="0" w:color="auto"/>
        <w:bottom w:val="none" w:sz="0" w:space="0" w:color="auto"/>
        <w:right w:val="none" w:sz="0" w:space="0" w:color="auto"/>
      </w:divBdr>
    </w:div>
    <w:div w:id="1305115930">
      <w:marLeft w:val="0"/>
      <w:marRight w:val="0"/>
      <w:marTop w:val="0"/>
      <w:marBottom w:val="0"/>
      <w:divBdr>
        <w:top w:val="none" w:sz="0" w:space="0" w:color="auto"/>
        <w:left w:val="none" w:sz="0" w:space="0" w:color="auto"/>
        <w:bottom w:val="none" w:sz="0" w:space="0" w:color="auto"/>
        <w:right w:val="none" w:sz="0" w:space="0" w:color="auto"/>
      </w:divBdr>
    </w:div>
    <w:div w:id="1310019476">
      <w:marLeft w:val="0"/>
      <w:marRight w:val="0"/>
      <w:marTop w:val="0"/>
      <w:marBottom w:val="0"/>
      <w:divBdr>
        <w:top w:val="none" w:sz="0" w:space="0" w:color="auto"/>
        <w:left w:val="none" w:sz="0" w:space="0" w:color="auto"/>
        <w:bottom w:val="none" w:sz="0" w:space="0" w:color="auto"/>
        <w:right w:val="none" w:sz="0" w:space="0" w:color="auto"/>
      </w:divBdr>
    </w:div>
    <w:div w:id="1310593146">
      <w:marLeft w:val="0"/>
      <w:marRight w:val="0"/>
      <w:marTop w:val="0"/>
      <w:marBottom w:val="0"/>
      <w:divBdr>
        <w:top w:val="none" w:sz="0" w:space="0" w:color="auto"/>
        <w:left w:val="none" w:sz="0" w:space="0" w:color="auto"/>
        <w:bottom w:val="none" w:sz="0" w:space="0" w:color="auto"/>
        <w:right w:val="none" w:sz="0" w:space="0" w:color="auto"/>
      </w:divBdr>
    </w:div>
    <w:div w:id="1310599064">
      <w:marLeft w:val="0"/>
      <w:marRight w:val="0"/>
      <w:marTop w:val="0"/>
      <w:marBottom w:val="0"/>
      <w:divBdr>
        <w:top w:val="none" w:sz="0" w:space="0" w:color="auto"/>
        <w:left w:val="none" w:sz="0" w:space="0" w:color="auto"/>
        <w:bottom w:val="none" w:sz="0" w:space="0" w:color="auto"/>
        <w:right w:val="none" w:sz="0" w:space="0" w:color="auto"/>
      </w:divBdr>
    </w:div>
    <w:div w:id="1312171687">
      <w:marLeft w:val="0"/>
      <w:marRight w:val="0"/>
      <w:marTop w:val="0"/>
      <w:marBottom w:val="0"/>
      <w:divBdr>
        <w:top w:val="none" w:sz="0" w:space="0" w:color="auto"/>
        <w:left w:val="none" w:sz="0" w:space="0" w:color="auto"/>
        <w:bottom w:val="none" w:sz="0" w:space="0" w:color="auto"/>
        <w:right w:val="none" w:sz="0" w:space="0" w:color="auto"/>
      </w:divBdr>
    </w:div>
    <w:div w:id="1314288954">
      <w:marLeft w:val="0"/>
      <w:marRight w:val="0"/>
      <w:marTop w:val="0"/>
      <w:marBottom w:val="0"/>
      <w:divBdr>
        <w:top w:val="none" w:sz="0" w:space="0" w:color="auto"/>
        <w:left w:val="none" w:sz="0" w:space="0" w:color="auto"/>
        <w:bottom w:val="none" w:sz="0" w:space="0" w:color="auto"/>
        <w:right w:val="none" w:sz="0" w:space="0" w:color="auto"/>
      </w:divBdr>
    </w:div>
    <w:div w:id="1317806684">
      <w:marLeft w:val="0"/>
      <w:marRight w:val="0"/>
      <w:marTop w:val="0"/>
      <w:marBottom w:val="0"/>
      <w:divBdr>
        <w:top w:val="none" w:sz="0" w:space="0" w:color="auto"/>
        <w:left w:val="none" w:sz="0" w:space="0" w:color="auto"/>
        <w:bottom w:val="none" w:sz="0" w:space="0" w:color="auto"/>
        <w:right w:val="none" w:sz="0" w:space="0" w:color="auto"/>
      </w:divBdr>
    </w:div>
    <w:div w:id="1318532051">
      <w:marLeft w:val="0"/>
      <w:marRight w:val="0"/>
      <w:marTop w:val="0"/>
      <w:marBottom w:val="0"/>
      <w:divBdr>
        <w:top w:val="none" w:sz="0" w:space="0" w:color="auto"/>
        <w:left w:val="none" w:sz="0" w:space="0" w:color="auto"/>
        <w:bottom w:val="none" w:sz="0" w:space="0" w:color="auto"/>
        <w:right w:val="none" w:sz="0" w:space="0" w:color="auto"/>
      </w:divBdr>
    </w:div>
    <w:div w:id="1321732883">
      <w:marLeft w:val="0"/>
      <w:marRight w:val="0"/>
      <w:marTop w:val="0"/>
      <w:marBottom w:val="0"/>
      <w:divBdr>
        <w:top w:val="none" w:sz="0" w:space="0" w:color="auto"/>
        <w:left w:val="none" w:sz="0" w:space="0" w:color="auto"/>
        <w:bottom w:val="none" w:sz="0" w:space="0" w:color="auto"/>
        <w:right w:val="none" w:sz="0" w:space="0" w:color="auto"/>
      </w:divBdr>
    </w:div>
    <w:div w:id="1325401178">
      <w:marLeft w:val="0"/>
      <w:marRight w:val="0"/>
      <w:marTop w:val="0"/>
      <w:marBottom w:val="0"/>
      <w:divBdr>
        <w:top w:val="none" w:sz="0" w:space="0" w:color="auto"/>
        <w:left w:val="none" w:sz="0" w:space="0" w:color="auto"/>
        <w:bottom w:val="none" w:sz="0" w:space="0" w:color="auto"/>
        <w:right w:val="none" w:sz="0" w:space="0" w:color="auto"/>
      </w:divBdr>
    </w:div>
    <w:div w:id="1327897708">
      <w:marLeft w:val="0"/>
      <w:marRight w:val="0"/>
      <w:marTop w:val="0"/>
      <w:marBottom w:val="0"/>
      <w:divBdr>
        <w:top w:val="none" w:sz="0" w:space="0" w:color="auto"/>
        <w:left w:val="none" w:sz="0" w:space="0" w:color="auto"/>
        <w:bottom w:val="none" w:sz="0" w:space="0" w:color="auto"/>
        <w:right w:val="none" w:sz="0" w:space="0" w:color="auto"/>
      </w:divBdr>
    </w:div>
    <w:div w:id="1328510919">
      <w:marLeft w:val="0"/>
      <w:marRight w:val="0"/>
      <w:marTop w:val="0"/>
      <w:marBottom w:val="0"/>
      <w:divBdr>
        <w:top w:val="none" w:sz="0" w:space="0" w:color="auto"/>
        <w:left w:val="none" w:sz="0" w:space="0" w:color="auto"/>
        <w:bottom w:val="none" w:sz="0" w:space="0" w:color="auto"/>
        <w:right w:val="none" w:sz="0" w:space="0" w:color="auto"/>
      </w:divBdr>
    </w:div>
    <w:div w:id="1329284057">
      <w:marLeft w:val="0"/>
      <w:marRight w:val="0"/>
      <w:marTop w:val="0"/>
      <w:marBottom w:val="0"/>
      <w:divBdr>
        <w:top w:val="none" w:sz="0" w:space="0" w:color="auto"/>
        <w:left w:val="none" w:sz="0" w:space="0" w:color="auto"/>
        <w:bottom w:val="none" w:sz="0" w:space="0" w:color="auto"/>
        <w:right w:val="none" w:sz="0" w:space="0" w:color="auto"/>
      </w:divBdr>
    </w:div>
    <w:div w:id="1331642426">
      <w:marLeft w:val="0"/>
      <w:marRight w:val="0"/>
      <w:marTop w:val="0"/>
      <w:marBottom w:val="0"/>
      <w:divBdr>
        <w:top w:val="none" w:sz="0" w:space="0" w:color="auto"/>
        <w:left w:val="none" w:sz="0" w:space="0" w:color="auto"/>
        <w:bottom w:val="none" w:sz="0" w:space="0" w:color="auto"/>
        <w:right w:val="none" w:sz="0" w:space="0" w:color="auto"/>
      </w:divBdr>
    </w:div>
    <w:div w:id="1335961698">
      <w:marLeft w:val="0"/>
      <w:marRight w:val="0"/>
      <w:marTop w:val="0"/>
      <w:marBottom w:val="0"/>
      <w:divBdr>
        <w:top w:val="none" w:sz="0" w:space="0" w:color="auto"/>
        <w:left w:val="none" w:sz="0" w:space="0" w:color="auto"/>
        <w:bottom w:val="none" w:sz="0" w:space="0" w:color="auto"/>
        <w:right w:val="none" w:sz="0" w:space="0" w:color="auto"/>
      </w:divBdr>
    </w:div>
    <w:div w:id="1337920347">
      <w:marLeft w:val="0"/>
      <w:marRight w:val="0"/>
      <w:marTop w:val="0"/>
      <w:marBottom w:val="0"/>
      <w:divBdr>
        <w:top w:val="none" w:sz="0" w:space="0" w:color="auto"/>
        <w:left w:val="none" w:sz="0" w:space="0" w:color="auto"/>
        <w:bottom w:val="none" w:sz="0" w:space="0" w:color="auto"/>
        <w:right w:val="none" w:sz="0" w:space="0" w:color="auto"/>
      </w:divBdr>
    </w:div>
    <w:div w:id="1343317214">
      <w:marLeft w:val="0"/>
      <w:marRight w:val="0"/>
      <w:marTop w:val="0"/>
      <w:marBottom w:val="0"/>
      <w:divBdr>
        <w:top w:val="none" w:sz="0" w:space="0" w:color="auto"/>
        <w:left w:val="none" w:sz="0" w:space="0" w:color="auto"/>
        <w:bottom w:val="none" w:sz="0" w:space="0" w:color="auto"/>
        <w:right w:val="none" w:sz="0" w:space="0" w:color="auto"/>
      </w:divBdr>
    </w:div>
    <w:div w:id="1348025968">
      <w:marLeft w:val="0"/>
      <w:marRight w:val="0"/>
      <w:marTop w:val="0"/>
      <w:marBottom w:val="0"/>
      <w:divBdr>
        <w:top w:val="none" w:sz="0" w:space="0" w:color="auto"/>
        <w:left w:val="none" w:sz="0" w:space="0" w:color="auto"/>
        <w:bottom w:val="none" w:sz="0" w:space="0" w:color="auto"/>
        <w:right w:val="none" w:sz="0" w:space="0" w:color="auto"/>
      </w:divBdr>
    </w:div>
    <w:div w:id="1355379160">
      <w:marLeft w:val="0"/>
      <w:marRight w:val="0"/>
      <w:marTop w:val="0"/>
      <w:marBottom w:val="0"/>
      <w:divBdr>
        <w:top w:val="none" w:sz="0" w:space="0" w:color="auto"/>
        <w:left w:val="none" w:sz="0" w:space="0" w:color="auto"/>
        <w:bottom w:val="none" w:sz="0" w:space="0" w:color="auto"/>
        <w:right w:val="none" w:sz="0" w:space="0" w:color="auto"/>
      </w:divBdr>
    </w:div>
    <w:div w:id="1355423244">
      <w:marLeft w:val="0"/>
      <w:marRight w:val="0"/>
      <w:marTop w:val="0"/>
      <w:marBottom w:val="0"/>
      <w:divBdr>
        <w:top w:val="none" w:sz="0" w:space="0" w:color="auto"/>
        <w:left w:val="none" w:sz="0" w:space="0" w:color="auto"/>
        <w:bottom w:val="none" w:sz="0" w:space="0" w:color="auto"/>
        <w:right w:val="none" w:sz="0" w:space="0" w:color="auto"/>
      </w:divBdr>
    </w:div>
    <w:div w:id="1356424437">
      <w:marLeft w:val="0"/>
      <w:marRight w:val="0"/>
      <w:marTop w:val="0"/>
      <w:marBottom w:val="0"/>
      <w:divBdr>
        <w:top w:val="none" w:sz="0" w:space="0" w:color="auto"/>
        <w:left w:val="none" w:sz="0" w:space="0" w:color="auto"/>
        <w:bottom w:val="none" w:sz="0" w:space="0" w:color="auto"/>
        <w:right w:val="none" w:sz="0" w:space="0" w:color="auto"/>
      </w:divBdr>
    </w:div>
    <w:div w:id="1356496043">
      <w:marLeft w:val="0"/>
      <w:marRight w:val="0"/>
      <w:marTop w:val="0"/>
      <w:marBottom w:val="0"/>
      <w:divBdr>
        <w:top w:val="none" w:sz="0" w:space="0" w:color="auto"/>
        <w:left w:val="none" w:sz="0" w:space="0" w:color="auto"/>
        <w:bottom w:val="none" w:sz="0" w:space="0" w:color="auto"/>
        <w:right w:val="none" w:sz="0" w:space="0" w:color="auto"/>
      </w:divBdr>
    </w:div>
    <w:div w:id="1358893806">
      <w:marLeft w:val="0"/>
      <w:marRight w:val="0"/>
      <w:marTop w:val="0"/>
      <w:marBottom w:val="0"/>
      <w:divBdr>
        <w:top w:val="none" w:sz="0" w:space="0" w:color="auto"/>
        <w:left w:val="none" w:sz="0" w:space="0" w:color="auto"/>
        <w:bottom w:val="none" w:sz="0" w:space="0" w:color="auto"/>
        <w:right w:val="none" w:sz="0" w:space="0" w:color="auto"/>
      </w:divBdr>
    </w:div>
    <w:div w:id="1360156161">
      <w:marLeft w:val="0"/>
      <w:marRight w:val="0"/>
      <w:marTop w:val="0"/>
      <w:marBottom w:val="0"/>
      <w:divBdr>
        <w:top w:val="none" w:sz="0" w:space="0" w:color="auto"/>
        <w:left w:val="none" w:sz="0" w:space="0" w:color="auto"/>
        <w:bottom w:val="none" w:sz="0" w:space="0" w:color="auto"/>
        <w:right w:val="none" w:sz="0" w:space="0" w:color="auto"/>
      </w:divBdr>
    </w:div>
    <w:div w:id="1361394634">
      <w:marLeft w:val="0"/>
      <w:marRight w:val="0"/>
      <w:marTop w:val="0"/>
      <w:marBottom w:val="0"/>
      <w:divBdr>
        <w:top w:val="none" w:sz="0" w:space="0" w:color="auto"/>
        <w:left w:val="none" w:sz="0" w:space="0" w:color="auto"/>
        <w:bottom w:val="none" w:sz="0" w:space="0" w:color="auto"/>
        <w:right w:val="none" w:sz="0" w:space="0" w:color="auto"/>
      </w:divBdr>
    </w:div>
    <w:div w:id="1364087444">
      <w:marLeft w:val="0"/>
      <w:marRight w:val="0"/>
      <w:marTop w:val="0"/>
      <w:marBottom w:val="0"/>
      <w:divBdr>
        <w:top w:val="none" w:sz="0" w:space="0" w:color="auto"/>
        <w:left w:val="none" w:sz="0" w:space="0" w:color="auto"/>
        <w:bottom w:val="none" w:sz="0" w:space="0" w:color="auto"/>
        <w:right w:val="none" w:sz="0" w:space="0" w:color="auto"/>
      </w:divBdr>
    </w:div>
    <w:div w:id="1365980095">
      <w:marLeft w:val="0"/>
      <w:marRight w:val="0"/>
      <w:marTop w:val="0"/>
      <w:marBottom w:val="0"/>
      <w:divBdr>
        <w:top w:val="none" w:sz="0" w:space="0" w:color="auto"/>
        <w:left w:val="none" w:sz="0" w:space="0" w:color="auto"/>
        <w:bottom w:val="none" w:sz="0" w:space="0" w:color="auto"/>
        <w:right w:val="none" w:sz="0" w:space="0" w:color="auto"/>
      </w:divBdr>
    </w:div>
    <w:div w:id="1367218065">
      <w:marLeft w:val="0"/>
      <w:marRight w:val="0"/>
      <w:marTop w:val="0"/>
      <w:marBottom w:val="0"/>
      <w:divBdr>
        <w:top w:val="none" w:sz="0" w:space="0" w:color="auto"/>
        <w:left w:val="none" w:sz="0" w:space="0" w:color="auto"/>
        <w:bottom w:val="none" w:sz="0" w:space="0" w:color="auto"/>
        <w:right w:val="none" w:sz="0" w:space="0" w:color="auto"/>
      </w:divBdr>
    </w:div>
    <w:div w:id="1372534581">
      <w:marLeft w:val="0"/>
      <w:marRight w:val="0"/>
      <w:marTop w:val="0"/>
      <w:marBottom w:val="0"/>
      <w:divBdr>
        <w:top w:val="none" w:sz="0" w:space="0" w:color="auto"/>
        <w:left w:val="none" w:sz="0" w:space="0" w:color="auto"/>
        <w:bottom w:val="none" w:sz="0" w:space="0" w:color="auto"/>
        <w:right w:val="none" w:sz="0" w:space="0" w:color="auto"/>
      </w:divBdr>
    </w:div>
    <w:div w:id="1375427502">
      <w:marLeft w:val="0"/>
      <w:marRight w:val="0"/>
      <w:marTop w:val="0"/>
      <w:marBottom w:val="0"/>
      <w:divBdr>
        <w:top w:val="none" w:sz="0" w:space="0" w:color="auto"/>
        <w:left w:val="none" w:sz="0" w:space="0" w:color="auto"/>
        <w:bottom w:val="none" w:sz="0" w:space="0" w:color="auto"/>
        <w:right w:val="none" w:sz="0" w:space="0" w:color="auto"/>
      </w:divBdr>
    </w:div>
    <w:div w:id="1375619845">
      <w:marLeft w:val="0"/>
      <w:marRight w:val="0"/>
      <w:marTop w:val="0"/>
      <w:marBottom w:val="0"/>
      <w:divBdr>
        <w:top w:val="none" w:sz="0" w:space="0" w:color="auto"/>
        <w:left w:val="none" w:sz="0" w:space="0" w:color="auto"/>
        <w:bottom w:val="none" w:sz="0" w:space="0" w:color="auto"/>
        <w:right w:val="none" w:sz="0" w:space="0" w:color="auto"/>
      </w:divBdr>
    </w:div>
    <w:div w:id="1376465356">
      <w:marLeft w:val="0"/>
      <w:marRight w:val="0"/>
      <w:marTop w:val="0"/>
      <w:marBottom w:val="0"/>
      <w:divBdr>
        <w:top w:val="none" w:sz="0" w:space="0" w:color="auto"/>
        <w:left w:val="none" w:sz="0" w:space="0" w:color="auto"/>
        <w:bottom w:val="none" w:sz="0" w:space="0" w:color="auto"/>
        <w:right w:val="none" w:sz="0" w:space="0" w:color="auto"/>
      </w:divBdr>
    </w:div>
    <w:div w:id="1384672590">
      <w:marLeft w:val="0"/>
      <w:marRight w:val="0"/>
      <w:marTop w:val="0"/>
      <w:marBottom w:val="0"/>
      <w:divBdr>
        <w:top w:val="none" w:sz="0" w:space="0" w:color="auto"/>
        <w:left w:val="none" w:sz="0" w:space="0" w:color="auto"/>
        <w:bottom w:val="none" w:sz="0" w:space="0" w:color="auto"/>
        <w:right w:val="none" w:sz="0" w:space="0" w:color="auto"/>
      </w:divBdr>
    </w:div>
    <w:div w:id="1384868386">
      <w:marLeft w:val="0"/>
      <w:marRight w:val="0"/>
      <w:marTop w:val="0"/>
      <w:marBottom w:val="0"/>
      <w:divBdr>
        <w:top w:val="none" w:sz="0" w:space="0" w:color="auto"/>
        <w:left w:val="none" w:sz="0" w:space="0" w:color="auto"/>
        <w:bottom w:val="none" w:sz="0" w:space="0" w:color="auto"/>
        <w:right w:val="none" w:sz="0" w:space="0" w:color="auto"/>
      </w:divBdr>
    </w:div>
    <w:div w:id="1387021910">
      <w:marLeft w:val="0"/>
      <w:marRight w:val="0"/>
      <w:marTop w:val="0"/>
      <w:marBottom w:val="0"/>
      <w:divBdr>
        <w:top w:val="none" w:sz="0" w:space="0" w:color="auto"/>
        <w:left w:val="none" w:sz="0" w:space="0" w:color="auto"/>
        <w:bottom w:val="none" w:sz="0" w:space="0" w:color="auto"/>
        <w:right w:val="none" w:sz="0" w:space="0" w:color="auto"/>
      </w:divBdr>
    </w:div>
    <w:div w:id="1387147315">
      <w:marLeft w:val="0"/>
      <w:marRight w:val="0"/>
      <w:marTop w:val="0"/>
      <w:marBottom w:val="0"/>
      <w:divBdr>
        <w:top w:val="none" w:sz="0" w:space="0" w:color="auto"/>
        <w:left w:val="none" w:sz="0" w:space="0" w:color="auto"/>
        <w:bottom w:val="none" w:sz="0" w:space="0" w:color="auto"/>
        <w:right w:val="none" w:sz="0" w:space="0" w:color="auto"/>
      </w:divBdr>
    </w:div>
    <w:div w:id="1387334408">
      <w:marLeft w:val="0"/>
      <w:marRight w:val="0"/>
      <w:marTop w:val="0"/>
      <w:marBottom w:val="0"/>
      <w:divBdr>
        <w:top w:val="none" w:sz="0" w:space="0" w:color="auto"/>
        <w:left w:val="none" w:sz="0" w:space="0" w:color="auto"/>
        <w:bottom w:val="none" w:sz="0" w:space="0" w:color="auto"/>
        <w:right w:val="none" w:sz="0" w:space="0" w:color="auto"/>
      </w:divBdr>
    </w:div>
    <w:div w:id="1388456334">
      <w:marLeft w:val="0"/>
      <w:marRight w:val="0"/>
      <w:marTop w:val="0"/>
      <w:marBottom w:val="0"/>
      <w:divBdr>
        <w:top w:val="none" w:sz="0" w:space="0" w:color="auto"/>
        <w:left w:val="none" w:sz="0" w:space="0" w:color="auto"/>
        <w:bottom w:val="none" w:sz="0" w:space="0" w:color="auto"/>
        <w:right w:val="none" w:sz="0" w:space="0" w:color="auto"/>
      </w:divBdr>
    </w:div>
    <w:div w:id="1388913973">
      <w:marLeft w:val="0"/>
      <w:marRight w:val="0"/>
      <w:marTop w:val="0"/>
      <w:marBottom w:val="0"/>
      <w:divBdr>
        <w:top w:val="none" w:sz="0" w:space="0" w:color="auto"/>
        <w:left w:val="none" w:sz="0" w:space="0" w:color="auto"/>
        <w:bottom w:val="none" w:sz="0" w:space="0" w:color="auto"/>
        <w:right w:val="none" w:sz="0" w:space="0" w:color="auto"/>
      </w:divBdr>
    </w:div>
    <w:div w:id="1389453565">
      <w:marLeft w:val="0"/>
      <w:marRight w:val="0"/>
      <w:marTop w:val="0"/>
      <w:marBottom w:val="0"/>
      <w:divBdr>
        <w:top w:val="none" w:sz="0" w:space="0" w:color="auto"/>
        <w:left w:val="none" w:sz="0" w:space="0" w:color="auto"/>
        <w:bottom w:val="none" w:sz="0" w:space="0" w:color="auto"/>
        <w:right w:val="none" w:sz="0" w:space="0" w:color="auto"/>
      </w:divBdr>
    </w:div>
    <w:div w:id="1391538244">
      <w:marLeft w:val="0"/>
      <w:marRight w:val="0"/>
      <w:marTop w:val="0"/>
      <w:marBottom w:val="0"/>
      <w:divBdr>
        <w:top w:val="none" w:sz="0" w:space="0" w:color="auto"/>
        <w:left w:val="none" w:sz="0" w:space="0" w:color="auto"/>
        <w:bottom w:val="none" w:sz="0" w:space="0" w:color="auto"/>
        <w:right w:val="none" w:sz="0" w:space="0" w:color="auto"/>
      </w:divBdr>
    </w:div>
    <w:div w:id="1392384804">
      <w:marLeft w:val="0"/>
      <w:marRight w:val="0"/>
      <w:marTop w:val="0"/>
      <w:marBottom w:val="0"/>
      <w:divBdr>
        <w:top w:val="none" w:sz="0" w:space="0" w:color="auto"/>
        <w:left w:val="none" w:sz="0" w:space="0" w:color="auto"/>
        <w:bottom w:val="none" w:sz="0" w:space="0" w:color="auto"/>
        <w:right w:val="none" w:sz="0" w:space="0" w:color="auto"/>
      </w:divBdr>
    </w:div>
    <w:div w:id="1395616460">
      <w:marLeft w:val="0"/>
      <w:marRight w:val="0"/>
      <w:marTop w:val="0"/>
      <w:marBottom w:val="0"/>
      <w:divBdr>
        <w:top w:val="none" w:sz="0" w:space="0" w:color="auto"/>
        <w:left w:val="none" w:sz="0" w:space="0" w:color="auto"/>
        <w:bottom w:val="none" w:sz="0" w:space="0" w:color="auto"/>
        <w:right w:val="none" w:sz="0" w:space="0" w:color="auto"/>
      </w:divBdr>
    </w:div>
    <w:div w:id="1396976258">
      <w:marLeft w:val="0"/>
      <w:marRight w:val="0"/>
      <w:marTop w:val="0"/>
      <w:marBottom w:val="0"/>
      <w:divBdr>
        <w:top w:val="none" w:sz="0" w:space="0" w:color="auto"/>
        <w:left w:val="none" w:sz="0" w:space="0" w:color="auto"/>
        <w:bottom w:val="none" w:sz="0" w:space="0" w:color="auto"/>
        <w:right w:val="none" w:sz="0" w:space="0" w:color="auto"/>
      </w:divBdr>
    </w:div>
    <w:div w:id="1399476469">
      <w:marLeft w:val="0"/>
      <w:marRight w:val="0"/>
      <w:marTop w:val="0"/>
      <w:marBottom w:val="0"/>
      <w:divBdr>
        <w:top w:val="none" w:sz="0" w:space="0" w:color="auto"/>
        <w:left w:val="none" w:sz="0" w:space="0" w:color="auto"/>
        <w:bottom w:val="none" w:sz="0" w:space="0" w:color="auto"/>
        <w:right w:val="none" w:sz="0" w:space="0" w:color="auto"/>
      </w:divBdr>
    </w:div>
    <w:div w:id="1402481496">
      <w:marLeft w:val="0"/>
      <w:marRight w:val="0"/>
      <w:marTop w:val="0"/>
      <w:marBottom w:val="0"/>
      <w:divBdr>
        <w:top w:val="none" w:sz="0" w:space="0" w:color="auto"/>
        <w:left w:val="none" w:sz="0" w:space="0" w:color="auto"/>
        <w:bottom w:val="none" w:sz="0" w:space="0" w:color="auto"/>
        <w:right w:val="none" w:sz="0" w:space="0" w:color="auto"/>
      </w:divBdr>
    </w:div>
    <w:div w:id="1403335379">
      <w:marLeft w:val="0"/>
      <w:marRight w:val="0"/>
      <w:marTop w:val="0"/>
      <w:marBottom w:val="0"/>
      <w:divBdr>
        <w:top w:val="none" w:sz="0" w:space="0" w:color="auto"/>
        <w:left w:val="none" w:sz="0" w:space="0" w:color="auto"/>
        <w:bottom w:val="none" w:sz="0" w:space="0" w:color="auto"/>
        <w:right w:val="none" w:sz="0" w:space="0" w:color="auto"/>
      </w:divBdr>
    </w:div>
    <w:div w:id="1408383375">
      <w:marLeft w:val="0"/>
      <w:marRight w:val="0"/>
      <w:marTop w:val="0"/>
      <w:marBottom w:val="0"/>
      <w:divBdr>
        <w:top w:val="none" w:sz="0" w:space="0" w:color="auto"/>
        <w:left w:val="none" w:sz="0" w:space="0" w:color="auto"/>
        <w:bottom w:val="none" w:sz="0" w:space="0" w:color="auto"/>
        <w:right w:val="none" w:sz="0" w:space="0" w:color="auto"/>
      </w:divBdr>
    </w:div>
    <w:div w:id="1415740031">
      <w:marLeft w:val="0"/>
      <w:marRight w:val="0"/>
      <w:marTop w:val="0"/>
      <w:marBottom w:val="0"/>
      <w:divBdr>
        <w:top w:val="none" w:sz="0" w:space="0" w:color="auto"/>
        <w:left w:val="none" w:sz="0" w:space="0" w:color="auto"/>
        <w:bottom w:val="none" w:sz="0" w:space="0" w:color="auto"/>
        <w:right w:val="none" w:sz="0" w:space="0" w:color="auto"/>
      </w:divBdr>
    </w:div>
    <w:div w:id="1424297072">
      <w:marLeft w:val="0"/>
      <w:marRight w:val="0"/>
      <w:marTop w:val="0"/>
      <w:marBottom w:val="0"/>
      <w:divBdr>
        <w:top w:val="none" w:sz="0" w:space="0" w:color="auto"/>
        <w:left w:val="none" w:sz="0" w:space="0" w:color="auto"/>
        <w:bottom w:val="none" w:sz="0" w:space="0" w:color="auto"/>
        <w:right w:val="none" w:sz="0" w:space="0" w:color="auto"/>
      </w:divBdr>
    </w:div>
    <w:div w:id="1427386489">
      <w:marLeft w:val="0"/>
      <w:marRight w:val="0"/>
      <w:marTop w:val="0"/>
      <w:marBottom w:val="0"/>
      <w:divBdr>
        <w:top w:val="none" w:sz="0" w:space="0" w:color="auto"/>
        <w:left w:val="none" w:sz="0" w:space="0" w:color="auto"/>
        <w:bottom w:val="none" w:sz="0" w:space="0" w:color="auto"/>
        <w:right w:val="none" w:sz="0" w:space="0" w:color="auto"/>
      </w:divBdr>
    </w:div>
    <w:div w:id="1427965202">
      <w:marLeft w:val="0"/>
      <w:marRight w:val="0"/>
      <w:marTop w:val="0"/>
      <w:marBottom w:val="0"/>
      <w:divBdr>
        <w:top w:val="none" w:sz="0" w:space="0" w:color="auto"/>
        <w:left w:val="none" w:sz="0" w:space="0" w:color="auto"/>
        <w:bottom w:val="none" w:sz="0" w:space="0" w:color="auto"/>
        <w:right w:val="none" w:sz="0" w:space="0" w:color="auto"/>
      </w:divBdr>
    </w:div>
    <w:div w:id="1428845076">
      <w:marLeft w:val="0"/>
      <w:marRight w:val="0"/>
      <w:marTop w:val="0"/>
      <w:marBottom w:val="0"/>
      <w:divBdr>
        <w:top w:val="none" w:sz="0" w:space="0" w:color="auto"/>
        <w:left w:val="none" w:sz="0" w:space="0" w:color="auto"/>
        <w:bottom w:val="none" w:sz="0" w:space="0" w:color="auto"/>
        <w:right w:val="none" w:sz="0" w:space="0" w:color="auto"/>
      </w:divBdr>
    </w:div>
    <w:div w:id="1431585002">
      <w:marLeft w:val="0"/>
      <w:marRight w:val="0"/>
      <w:marTop w:val="0"/>
      <w:marBottom w:val="0"/>
      <w:divBdr>
        <w:top w:val="none" w:sz="0" w:space="0" w:color="auto"/>
        <w:left w:val="none" w:sz="0" w:space="0" w:color="auto"/>
        <w:bottom w:val="none" w:sz="0" w:space="0" w:color="auto"/>
        <w:right w:val="none" w:sz="0" w:space="0" w:color="auto"/>
      </w:divBdr>
    </w:div>
    <w:div w:id="1432361818">
      <w:marLeft w:val="0"/>
      <w:marRight w:val="0"/>
      <w:marTop w:val="0"/>
      <w:marBottom w:val="0"/>
      <w:divBdr>
        <w:top w:val="none" w:sz="0" w:space="0" w:color="auto"/>
        <w:left w:val="none" w:sz="0" w:space="0" w:color="auto"/>
        <w:bottom w:val="none" w:sz="0" w:space="0" w:color="auto"/>
        <w:right w:val="none" w:sz="0" w:space="0" w:color="auto"/>
      </w:divBdr>
    </w:div>
    <w:div w:id="1434401073">
      <w:marLeft w:val="0"/>
      <w:marRight w:val="0"/>
      <w:marTop w:val="0"/>
      <w:marBottom w:val="0"/>
      <w:divBdr>
        <w:top w:val="none" w:sz="0" w:space="0" w:color="auto"/>
        <w:left w:val="none" w:sz="0" w:space="0" w:color="auto"/>
        <w:bottom w:val="none" w:sz="0" w:space="0" w:color="auto"/>
        <w:right w:val="none" w:sz="0" w:space="0" w:color="auto"/>
      </w:divBdr>
    </w:div>
    <w:div w:id="1438600491">
      <w:marLeft w:val="0"/>
      <w:marRight w:val="0"/>
      <w:marTop w:val="0"/>
      <w:marBottom w:val="0"/>
      <w:divBdr>
        <w:top w:val="none" w:sz="0" w:space="0" w:color="auto"/>
        <w:left w:val="none" w:sz="0" w:space="0" w:color="auto"/>
        <w:bottom w:val="none" w:sz="0" w:space="0" w:color="auto"/>
        <w:right w:val="none" w:sz="0" w:space="0" w:color="auto"/>
      </w:divBdr>
    </w:div>
    <w:div w:id="1438720136">
      <w:marLeft w:val="0"/>
      <w:marRight w:val="0"/>
      <w:marTop w:val="0"/>
      <w:marBottom w:val="0"/>
      <w:divBdr>
        <w:top w:val="none" w:sz="0" w:space="0" w:color="auto"/>
        <w:left w:val="none" w:sz="0" w:space="0" w:color="auto"/>
        <w:bottom w:val="none" w:sz="0" w:space="0" w:color="auto"/>
        <w:right w:val="none" w:sz="0" w:space="0" w:color="auto"/>
      </w:divBdr>
    </w:div>
    <w:div w:id="1447046829">
      <w:marLeft w:val="0"/>
      <w:marRight w:val="0"/>
      <w:marTop w:val="0"/>
      <w:marBottom w:val="0"/>
      <w:divBdr>
        <w:top w:val="none" w:sz="0" w:space="0" w:color="auto"/>
        <w:left w:val="none" w:sz="0" w:space="0" w:color="auto"/>
        <w:bottom w:val="none" w:sz="0" w:space="0" w:color="auto"/>
        <w:right w:val="none" w:sz="0" w:space="0" w:color="auto"/>
      </w:divBdr>
    </w:div>
    <w:div w:id="1451318771">
      <w:marLeft w:val="0"/>
      <w:marRight w:val="0"/>
      <w:marTop w:val="0"/>
      <w:marBottom w:val="0"/>
      <w:divBdr>
        <w:top w:val="none" w:sz="0" w:space="0" w:color="auto"/>
        <w:left w:val="none" w:sz="0" w:space="0" w:color="auto"/>
        <w:bottom w:val="none" w:sz="0" w:space="0" w:color="auto"/>
        <w:right w:val="none" w:sz="0" w:space="0" w:color="auto"/>
      </w:divBdr>
    </w:div>
    <w:div w:id="1452017185">
      <w:marLeft w:val="0"/>
      <w:marRight w:val="0"/>
      <w:marTop w:val="0"/>
      <w:marBottom w:val="0"/>
      <w:divBdr>
        <w:top w:val="none" w:sz="0" w:space="0" w:color="auto"/>
        <w:left w:val="none" w:sz="0" w:space="0" w:color="auto"/>
        <w:bottom w:val="none" w:sz="0" w:space="0" w:color="auto"/>
        <w:right w:val="none" w:sz="0" w:space="0" w:color="auto"/>
      </w:divBdr>
    </w:div>
    <w:div w:id="1452628195">
      <w:marLeft w:val="0"/>
      <w:marRight w:val="0"/>
      <w:marTop w:val="0"/>
      <w:marBottom w:val="0"/>
      <w:divBdr>
        <w:top w:val="none" w:sz="0" w:space="0" w:color="auto"/>
        <w:left w:val="none" w:sz="0" w:space="0" w:color="auto"/>
        <w:bottom w:val="none" w:sz="0" w:space="0" w:color="auto"/>
        <w:right w:val="none" w:sz="0" w:space="0" w:color="auto"/>
      </w:divBdr>
    </w:div>
    <w:div w:id="1453280819">
      <w:marLeft w:val="0"/>
      <w:marRight w:val="0"/>
      <w:marTop w:val="0"/>
      <w:marBottom w:val="0"/>
      <w:divBdr>
        <w:top w:val="none" w:sz="0" w:space="0" w:color="auto"/>
        <w:left w:val="none" w:sz="0" w:space="0" w:color="auto"/>
        <w:bottom w:val="none" w:sz="0" w:space="0" w:color="auto"/>
        <w:right w:val="none" w:sz="0" w:space="0" w:color="auto"/>
      </w:divBdr>
    </w:div>
    <w:div w:id="1454054413">
      <w:marLeft w:val="0"/>
      <w:marRight w:val="0"/>
      <w:marTop w:val="0"/>
      <w:marBottom w:val="0"/>
      <w:divBdr>
        <w:top w:val="none" w:sz="0" w:space="0" w:color="auto"/>
        <w:left w:val="none" w:sz="0" w:space="0" w:color="auto"/>
        <w:bottom w:val="none" w:sz="0" w:space="0" w:color="auto"/>
        <w:right w:val="none" w:sz="0" w:space="0" w:color="auto"/>
      </w:divBdr>
    </w:div>
    <w:div w:id="1459496778">
      <w:marLeft w:val="0"/>
      <w:marRight w:val="0"/>
      <w:marTop w:val="0"/>
      <w:marBottom w:val="0"/>
      <w:divBdr>
        <w:top w:val="none" w:sz="0" w:space="0" w:color="auto"/>
        <w:left w:val="none" w:sz="0" w:space="0" w:color="auto"/>
        <w:bottom w:val="none" w:sz="0" w:space="0" w:color="auto"/>
        <w:right w:val="none" w:sz="0" w:space="0" w:color="auto"/>
      </w:divBdr>
    </w:div>
    <w:div w:id="1461144526">
      <w:marLeft w:val="0"/>
      <w:marRight w:val="0"/>
      <w:marTop w:val="0"/>
      <w:marBottom w:val="0"/>
      <w:divBdr>
        <w:top w:val="none" w:sz="0" w:space="0" w:color="auto"/>
        <w:left w:val="none" w:sz="0" w:space="0" w:color="auto"/>
        <w:bottom w:val="none" w:sz="0" w:space="0" w:color="auto"/>
        <w:right w:val="none" w:sz="0" w:space="0" w:color="auto"/>
      </w:divBdr>
    </w:div>
    <w:div w:id="1461535319">
      <w:marLeft w:val="0"/>
      <w:marRight w:val="0"/>
      <w:marTop w:val="0"/>
      <w:marBottom w:val="0"/>
      <w:divBdr>
        <w:top w:val="none" w:sz="0" w:space="0" w:color="auto"/>
        <w:left w:val="none" w:sz="0" w:space="0" w:color="auto"/>
        <w:bottom w:val="none" w:sz="0" w:space="0" w:color="auto"/>
        <w:right w:val="none" w:sz="0" w:space="0" w:color="auto"/>
      </w:divBdr>
    </w:div>
    <w:div w:id="1462531755">
      <w:marLeft w:val="0"/>
      <w:marRight w:val="0"/>
      <w:marTop w:val="0"/>
      <w:marBottom w:val="0"/>
      <w:divBdr>
        <w:top w:val="none" w:sz="0" w:space="0" w:color="auto"/>
        <w:left w:val="none" w:sz="0" w:space="0" w:color="auto"/>
        <w:bottom w:val="none" w:sz="0" w:space="0" w:color="auto"/>
        <w:right w:val="none" w:sz="0" w:space="0" w:color="auto"/>
      </w:divBdr>
    </w:div>
    <w:div w:id="1463813641">
      <w:marLeft w:val="0"/>
      <w:marRight w:val="0"/>
      <w:marTop w:val="0"/>
      <w:marBottom w:val="0"/>
      <w:divBdr>
        <w:top w:val="none" w:sz="0" w:space="0" w:color="auto"/>
        <w:left w:val="none" w:sz="0" w:space="0" w:color="auto"/>
        <w:bottom w:val="none" w:sz="0" w:space="0" w:color="auto"/>
        <w:right w:val="none" w:sz="0" w:space="0" w:color="auto"/>
      </w:divBdr>
    </w:div>
    <w:div w:id="1465153821">
      <w:marLeft w:val="0"/>
      <w:marRight w:val="0"/>
      <w:marTop w:val="0"/>
      <w:marBottom w:val="0"/>
      <w:divBdr>
        <w:top w:val="none" w:sz="0" w:space="0" w:color="auto"/>
        <w:left w:val="none" w:sz="0" w:space="0" w:color="auto"/>
        <w:bottom w:val="none" w:sz="0" w:space="0" w:color="auto"/>
        <w:right w:val="none" w:sz="0" w:space="0" w:color="auto"/>
      </w:divBdr>
    </w:div>
    <w:div w:id="1468402202">
      <w:marLeft w:val="0"/>
      <w:marRight w:val="0"/>
      <w:marTop w:val="0"/>
      <w:marBottom w:val="0"/>
      <w:divBdr>
        <w:top w:val="none" w:sz="0" w:space="0" w:color="auto"/>
        <w:left w:val="none" w:sz="0" w:space="0" w:color="auto"/>
        <w:bottom w:val="none" w:sz="0" w:space="0" w:color="auto"/>
        <w:right w:val="none" w:sz="0" w:space="0" w:color="auto"/>
      </w:divBdr>
    </w:div>
    <w:div w:id="1469010996">
      <w:marLeft w:val="0"/>
      <w:marRight w:val="0"/>
      <w:marTop w:val="0"/>
      <w:marBottom w:val="0"/>
      <w:divBdr>
        <w:top w:val="none" w:sz="0" w:space="0" w:color="auto"/>
        <w:left w:val="none" w:sz="0" w:space="0" w:color="auto"/>
        <w:bottom w:val="none" w:sz="0" w:space="0" w:color="auto"/>
        <w:right w:val="none" w:sz="0" w:space="0" w:color="auto"/>
      </w:divBdr>
    </w:div>
    <w:div w:id="1472477806">
      <w:marLeft w:val="0"/>
      <w:marRight w:val="0"/>
      <w:marTop w:val="0"/>
      <w:marBottom w:val="0"/>
      <w:divBdr>
        <w:top w:val="none" w:sz="0" w:space="0" w:color="auto"/>
        <w:left w:val="none" w:sz="0" w:space="0" w:color="auto"/>
        <w:bottom w:val="none" w:sz="0" w:space="0" w:color="auto"/>
        <w:right w:val="none" w:sz="0" w:space="0" w:color="auto"/>
      </w:divBdr>
    </w:div>
    <w:div w:id="1474908747">
      <w:marLeft w:val="0"/>
      <w:marRight w:val="0"/>
      <w:marTop w:val="0"/>
      <w:marBottom w:val="0"/>
      <w:divBdr>
        <w:top w:val="none" w:sz="0" w:space="0" w:color="auto"/>
        <w:left w:val="none" w:sz="0" w:space="0" w:color="auto"/>
        <w:bottom w:val="none" w:sz="0" w:space="0" w:color="auto"/>
        <w:right w:val="none" w:sz="0" w:space="0" w:color="auto"/>
      </w:divBdr>
    </w:div>
    <w:div w:id="1477064099">
      <w:marLeft w:val="0"/>
      <w:marRight w:val="0"/>
      <w:marTop w:val="0"/>
      <w:marBottom w:val="0"/>
      <w:divBdr>
        <w:top w:val="none" w:sz="0" w:space="0" w:color="auto"/>
        <w:left w:val="none" w:sz="0" w:space="0" w:color="auto"/>
        <w:bottom w:val="none" w:sz="0" w:space="0" w:color="auto"/>
        <w:right w:val="none" w:sz="0" w:space="0" w:color="auto"/>
      </w:divBdr>
    </w:div>
    <w:div w:id="1478719235">
      <w:marLeft w:val="0"/>
      <w:marRight w:val="0"/>
      <w:marTop w:val="0"/>
      <w:marBottom w:val="0"/>
      <w:divBdr>
        <w:top w:val="none" w:sz="0" w:space="0" w:color="auto"/>
        <w:left w:val="none" w:sz="0" w:space="0" w:color="auto"/>
        <w:bottom w:val="none" w:sz="0" w:space="0" w:color="auto"/>
        <w:right w:val="none" w:sz="0" w:space="0" w:color="auto"/>
      </w:divBdr>
    </w:div>
    <w:div w:id="1479499387">
      <w:marLeft w:val="0"/>
      <w:marRight w:val="0"/>
      <w:marTop w:val="0"/>
      <w:marBottom w:val="0"/>
      <w:divBdr>
        <w:top w:val="none" w:sz="0" w:space="0" w:color="auto"/>
        <w:left w:val="none" w:sz="0" w:space="0" w:color="auto"/>
        <w:bottom w:val="none" w:sz="0" w:space="0" w:color="auto"/>
        <w:right w:val="none" w:sz="0" w:space="0" w:color="auto"/>
      </w:divBdr>
    </w:div>
    <w:div w:id="1482044062">
      <w:marLeft w:val="0"/>
      <w:marRight w:val="0"/>
      <w:marTop w:val="0"/>
      <w:marBottom w:val="0"/>
      <w:divBdr>
        <w:top w:val="none" w:sz="0" w:space="0" w:color="auto"/>
        <w:left w:val="none" w:sz="0" w:space="0" w:color="auto"/>
        <w:bottom w:val="none" w:sz="0" w:space="0" w:color="auto"/>
        <w:right w:val="none" w:sz="0" w:space="0" w:color="auto"/>
      </w:divBdr>
    </w:div>
    <w:div w:id="1484467526">
      <w:marLeft w:val="0"/>
      <w:marRight w:val="0"/>
      <w:marTop w:val="0"/>
      <w:marBottom w:val="0"/>
      <w:divBdr>
        <w:top w:val="none" w:sz="0" w:space="0" w:color="auto"/>
        <w:left w:val="none" w:sz="0" w:space="0" w:color="auto"/>
        <w:bottom w:val="none" w:sz="0" w:space="0" w:color="auto"/>
        <w:right w:val="none" w:sz="0" w:space="0" w:color="auto"/>
      </w:divBdr>
    </w:div>
    <w:div w:id="1486360491">
      <w:marLeft w:val="0"/>
      <w:marRight w:val="0"/>
      <w:marTop w:val="0"/>
      <w:marBottom w:val="0"/>
      <w:divBdr>
        <w:top w:val="none" w:sz="0" w:space="0" w:color="auto"/>
        <w:left w:val="none" w:sz="0" w:space="0" w:color="auto"/>
        <w:bottom w:val="none" w:sz="0" w:space="0" w:color="auto"/>
        <w:right w:val="none" w:sz="0" w:space="0" w:color="auto"/>
      </w:divBdr>
    </w:div>
    <w:div w:id="1487279552">
      <w:marLeft w:val="0"/>
      <w:marRight w:val="0"/>
      <w:marTop w:val="0"/>
      <w:marBottom w:val="0"/>
      <w:divBdr>
        <w:top w:val="none" w:sz="0" w:space="0" w:color="auto"/>
        <w:left w:val="none" w:sz="0" w:space="0" w:color="auto"/>
        <w:bottom w:val="none" w:sz="0" w:space="0" w:color="auto"/>
        <w:right w:val="none" w:sz="0" w:space="0" w:color="auto"/>
      </w:divBdr>
    </w:div>
    <w:div w:id="1488748400">
      <w:marLeft w:val="0"/>
      <w:marRight w:val="0"/>
      <w:marTop w:val="0"/>
      <w:marBottom w:val="0"/>
      <w:divBdr>
        <w:top w:val="none" w:sz="0" w:space="0" w:color="auto"/>
        <w:left w:val="none" w:sz="0" w:space="0" w:color="auto"/>
        <w:bottom w:val="none" w:sz="0" w:space="0" w:color="auto"/>
        <w:right w:val="none" w:sz="0" w:space="0" w:color="auto"/>
      </w:divBdr>
    </w:div>
    <w:div w:id="1489445440">
      <w:marLeft w:val="0"/>
      <w:marRight w:val="0"/>
      <w:marTop w:val="0"/>
      <w:marBottom w:val="0"/>
      <w:divBdr>
        <w:top w:val="none" w:sz="0" w:space="0" w:color="auto"/>
        <w:left w:val="none" w:sz="0" w:space="0" w:color="auto"/>
        <w:bottom w:val="none" w:sz="0" w:space="0" w:color="auto"/>
        <w:right w:val="none" w:sz="0" w:space="0" w:color="auto"/>
      </w:divBdr>
    </w:div>
    <w:div w:id="1489979116">
      <w:marLeft w:val="0"/>
      <w:marRight w:val="0"/>
      <w:marTop w:val="0"/>
      <w:marBottom w:val="0"/>
      <w:divBdr>
        <w:top w:val="none" w:sz="0" w:space="0" w:color="auto"/>
        <w:left w:val="none" w:sz="0" w:space="0" w:color="auto"/>
        <w:bottom w:val="none" w:sz="0" w:space="0" w:color="auto"/>
        <w:right w:val="none" w:sz="0" w:space="0" w:color="auto"/>
      </w:divBdr>
    </w:div>
    <w:div w:id="1494637045">
      <w:marLeft w:val="0"/>
      <w:marRight w:val="0"/>
      <w:marTop w:val="0"/>
      <w:marBottom w:val="0"/>
      <w:divBdr>
        <w:top w:val="none" w:sz="0" w:space="0" w:color="auto"/>
        <w:left w:val="none" w:sz="0" w:space="0" w:color="auto"/>
        <w:bottom w:val="none" w:sz="0" w:space="0" w:color="auto"/>
        <w:right w:val="none" w:sz="0" w:space="0" w:color="auto"/>
      </w:divBdr>
    </w:div>
    <w:div w:id="1495797371">
      <w:marLeft w:val="0"/>
      <w:marRight w:val="0"/>
      <w:marTop w:val="0"/>
      <w:marBottom w:val="0"/>
      <w:divBdr>
        <w:top w:val="none" w:sz="0" w:space="0" w:color="auto"/>
        <w:left w:val="none" w:sz="0" w:space="0" w:color="auto"/>
        <w:bottom w:val="none" w:sz="0" w:space="0" w:color="auto"/>
        <w:right w:val="none" w:sz="0" w:space="0" w:color="auto"/>
      </w:divBdr>
    </w:div>
    <w:div w:id="1495999096">
      <w:marLeft w:val="0"/>
      <w:marRight w:val="0"/>
      <w:marTop w:val="0"/>
      <w:marBottom w:val="0"/>
      <w:divBdr>
        <w:top w:val="none" w:sz="0" w:space="0" w:color="auto"/>
        <w:left w:val="none" w:sz="0" w:space="0" w:color="auto"/>
        <w:bottom w:val="none" w:sz="0" w:space="0" w:color="auto"/>
        <w:right w:val="none" w:sz="0" w:space="0" w:color="auto"/>
      </w:divBdr>
    </w:div>
    <w:div w:id="1505587860">
      <w:marLeft w:val="0"/>
      <w:marRight w:val="0"/>
      <w:marTop w:val="0"/>
      <w:marBottom w:val="0"/>
      <w:divBdr>
        <w:top w:val="none" w:sz="0" w:space="0" w:color="auto"/>
        <w:left w:val="none" w:sz="0" w:space="0" w:color="auto"/>
        <w:bottom w:val="none" w:sz="0" w:space="0" w:color="auto"/>
        <w:right w:val="none" w:sz="0" w:space="0" w:color="auto"/>
      </w:divBdr>
    </w:div>
    <w:div w:id="1506550911">
      <w:marLeft w:val="0"/>
      <w:marRight w:val="0"/>
      <w:marTop w:val="0"/>
      <w:marBottom w:val="0"/>
      <w:divBdr>
        <w:top w:val="none" w:sz="0" w:space="0" w:color="auto"/>
        <w:left w:val="none" w:sz="0" w:space="0" w:color="auto"/>
        <w:bottom w:val="none" w:sz="0" w:space="0" w:color="auto"/>
        <w:right w:val="none" w:sz="0" w:space="0" w:color="auto"/>
      </w:divBdr>
    </w:div>
    <w:div w:id="1508129882">
      <w:marLeft w:val="0"/>
      <w:marRight w:val="0"/>
      <w:marTop w:val="0"/>
      <w:marBottom w:val="0"/>
      <w:divBdr>
        <w:top w:val="none" w:sz="0" w:space="0" w:color="auto"/>
        <w:left w:val="none" w:sz="0" w:space="0" w:color="auto"/>
        <w:bottom w:val="none" w:sz="0" w:space="0" w:color="auto"/>
        <w:right w:val="none" w:sz="0" w:space="0" w:color="auto"/>
      </w:divBdr>
    </w:div>
    <w:div w:id="1508670889">
      <w:marLeft w:val="0"/>
      <w:marRight w:val="0"/>
      <w:marTop w:val="0"/>
      <w:marBottom w:val="0"/>
      <w:divBdr>
        <w:top w:val="none" w:sz="0" w:space="0" w:color="auto"/>
        <w:left w:val="none" w:sz="0" w:space="0" w:color="auto"/>
        <w:bottom w:val="none" w:sz="0" w:space="0" w:color="auto"/>
        <w:right w:val="none" w:sz="0" w:space="0" w:color="auto"/>
      </w:divBdr>
    </w:div>
    <w:div w:id="1508717590">
      <w:marLeft w:val="0"/>
      <w:marRight w:val="0"/>
      <w:marTop w:val="0"/>
      <w:marBottom w:val="0"/>
      <w:divBdr>
        <w:top w:val="none" w:sz="0" w:space="0" w:color="auto"/>
        <w:left w:val="none" w:sz="0" w:space="0" w:color="auto"/>
        <w:bottom w:val="none" w:sz="0" w:space="0" w:color="auto"/>
        <w:right w:val="none" w:sz="0" w:space="0" w:color="auto"/>
      </w:divBdr>
    </w:div>
    <w:div w:id="1509061877">
      <w:marLeft w:val="0"/>
      <w:marRight w:val="0"/>
      <w:marTop w:val="0"/>
      <w:marBottom w:val="0"/>
      <w:divBdr>
        <w:top w:val="none" w:sz="0" w:space="0" w:color="auto"/>
        <w:left w:val="none" w:sz="0" w:space="0" w:color="auto"/>
        <w:bottom w:val="none" w:sz="0" w:space="0" w:color="auto"/>
        <w:right w:val="none" w:sz="0" w:space="0" w:color="auto"/>
      </w:divBdr>
    </w:div>
    <w:div w:id="1511524979">
      <w:marLeft w:val="0"/>
      <w:marRight w:val="0"/>
      <w:marTop w:val="0"/>
      <w:marBottom w:val="0"/>
      <w:divBdr>
        <w:top w:val="none" w:sz="0" w:space="0" w:color="auto"/>
        <w:left w:val="none" w:sz="0" w:space="0" w:color="auto"/>
        <w:bottom w:val="none" w:sz="0" w:space="0" w:color="auto"/>
        <w:right w:val="none" w:sz="0" w:space="0" w:color="auto"/>
      </w:divBdr>
    </w:div>
    <w:div w:id="1511917755">
      <w:marLeft w:val="0"/>
      <w:marRight w:val="0"/>
      <w:marTop w:val="0"/>
      <w:marBottom w:val="0"/>
      <w:divBdr>
        <w:top w:val="none" w:sz="0" w:space="0" w:color="auto"/>
        <w:left w:val="none" w:sz="0" w:space="0" w:color="auto"/>
        <w:bottom w:val="none" w:sz="0" w:space="0" w:color="auto"/>
        <w:right w:val="none" w:sz="0" w:space="0" w:color="auto"/>
      </w:divBdr>
    </w:div>
    <w:div w:id="1511944520">
      <w:marLeft w:val="0"/>
      <w:marRight w:val="0"/>
      <w:marTop w:val="0"/>
      <w:marBottom w:val="0"/>
      <w:divBdr>
        <w:top w:val="none" w:sz="0" w:space="0" w:color="auto"/>
        <w:left w:val="none" w:sz="0" w:space="0" w:color="auto"/>
        <w:bottom w:val="none" w:sz="0" w:space="0" w:color="auto"/>
        <w:right w:val="none" w:sz="0" w:space="0" w:color="auto"/>
      </w:divBdr>
    </w:div>
    <w:div w:id="1512452342">
      <w:marLeft w:val="0"/>
      <w:marRight w:val="0"/>
      <w:marTop w:val="0"/>
      <w:marBottom w:val="0"/>
      <w:divBdr>
        <w:top w:val="none" w:sz="0" w:space="0" w:color="auto"/>
        <w:left w:val="none" w:sz="0" w:space="0" w:color="auto"/>
        <w:bottom w:val="none" w:sz="0" w:space="0" w:color="auto"/>
        <w:right w:val="none" w:sz="0" w:space="0" w:color="auto"/>
      </w:divBdr>
    </w:div>
    <w:div w:id="1513497010">
      <w:marLeft w:val="0"/>
      <w:marRight w:val="0"/>
      <w:marTop w:val="0"/>
      <w:marBottom w:val="0"/>
      <w:divBdr>
        <w:top w:val="none" w:sz="0" w:space="0" w:color="auto"/>
        <w:left w:val="none" w:sz="0" w:space="0" w:color="auto"/>
        <w:bottom w:val="none" w:sz="0" w:space="0" w:color="auto"/>
        <w:right w:val="none" w:sz="0" w:space="0" w:color="auto"/>
      </w:divBdr>
    </w:div>
    <w:div w:id="1513759350">
      <w:marLeft w:val="0"/>
      <w:marRight w:val="0"/>
      <w:marTop w:val="0"/>
      <w:marBottom w:val="0"/>
      <w:divBdr>
        <w:top w:val="none" w:sz="0" w:space="0" w:color="auto"/>
        <w:left w:val="none" w:sz="0" w:space="0" w:color="auto"/>
        <w:bottom w:val="none" w:sz="0" w:space="0" w:color="auto"/>
        <w:right w:val="none" w:sz="0" w:space="0" w:color="auto"/>
      </w:divBdr>
    </w:div>
    <w:div w:id="1515799704">
      <w:marLeft w:val="0"/>
      <w:marRight w:val="0"/>
      <w:marTop w:val="0"/>
      <w:marBottom w:val="0"/>
      <w:divBdr>
        <w:top w:val="none" w:sz="0" w:space="0" w:color="auto"/>
        <w:left w:val="none" w:sz="0" w:space="0" w:color="auto"/>
        <w:bottom w:val="none" w:sz="0" w:space="0" w:color="auto"/>
        <w:right w:val="none" w:sz="0" w:space="0" w:color="auto"/>
      </w:divBdr>
    </w:div>
    <w:div w:id="1517042685">
      <w:marLeft w:val="0"/>
      <w:marRight w:val="0"/>
      <w:marTop w:val="0"/>
      <w:marBottom w:val="0"/>
      <w:divBdr>
        <w:top w:val="none" w:sz="0" w:space="0" w:color="auto"/>
        <w:left w:val="none" w:sz="0" w:space="0" w:color="auto"/>
        <w:bottom w:val="none" w:sz="0" w:space="0" w:color="auto"/>
        <w:right w:val="none" w:sz="0" w:space="0" w:color="auto"/>
      </w:divBdr>
    </w:div>
    <w:div w:id="1518077088">
      <w:marLeft w:val="0"/>
      <w:marRight w:val="0"/>
      <w:marTop w:val="0"/>
      <w:marBottom w:val="0"/>
      <w:divBdr>
        <w:top w:val="none" w:sz="0" w:space="0" w:color="auto"/>
        <w:left w:val="none" w:sz="0" w:space="0" w:color="auto"/>
        <w:bottom w:val="none" w:sz="0" w:space="0" w:color="auto"/>
        <w:right w:val="none" w:sz="0" w:space="0" w:color="auto"/>
      </w:divBdr>
    </w:div>
    <w:div w:id="1520006730">
      <w:marLeft w:val="0"/>
      <w:marRight w:val="0"/>
      <w:marTop w:val="0"/>
      <w:marBottom w:val="0"/>
      <w:divBdr>
        <w:top w:val="none" w:sz="0" w:space="0" w:color="auto"/>
        <w:left w:val="none" w:sz="0" w:space="0" w:color="auto"/>
        <w:bottom w:val="none" w:sz="0" w:space="0" w:color="auto"/>
        <w:right w:val="none" w:sz="0" w:space="0" w:color="auto"/>
      </w:divBdr>
    </w:div>
    <w:div w:id="1520312547">
      <w:marLeft w:val="0"/>
      <w:marRight w:val="0"/>
      <w:marTop w:val="0"/>
      <w:marBottom w:val="0"/>
      <w:divBdr>
        <w:top w:val="none" w:sz="0" w:space="0" w:color="auto"/>
        <w:left w:val="none" w:sz="0" w:space="0" w:color="auto"/>
        <w:bottom w:val="none" w:sz="0" w:space="0" w:color="auto"/>
        <w:right w:val="none" w:sz="0" w:space="0" w:color="auto"/>
      </w:divBdr>
    </w:div>
    <w:div w:id="1524248617">
      <w:marLeft w:val="0"/>
      <w:marRight w:val="0"/>
      <w:marTop w:val="0"/>
      <w:marBottom w:val="0"/>
      <w:divBdr>
        <w:top w:val="none" w:sz="0" w:space="0" w:color="auto"/>
        <w:left w:val="none" w:sz="0" w:space="0" w:color="auto"/>
        <w:bottom w:val="none" w:sz="0" w:space="0" w:color="auto"/>
        <w:right w:val="none" w:sz="0" w:space="0" w:color="auto"/>
      </w:divBdr>
    </w:div>
    <w:div w:id="1526285812">
      <w:marLeft w:val="0"/>
      <w:marRight w:val="0"/>
      <w:marTop w:val="0"/>
      <w:marBottom w:val="0"/>
      <w:divBdr>
        <w:top w:val="none" w:sz="0" w:space="0" w:color="auto"/>
        <w:left w:val="none" w:sz="0" w:space="0" w:color="auto"/>
        <w:bottom w:val="none" w:sz="0" w:space="0" w:color="auto"/>
        <w:right w:val="none" w:sz="0" w:space="0" w:color="auto"/>
      </w:divBdr>
    </w:div>
    <w:div w:id="1533228599">
      <w:marLeft w:val="0"/>
      <w:marRight w:val="0"/>
      <w:marTop w:val="0"/>
      <w:marBottom w:val="0"/>
      <w:divBdr>
        <w:top w:val="none" w:sz="0" w:space="0" w:color="auto"/>
        <w:left w:val="none" w:sz="0" w:space="0" w:color="auto"/>
        <w:bottom w:val="none" w:sz="0" w:space="0" w:color="auto"/>
        <w:right w:val="none" w:sz="0" w:space="0" w:color="auto"/>
      </w:divBdr>
    </w:div>
    <w:div w:id="1533423040">
      <w:marLeft w:val="0"/>
      <w:marRight w:val="0"/>
      <w:marTop w:val="0"/>
      <w:marBottom w:val="0"/>
      <w:divBdr>
        <w:top w:val="none" w:sz="0" w:space="0" w:color="auto"/>
        <w:left w:val="none" w:sz="0" w:space="0" w:color="auto"/>
        <w:bottom w:val="none" w:sz="0" w:space="0" w:color="auto"/>
        <w:right w:val="none" w:sz="0" w:space="0" w:color="auto"/>
      </w:divBdr>
    </w:div>
    <w:div w:id="1534339820">
      <w:marLeft w:val="0"/>
      <w:marRight w:val="0"/>
      <w:marTop w:val="0"/>
      <w:marBottom w:val="0"/>
      <w:divBdr>
        <w:top w:val="none" w:sz="0" w:space="0" w:color="auto"/>
        <w:left w:val="none" w:sz="0" w:space="0" w:color="auto"/>
        <w:bottom w:val="none" w:sz="0" w:space="0" w:color="auto"/>
        <w:right w:val="none" w:sz="0" w:space="0" w:color="auto"/>
      </w:divBdr>
    </w:div>
    <w:div w:id="1535073204">
      <w:marLeft w:val="0"/>
      <w:marRight w:val="0"/>
      <w:marTop w:val="0"/>
      <w:marBottom w:val="0"/>
      <w:divBdr>
        <w:top w:val="none" w:sz="0" w:space="0" w:color="auto"/>
        <w:left w:val="none" w:sz="0" w:space="0" w:color="auto"/>
        <w:bottom w:val="none" w:sz="0" w:space="0" w:color="auto"/>
        <w:right w:val="none" w:sz="0" w:space="0" w:color="auto"/>
      </w:divBdr>
    </w:div>
    <w:div w:id="1541359510">
      <w:marLeft w:val="0"/>
      <w:marRight w:val="0"/>
      <w:marTop w:val="0"/>
      <w:marBottom w:val="0"/>
      <w:divBdr>
        <w:top w:val="none" w:sz="0" w:space="0" w:color="auto"/>
        <w:left w:val="none" w:sz="0" w:space="0" w:color="auto"/>
        <w:bottom w:val="none" w:sz="0" w:space="0" w:color="auto"/>
        <w:right w:val="none" w:sz="0" w:space="0" w:color="auto"/>
      </w:divBdr>
    </w:div>
    <w:div w:id="1541435341">
      <w:marLeft w:val="0"/>
      <w:marRight w:val="0"/>
      <w:marTop w:val="0"/>
      <w:marBottom w:val="0"/>
      <w:divBdr>
        <w:top w:val="none" w:sz="0" w:space="0" w:color="auto"/>
        <w:left w:val="none" w:sz="0" w:space="0" w:color="auto"/>
        <w:bottom w:val="none" w:sz="0" w:space="0" w:color="auto"/>
        <w:right w:val="none" w:sz="0" w:space="0" w:color="auto"/>
      </w:divBdr>
    </w:div>
    <w:div w:id="1541891379">
      <w:marLeft w:val="0"/>
      <w:marRight w:val="0"/>
      <w:marTop w:val="0"/>
      <w:marBottom w:val="0"/>
      <w:divBdr>
        <w:top w:val="none" w:sz="0" w:space="0" w:color="auto"/>
        <w:left w:val="none" w:sz="0" w:space="0" w:color="auto"/>
        <w:bottom w:val="none" w:sz="0" w:space="0" w:color="auto"/>
        <w:right w:val="none" w:sz="0" w:space="0" w:color="auto"/>
      </w:divBdr>
    </w:div>
    <w:div w:id="1551650572">
      <w:marLeft w:val="0"/>
      <w:marRight w:val="0"/>
      <w:marTop w:val="0"/>
      <w:marBottom w:val="0"/>
      <w:divBdr>
        <w:top w:val="none" w:sz="0" w:space="0" w:color="auto"/>
        <w:left w:val="none" w:sz="0" w:space="0" w:color="auto"/>
        <w:bottom w:val="none" w:sz="0" w:space="0" w:color="auto"/>
        <w:right w:val="none" w:sz="0" w:space="0" w:color="auto"/>
      </w:divBdr>
    </w:div>
    <w:div w:id="1551650573">
      <w:marLeft w:val="0"/>
      <w:marRight w:val="0"/>
      <w:marTop w:val="0"/>
      <w:marBottom w:val="0"/>
      <w:divBdr>
        <w:top w:val="none" w:sz="0" w:space="0" w:color="auto"/>
        <w:left w:val="none" w:sz="0" w:space="0" w:color="auto"/>
        <w:bottom w:val="none" w:sz="0" w:space="0" w:color="auto"/>
        <w:right w:val="none" w:sz="0" w:space="0" w:color="auto"/>
      </w:divBdr>
    </w:div>
    <w:div w:id="1552155023">
      <w:marLeft w:val="0"/>
      <w:marRight w:val="0"/>
      <w:marTop w:val="0"/>
      <w:marBottom w:val="0"/>
      <w:divBdr>
        <w:top w:val="none" w:sz="0" w:space="0" w:color="auto"/>
        <w:left w:val="none" w:sz="0" w:space="0" w:color="auto"/>
        <w:bottom w:val="none" w:sz="0" w:space="0" w:color="auto"/>
        <w:right w:val="none" w:sz="0" w:space="0" w:color="auto"/>
      </w:divBdr>
    </w:div>
    <w:div w:id="1553535446">
      <w:marLeft w:val="0"/>
      <w:marRight w:val="0"/>
      <w:marTop w:val="0"/>
      <w:marBottom w:val="0"/>
      <w:divBdr>
        <w:top w:val="none" w:sz="0" w:space="0" w:color="auto"/>
        <w:left w:val="none" w:sz="0" w:space="0" w:color="auto"/>
        <w:bottom w:val="none" w:sz="0" w:space="0" w:color="auto"/>
        <w:right w:val="none" w:sz="0" w:space="0" w:color="auto"/>
      </w:divBdr>
    </w:div>
    <w:div w:id="1556045508">
      <w:marLeft w:val="0"/>
      <w:marRight w:val="0"/>
      <w:marTop w:val="0"/>
      <w:marBottom w:val="0"/>
      <w:divBdr>
        <w:top w:val="none" w:sz="0" w:space="0" w:color="auto"/>
        <w:left w:val="none" w:sz="0" w:space="0" w:color="auto"/>
        <w:bottom w:val="none" w:sz="0" w:space="0" w:color="auto"/>
        <w:right w:val="none" w:sz="0" w:space="0" w:color="auto"/>
      </w:divBdr>
    </w:div>
    <w:div w:id="1556116076">
      <w:marLeft w:val="0"/>
      <w:marRight w:val="0"/>
      <w:marTop w:val="0"/>
      <w:marBottom w:val="0"/>
      <w:divBdr>
        <w:top w:val="none" w:sz="0" w:space="0" w:color="auto"/>
        <w:left w:val="none" w:sz="0" w:space="0" w:color="auto"/>
        <w:bottom w:val="none" w:sz="0" w:space="0" w:color="auto"/>
        <w:right w:val="none" w:sz="0" w:space="0" w:color="auto"/>
      </w:divBdr>
    </w:div>
    <w:div w:id="1558399118">
      <w:marLeft w:val="0"/>
      <w:marRight w:val="0"/>
      <w:marTop w:val="0"/>
      <w:marBottom w:val="0"/>
      <w:divBdr>
        <w:top w:val="none" w:sz="0" w:space="0" w:color="auto"/>
        <w:left w:val="none" w:sz="0" w:space="0" w:color="auto"/>
        <w:bottom w:val="none" w:sz="0" w:space="0" w:color="auto"/>
        <w:right w:val="none" w:sz="0" w:space="0" w:color="auto"/>
      </w:divBdr>
    </w:div>
    <w:div w:id="1559129391">
      <w:marLeft w:val="0"/>
      <w:marRight w:val="0"/>
      <w:marTop w:val="0"/>
      <w:marBottom w:val="0"/>
      <w:divBdr>
        <w:top w:val="none" w:sz="0" w:space="0" w:color="auto"/>
        <w:left w:val="none" w:sz="0" w:space="0" w:color="auto"/>
        <w:bottom w:val="none" w:sz="0" w:space="0" w:color="auto"/>
        <w:right w:val="none" w:sz="0" w:space="0" w:color="auto"/>
      </w:divBdr>
    </w:div>
    <w:div w:id="1562014114">
      <w:marLeft w:val="0"/>
      <w:marRight w:val="0"/>
      <w:marTop w:val="0"/>
      <w:marBottom w:val="0"/>
      <w:divBdr>
        <w:top w:val="none" w:sz="0" w:space="0" w:color="auto"/>
        <w:left w:val="none" w:sz="0" w:space="0" w:color="auto"/>
        <w:bottom w:val="none" w:sz="0" w:space="0" w:color="auto"/>
        <w:right w:val="none" w:sz="0" w:space="0" w:color="auto"/>
      </w:divBdr>
    </w:div>
    <w:div w:id="1564753083">
      <w:marLeft w:val="0"/>
      <w:marRight w:val="0"/>
      <w:marTop w:val="0"/>
      <w:marBottom w:val="0"/>
      <w:divBdr>
        <w:top w:val="none" w:sz="0" w:space="0" w:color="auto"/>
        <w:left w:val="none" w:sz="0" w:space="0" w:color="auto"/>
        <w:bottom w:val="none" w:sz="0" w:space="0" w:color="auto"/>
        <w:right w:val="none" w:sz="0" w:space="0" w:color="auto"/>
      </w:divBdr>
    </w:div>
    <w:div w:id="1565335102">
      <w:marLeft w:val="0"/>
      <w:marRight w:val="0"/>
      <w:marTop w:val="0"/>
      <w:marBottom w:val="0"/>
      <w:divBdr>
        <w:top w:val="none" w:sz="0" w:space="0" w:color="auto"/>
        <w:left w:val="none" w:sz="0" w:space="0" w:color="auto"/>
        <w:bottom w:val="none" w:sz="0" w:space="0" w:color="auto"/>
        <w:right w:val="none" w:sz="0" w:space="0" w:color="auto"/>
      </w:divBdr>
    </w:div>
    <w:div w:id="1565600473">
      <w:marLeft w:val="0"/>
      <w:marRight w:val="0"/>
      <w:marTop w:val="0"/>
      <w:marBottom w:val="0"/>
      <w:divBdr>
        <w:top w:val="none" w:sz="0" w:space="0" w:color="auto"/>
        <w:left w:val="none" w:sz="0" w:space="0" w:color="auto"/>
        <w:bottom w:val="none" w:sz="0" w:space="0" w:color="auto"/>
        <w:right w:val="none" w:sz="0" w:space="0" w:color="auto"/>
      </w:divBdr>
    </w:div>
    <w:div w:id="1566917737">
      <w:marLeft w:val="0"/>
      <w:marRight w:val="0"/>
      <w:marTop w:val="0"/>
      <w:marBottom w:val="0"/>
      <w:divBdr>
        <w:top w:val="none" w:sz="0" w:space="0" w:color="auto"/>
        <w:left w:val="none" w:sz="0" w:space="0" w:color="auto"/>
        <w:bottom w:val="none" w:sz="0" w:space="0" w:color="auto"/>
        <w:right w:val="none" w:sz="0" w:space="0" w:color="auto"/>
      </w:divBdr>
    </w:div>
    <w:div w:id="1567493459">
      <w:marLeft w:val="0"/>
      <w:marRight w:val="0"/>
      <w:marTop w:val="0"/>
      <w:marBottom w:val="0"/>
      <w:divBdr>
        <w:top w:val="none" w:sz="0" w:space="0" w:color="auto"/>
        <w:left w:val="none" w:sz="0" w:space="0" w:color="auto"/>
        <w:bottom w:val="none" w:sz="0" w:space="0" w:color="auto"/>
        <w:right w:val="none" w:sz="0" w:space="0" w:color="auto"/>
      </w:divBdr>
    </w:div>
    <w:div w:id="1569656708">
      <w:marLeft w:val="0"/>
      <w:marRight w:val="0"/>
      <w:marTop w:val="0"/>
      <w:marBottom w:val="0"/>
      <w:divBdr>
        <w:top w:val="none" w:sz="0" w:space="0" w:color="auto"/>
        <w:left w:val="none" w:sz="0" w:space="0" w:color="auto"/>
        <w:bottom w:val="none" w:sz="0" w:space="0" w:color="auto"/>
        <w:right w:val="none" w:sz="0" w:space="0" w:color="auto"/>
      </w:divBdr>
    </w:div>
    <w:div w:id="1570725390">
      <w:marLeft w:val="0"/>
      <w:marRight w:val="0"/>
      <w:marTop w:val="0"/>
      <w:marBottom w:val="0"/>
      <w:divBdr>
        <w:top w:val="none" w:sz="0" w:space="0" w:color="auto"/>
        <w:left w:val="none" w:sz="0" w:space="0" w:color="auto"/>
        <w:bottom w:val="none" w:sz="0" w:space="0" w:color="auto"/>
        <w:right w:val="none" w:sz="0" w:space="0" w:color="auto"/>
      </w:divBdr>
    </w:div>
    <w:div w:id="1572306735">
      <w:marLeft w:val="0"/>
      <w:marRight w:val="0"/>
      <w:marTop w:val="0"/>
      <w:marBottom w:val="0"/>
      <w:divBdr>
        <w:top w:val="none" w:sz="0" w:space="0" w:color="auto"/>
        <w:left w:val="none" w:sz="0" w:space="0" w:color="auto"/>
        <w:bottom w:val="none" w:sz="0" w:space="0" w:color="auto"/>
        <w:right w:val="none" w:sz="0" w:space="0" w:color="auto"/>
      </w:divBdr>
    </w:div>
    <w:div w:id="1573195006">
      <w:marLeft w:val="0"/>
      <w:marRight w:val="0"/>
      <w:marTop w:val="0"/>
      <w:marBottom w:val="0"/>
      <w:divBdr>
        <w:top w:val="none" w:sz="0" w:space="0" w:color="auto"/>
        <w:left w:val="none" w:sz="0" w:space="0" w:color="auto"/>
        <w:bottom w:val="none" w:sz="0" w:space="0" w:color="auto"/>
        <w:right w:val="none" w:sz="0" w:space="0" w:color="auto"/>
      </w:divBdr>
    </w:div>
    <w:div w:id="1578199428">
      <w:marLeft w:val="0"/>
      <w:marRight w:val="0"/>
      <w:marTop w:val="0"/>
      <w:marBottom w:val="0"/>
      <w:divBdr>
        <w:top w:val="none" w:sz="0" w:space="0" w:color="auto"/>
        <w:left w:val="none" w:sz="0" w:space="0" w:color="auto"/>
        <w:bottom w:val="none" w:sz="0" w:space="0" w:color="auto"/>
        <w:right w:val="none" w:sz="0" w:space="0" w:color="auto"/>
      </w:divBdr>
    </w:div>
    <w:div w:id="1579056876">
      <w:marLeft w:val="0"/>
      <w:marRight w:val="0"/>
      <w:marTop w:val="0"/>
      <w:marBottom w:val="0"/>
      <w:divBdr>
        <w:top w:val="none" w:sz="0" w:space="0" w:color="auto"/>
        <w:left w:val="none" w:sz="0" w:space="0" w:color="auto"/>
        <w:bottom w:val="none" w:sz="0" w:space="0" w:color="auto"/>
        <w:right w:val="none" w:sz="0" w:space="0" w:color="auto"/>
      </w:divBdr>
    </w:div>
    <w:div w:id="1579631796">
      <w:marLeft w:val="0"/>
      <w:marRight w:val="0"/>
      <w:marTop w:val="0"/>
      <w:marBottom w:val="0"/>
      <w:divBdr>
        <w:top w:val="none" w:sz="0" w:space="0" w:color="auto"/>
        <w:left w:val="none" w:sz="0" w:space="0" w:color="auto"/>
        <w:bottom w:val="none" w:sz="0" w:space="0" w:color="auto"/>
        <w:right w:val="none" w:sz="0" w:space="0" w:color="auto"/>
      </w:divBdr>
    </w:div>
    <w:div w:id="1581523638">
      <w:marLeft w:val="0"/>
      <w:marRight w:val="0"/>
      <w:marTop w:val="0"/>
      <w:marBottom w:val="0"/>
      <w:divBdr>
        <w:top w:val="none" w:sz="0" w:space="0" w:color="auto"/>
        <w:left w:val="none" w:sz="0" w:space="0" w:color="auto"/>
        <w:bottom w:val="none" w:sz="0" w:space="0" w:color="auto"/>
        <w:right w:val="none" w:sz="0" w:space="0" w:color="auto"/>
      </w:divBdr>
    </w:div>
    <w:div w:id="1581790913">
      <w:marLeft w:val="0"/>
      <w:marRight w:val="0"/>
      <w:marTop w:val="0"/>
      <w:marBottom w:val="0"/>
      <w:divBdr>
        <w:top w:val="none" w:sz="0" w:space="0" w:color="auto"/>
        <w:left w:val="none" w:sz="0" w:space="0" w:color="auto"/>
        <w:bottom w:val="none" w:sz="0" w:space="0" w:color="auto"/>
        <w:right w:val="none" w:sz="0" w:space="0" w:color="auto"/>
      </w:divBdr>
    </w:div>
    <w:div w:id="1584489387">
      <w:marLeft w:val="0"/>
      <w:marRight w:val="0"/>
      <w:marTop w:val="0"/>
      <w:marBottom w:val="0"/>
      <w:divBdr>
        <w:top w:val="none" w:sz="0" w:space="0" w:color="auto"/>
        <w:left w:val="none" w:sz="0" w:space="0" w:color="auto"/>
        <w:bottom w:val="none" w:sz="0" w:space="0" w:color="auto"/>
        <w:right w:val="none" w:sz="0" w:space="0" w:color="auto"/>
      </w:divBdr>
    </w:div>
    <w:div w:id="1585258792">
      <w:marLeft w:val="0"/>
      <w:marRight w:val="0"/>
      <w:marTop w:val="0"/>
      <w:marBottom w:val="0"/>
      <w:divBdr>
        <w:top w:val="none" w:sz="0" w:space="0" w:color="auto"/>
        <w:left w:val="none" w:sz="0" w:space="0" w:color="auto"/>
        <w:bottom w:val="none" w:sz="0" w:space="0" w:color="auto"/>
        <w:right w:val="none" w:sz="0" w:space="0" w:color="auto"/>
      </w:divBdr>
    </w:div>
    <w:div w:id="1588538409">
      <w:marLeft w:val="0"/>
      <w:marRight w:val="0"/>
      <w:marTop w:val="0"/>
      <w:marBottom w:val="0"/>
      <w:divBdr>
        <w:top w:val="none" w:sz="0" w:space="0" w:color="auto"/>
        <w:left w:val="none" w:sz="0" w:space="0" w:color="auto"/>
        <w:bottom w:val="none" w:sz="0" w:space="0" w:color="auto"/>
        <w:right w:val="none" w:sz="0" w:space="0" w:color="auto"/>
      </w:divBdr>
    </w:div>
    <w:div w:id="1592736410">
      <w:marLeft w:val="0"/>
      <w:marRight w:val="0"/>
      <w:marTop w:val="0"/>
      <w:marBottom w:val="0"/>
      <w:divBdr>
        <w:top w:val="none" w:sz="0" w:space="0" w:color="auto"/>
        <w:left w:val="none" w:sz="0" w:space="0" w:color="auto"/>
        <w:bottom w:val="none" w:sz="0" w:space="0" w:color="auto"/>
        <w:right w:val="none" w:sz="0" w:space="0" w:color="auto"/>
      </w:divBdr>
    </w:div>
    <w:div w:id="1592857946">
      <w:marLeft w:val="0"/>
      <w:marRight w:val="0"/>
      <w:marTop w:val="0"/>
      <w:marBottom w:val="0"/>
      <w:divBdr>
        <w:top w:val="none" w:sz="0" w:space="0" w:color="auto"/>
        <w:left w:val="none" w:sz="0" w:space="0" w:color="auto"/>
        <w:bottom w:val="none" w:sz="0" w:space="0" w:color="auto"/>
        <w:right w:val="none" w:sz="0" w:space="0" w:color="auto"/>
      </w:divBdr>
    </w:div>
    <w:div w:id="1596591398">
      <w:marLeft w:val="0"/>
      <w:marRight w:val="0"/>
      <w:marTop w:val="0"/>
      <w:marBottom w:val="0"/>
      <w:divBdr>
        <w:top w:val="none" w:sz="0" w:space="0" w:color="auto"/>
        <w:left w:val="none" w:sz="0" w:space="0" w:color="auto"/>
        <w:bottom w:val="none" w:sz="0" w:space="0" w:color="auto"/>
        <w:right w:val="none" w:sz="0" w:space="0" w:color="auto"/>
      </w:divBdr>
    </w:div>
    <w:div w:id="1599486848">
      <w:marLeft w:val="0"/>
      <w:marRight w:val="0"/>
      <w:marTop w:val="0"/>
      <w:marBottom w:val="0"/>
      <w:divBdr>
        <w:top w:val="none" w:sz="0" w:space="0" w:color="auto"/>
        <w:left w:val="none" w:sz="0" w:space="0" w:color="auto"/>
        <w:bottom w:val="none" w:sz="0" w:space="0" w:color="auto"/>
        <w:right w:val="none" w:sz="0" w:space="0" w:color="auto"/>
      </w:divBdr>
    </w:div>
    <w:div w:id="1601110383">
      <w:marLeft w:val="0"/>
      <w:marRight w:val="0"/>
      <w:marTop w:val="0"/>
      <w:marBottom w:val="0"/>
      <w:divBdr>
        <w:top w:val="none" w:sz="0" w:space="0" w:color="auto"/>
        <w:left w:val="none" w:sz="0" w:space="0" w:color="auto"/>
        <w:bottom w:val="none" w:sz="0" w:space="0" w:color="auto"/>
        <w:right w:val="none" w:sz="0" w:space="0" w:color="auto"/>
      </w:divBdr>
    </w:div>
    <w:div w:id="1603488070">
      <w:marLeft w:val="0"/>
      <w:marRight w:val="0"/>
      <w:marTop w:val="0"/>
      <w:marBottom w:val="0"/>
      <w:divBdr>
        <w:top w:val="none" w:sz="0" w:space="0" w:color="auto"/>
        <w:left w:val="none" w:sz="0" w:space="0" w:color="auto"/>
        <w:bottom w:val="none" w:sz="0" w:space="0" w:color="auto"/>
        <w:right w:val="none" w:sz="0" w:space="0" w:color="auto"/>
      </w:divBdr>
    </w:div>
    <w:div w:id="1605728284">
      <w:marLeft w:val="0"/>
      <w:marRight w:val="0"/>
      <w:marTop w:val="0"/>
      <w:marBottom w:val="0"/>
      <w:divBdr>
        <w:top w:val="none" w:sz="0" w:space="0" w:color="auto"/>
        <w:left w:val="none" w:sz="0" w:space="0" w:color="auto"/>
        <w:bottom w:val="none" w:sz="0" w:space="0" w:color="auto"/>
        <w:right w:val="none" w:sz="0" w:space="0" w:color="auto"/>
      </w:divBdr>
    </w:div>
    <w:div w:id="1606186028">
      <w:marLeft w:val="0"/>
      <w:marRight w:val="0"/>
      <w:marTop w:val="0"/>
      <w:marBottom w:val="0"/>
      <w:divBdr>
        <w:top w:val="none" w:sz="0" w:space="0" w:color="auto"/>
        <w:left w:val="none" w:sz="0" w:space="0" w:color="auto"/>
        <w:bottom w:val="none" w:sz="0" w:space="0" w:color="auto"/>
        <w:right w:val="none" w:sz="0" w:space="0" w:color="auto"/>
      </w:divBdr>
    </w:div>
    <w:div w:id="1607155549">
      <w:marLeft w:val="0"/>
      <w:marRight w:val="0"/>
      <w:marTop w:val="0"/>
      <w:marBottom w:val="0"/>
      <w:divBdr>
        <w:top w:val="none" w:sz="0" w:space="0" w:color="auto"/>
        <w:left w:val="none" w:sz="0" w:space="0" w:color="auto"/>
        <w:bottom w:val="none" w:sz="0" w:space="0" w:color="auto"/>
        <w:right w:val="none" w:sz="0" w:space="0" w:color="auto"/>
      </w:divBdr>
    </w:div>
    <w:div w:id="1608804144">
      <w:marLeft w:val="0"/>
      <w:marRight w:val="0"/>
      <w:marTop w:val="0"/>
      <w:marBottom w:val="0"/>
      <w:divBdr>
        <w:top w:val="none" w:sz="0" w:space="0" w:color="auto"/>
        <w:left w:val="none" w:sz="0" w:space="0" w:color="auto"/>
        <w:bottom w:val="none" w:sz="0" w:space="0" w:color="auto"/>
        <w:right w:val="none" w:sz="0" w:space="0" w:color="auto"/>
      </w:divBdr>
    </w:div>
    <w:div w:id="1609463317">
      <w:marLeft w:val="0"/>
      <w:marRight w:val="0"/>
      <w:marTop w:val="0"/>
      <w:marBottom w:val="0"/>
      <w:divBdr>
        <w:top w:val="none" w:sz="0" w:space="0" w:color="auto"/>
        <w:left w:val="none" w:sz="0" w:space="0" w:color="auto"/>
        <w:bottom w:val="none" w:sz="0" w:space="0" w:color="auto"/>
        <w:right w:val="none" w:sz="0" w:space="0" w:color="auto"/>
      </w:divBdr>
    </w:div>
    <w:div w:id="1614053266">
      <w:marLeft w:val="0"/>
      <w:marRight w:val="0"/>
      <w:marTop w:val="0"/>
      <w:marBottom w:val="0"/>
      <w:divBdr>
        <w:top w:val="none" w:sz="0" w:space="0" w:color="auto"/>
        <w:left w:val="none" w:sz="0" w:space="0" w:color="auto"/>
        <w:bottom w:val="none" w:sz="0" w:space="0" w:color="auto"/>
        <w:right w:val="none" w:sz="0" w:space="0" w:color="auto"/>
      </w:divBdr>
    </w:div>
    <w:div w:id="1623464359">
      <w:marLeft w:val="0"/>
      <w:marRight w:val="0"/>
      <w:marTop w:val="0"/>
      <w:marBottom w:val="0"/>
      <w:divBdr>
        <w:top w:val="none" w:sz="0" w:space="0" w:color="auto"/>
        <w:left w:val="none" w:sz="0" w:space="0" w:color="auto"/>
        <w:bottom w:val="none" w:sz="0" w:space="0" w:color="auto"/>
        <w:right w:val="none" w:sz="0" w:space="0" w:color="auto"/>
      </w:divBdr>
    </w:div>
    <w:div w:id="1624312707">
      <w:marLeft w:val="0"/>
      <w:marRight w:val="0"/>
      <w:marTop w:val="0"/>
      <w:marBottom w:val="0"/>
      <w:divBdr>
        <w:top w:val="none" w:sz="0" w:space="0" w:color="auto"/>
        <w:left w:val="none" w:sz="0" w:space="0" w:color="auto"/>
        <w:bottom w:val="none" w:sz="0" w:space="0" w:color="auto"/>
        <w:right w:val="none" w:sz="0" w:space="0" w:color="auto"/>
      </w:divBdr>
    </w:div>
    <w:div w:id="1628315985">
      <w:marLeft w:val="0"/>
      <w:marRight w:val="0"/>
      <w:marTop w:val="0"/>
      <w:marBottom w:val="0"/>
      <w:divBdr>
        <w:top w:val="none" w:sz="0" w:space="0" w:color="auto"/>
        <w:left w:val="none" w:sz="0" w:space="0" w:color="auto"/>
        <w:bottom w:val="none" w:sz="0" w:space="0" w:color="auto"/>
        <w:right w:val="none" w:sz="0" w:space="0" w:color="auto"/>
      </w:divBdr>
    </w:div>
    <w:div w:id="1628509763">
      <w:marLeft w:val="0"/>
      <w:marRight w:val="0"/>
      <w:marTop w:val="0"/>
      <w:marBottom w:val="0"/>
      <w:divBdr>
        <w:top w:val="none" w:sz="0" w:space="0" w:color="auto"/>
        <w:left w:val="none" w:sz="0" w:space="0" w:color="auto"/>
        <w:bottom w:val="none" w:sz="0" w:space="0" w:color="auto"/>
        <w:right w:val="none" w:sz="0" w:space="0" w:color="auto"/>
      </w:divBdr>
    </w:div>
    <w:div w:id="1629316415">
      <w:marLeft w:val="0"/>
      <w:marRight w:val="0"/>
      <w:marTop w:val="0"/>
      <w:marBottom w:val="0"/>
      <w:divBdr>
        <w:top w:val="none" w:sz="0" w:space="0" w:color="auto"/>
        <w:left w:val="none" w:sz="0" w:space="0" w:color="auto"/>
        <w:bottom w:val="none" w:sz="0" w:space="0" w:color="auto"/>
        <w:right w:val="none" w:sz="0" w:space="0" w:color="auto"/>
      </w:divBdr>
    </w:div>
    <w:div w:id="1629974674">
      <w:marLeft w:val="0"/>
      <w:marRight w:val="0"/>
      <w:marTop w:val="0"/>
      <w:marBottom w:val="0"/>
      <w:divBdr>
        <w:top w:val="none" w:sz="0" w:space="0" w:color="auto"/>
        <w:left w:val="none" w:sz="0" w:space="0" w:color="auto"/>
        <w:bottom w:val="none" w:sz="0" w:space="0" w:color="auto"/>
        <w:right w:val="none" w:sz="0" w:space="0" w:color="auto"/>
      </w:divBdr>
    </w:div>
    <w:div w:id="1630209433">
      <w:marLeft w:val="0"/>
      <w:marRight w:val="0"/>
      <w:marTop w:val="0"/>
      <w:marBottom w:val="0"/>
      <w:divBdr>
        <w:top w:val="none" w:sz="0" w:space="0" w:color="auto"/>
        <w:left w:val="none" w:sz="0" w:space="0" w:color="auto"/>
        <w:bottom w:val="none" w:sz="0" w:space="0" w:color="auto"/>
        <w:right w:val="none" w:sz="0" w:space="0" w:color="auto"/>
      </w:divBdr>
    </w:div>
    <w:div w:id="1632710960">
      <w:marLeft w:val="0"/>
      <w:marRight w:val="0"/>
      <w:marTop w:val="0"/>
      <w:marBottom w:val="0"/>
      <w:divBdr>
        <w:top w:val="none" w:sz="0" w:space="0" w:color="auto"/>
        <w:left w:val="none" w:sz="0" w:space="0" w:color="auto"/>
        <w:bottom w:val="none" w:sz="0" w:space="0" w:color="auto"/>
        <w:right w:val="none" w:sz="0" w:space="0" w:color="auto"/>
      </w:divBdr>
    </w:div>
    <w:div w:id="1634554400">
      <w:marLeft w:val="0"/>
      <w:marRight w:val="0"/>
      <w:marTop w:val="0"/>
      <w:marBottom w:val="0"/>
      <w:divBdr>
        <w:top w:val="none" w:sz="0" w:space="0" w:color="auto"/>
        <w:left w:val="none" w:sz="0" w:space="0" w:color="auto"/>
        <w:bottom w:val="none" w:sz="0" w:space="0" w:color="auto"/>
        <w:right w:val="none" w:sz="0" w:space="0" w:color="auto"/>
      </w:divBdr>
    </w:div>
    <w:div w:id="1636060337">
      <w:marLeft w:val="0"/>
      <w:marRight w:val="0"/>
      <w:marTop w:val="0"/>
      <w:marBottom w:val="0"/>
      <w:divBdr>
        <w:top w:val="none" w:sz="0" w:space="0" w:color="auto"/>
        <w:left w:val="none" w:sz="0" w:space="0" w:color="auto"/>
        <w:bottom w:val="none" w:sz="0" w:space="0" w:color="auto"/>
        <w:right w:val="none" w:sz="0" w:space="0" w:color="auto"/>
      </w:divBdr>
    </w:div>
    <w:div w:id="1636177514">
      <w:marLeft w:val="0"/>
      <w:marRight w:val="0"/>
      <w:marTop w:val="0"/>
      <w:marBottom w:val="0"/>
      <w:divBdr>
        <w:top w:val="none" w:sz="0" w:space="0" w:color="auto"/>
        <w:left w:val="none" w:sz="0" w:space="0" w:color="auto"/>
        <w:bottom w:val="none" w:sz="0" w:space="0" w:color="auto"/>
        <w:right w:val="none" w:sz="0" w:space="0" w:color="auto"/>
      </w:divBdr>
    </w:div>
    <w:div w:id="1638141145">
      <w:marLeft w:val="0"/>
      <w:marRight w:val="0"/>
      <w:marTop w:val="0"/>
      <w:marBottom w:val="0"/>
      <w:divBdr>
        <w:top w:val="none" w:sz="0" w:space="0" w:color="auto"/>
        <w:left w:val="none" w:sz="0" w:space="0" w:color="auto"/>
        <w:bottom w:val="none" w:sz="0" w:space="0" w:color="auto"/>
        <w:right w:val="none" w:sz="0" w:space="0" w:color="auto"/>
      </w:divBdr>
    </w:div>
    <w:div w:id="1639727550">
      <w:marLeft w:val="0"/>
      <w:marRight w:val="0"/>
      <w:marTop w:val="0"/>
      <w:marBottom w:val="0"/>
      <w:divBdr>
        <w:top w:val="none" w:sz="0" w:space="0" w:color="auto"/>
        <w:left w:val="none" w:sz="0" w:space="0" w:color="auto"/>
        <w:bottom w:val="none" w:sz="0" w:space="0" w:color="auto"/>
        <w:right w:val="none" w:sz="0" w:space="0" w:color="auto"/>
      </w:divBdr>
    </w:div>
    <w:div w:id="1648171704">
      <w:marLeft w:val="0"/>
      <w:marRight w:val="0"/>
      <w:marTop w:val="0"/>
      <w:marBottom w:val="0"/>
      <w:divBdr>
        <w:top w:val="none" w:sz="0" w:space="0" w:color="auto"/>
        <w:left w:val="none" w:sz="0" w:space="0" w:color="auto"/>
        <w:bottom w:val="none" w:sz="0" w:space="0" w:color="auto"/>
        <w:right w:val="none" w:sz="0" w:space="0" w:color="auto"/>
      </w:divBdr>
    </w:div>
    <w:div w:id="1649475627">
      <w:marLeft w:val="0"/>
      <w:marRight w:val="0"/>
      <w:marTop w:val="0"/>
      <w:marBottom w:val="0"/>
      <w:divBdr>
        <w:top w:val="none" w:sz="0" w:space="0" w:color="auto"/>
        <w:left w:val="none" w:sz="0" w:space="0" w:color="auto"/>
        <w:bottom w:val="none" w:sz="0" w:space="0" w:color="auto"/>
        <w:right w:val="none" w:sz="0" w:space="0" w:color="auto"/>
      </w:divBdr>
    </w:div>
    <w:div w:id="1650866100">
      <w:marLeft w:val="0"/>
      <w:marRight w:val="0"/>
      <w:marTop w:val="0"/>
      <w:marBottom w:val="0"/>
      <w:divBdr>
        <w:top w:val="none" w:sz="0" w:space="0" w:color="auto"/>
        <w:left w:val="none" w:sz="0" w:space="0" w:color="auto"/>
        <w:bottom w:val="none" w:sz="0" w:space="0" w:color="auto"/>
        <w:right w:val="none" w:sz="0" w:space="0" w:color="auto"/>
      </w:divBdr>
    </w:div>
    <w:div w:id="1653866754">
      <w:marLeft w:val="0"/>
      <w:marRight w:val="0"/>
      <w:marTop w:val="0"/>
      <w:marBottom w:val="0"/>
      <w:divBdr>
        <w:top w:val="none" w:sz="0" w:space="0" w:color="auto"/>
        <w:left w:val="none" w:sz="0" w:space="0" w:color="auto"/>
        <w:bottom w:val="none" w:sz="0" w:space="0" w:color="auto"/>
        <w:right w:val="none" w:sz="0" w:space="0" w:color="auto"/>
      </w:divBdr>
    </w:div>
    <w:div w:id="1654604555">
      <w:marLeft w:val="0"/>
      <w:marRight w:val="0"/>
      <w:marTop w:val="0"/>
      <w:marBottom w:val="0"/>
      <w:divBdr>
        <w:top w:val="none" w:sz="0" w:space="0" w:color="auto"/>
        <w:left w:val="none" w:sz="0" w:space="0" w:color="auto"/>
        <w:bottom w:val="none" w:sz="0" w:space="0" w:color="auto"/>
        <w:right w:val="none" w:sz="0" w:space="0" w:color="auto"/>
      </w:divBdr>
    </w:div>
    <w:div w:id="1655135742">
      <w:marLeft w:val="0"/>
      <w:marRight w:val="0"/>
      <w:marTop w:val="0"/>
      <w:marBottom w:val="0"/>
      <w:divBdr>
        <w:top w:val="none" w:sz="0" w:space="0" w:color="auto"/>
        <w:left w:val="none" w:sz="0" w:space="0" w:color="auto"/>
        <w:bottom w:val="none" w:sz="0" w:space="0" w:color="auto"/>
        <w:right w:val="none" w:sz="0" w:space="0" w:color="auto"/>
      </w:divBdr>
    </w:div>
    <w:div w:id="1659646364">
      <w:marLeft w:val="0"/>
      <w:marRight w:val="0"/>
      <w:marTop w:val="0"/>
      <w:marBottom w:val="0"/>
      <w:divBdr>
        <w:top w:val="none" w:sz="0" w:space="0" w:color="auto"/>
        <w:left w:val="none" w:sz="0" w:space="0" w:color="auto"/>
        <w:bottom w:val="none" w:sz="0" w:space="0" w:color="auto"/>
        <w:right w:val="none" w:sz="0" w:space="0" w:color="auto"/>
      </w:divBdr>
    </w:div>
    <w:div w:id="1660427753">
      <w:marLeft w:val="0"/>
      <w:marRight w:val="0"/>
      <w:marTop w:val="0"/>
      <w:marBottom w:val="0"/>
      <w:divBdr>
        <w:top w:val="none" w:sz="0" w:space="0" w:color="auto"/>
        <w:left w:val="none" w:sz="0" w:space="0" w:color="auto"/>
        <w:bottom w:val="none" w:sz="0" w:space="0" w:color="auto"/>
        <w:right w:val="none" w:sz="0" w:space="0" w:color="auto"/>
      </w:divBdr>
    </w:div>
    <w:div w:id="1660763511">
      <w:marLeft w:val="0"/>
      <w:marRight w:val="0"/>
      <w:marTop w:val="0"/>
      <w:marBottom w:val="0"/>
      <w:divBdr>
        <w:top w:val="none" w:sz="0" w:space="0" w:color="auto"/>
        <w:left w:val="none" w:sz="0" w:space="0" w:color="auto"/>
        <w:bottom w:val="none" w:sz="0" w:space="0" w:color="auto"/>
        <w:right w:val="none" w:sz="0" w:space="0" w:color="auto"/>
      </w:divBdr>
    </w:div>
    <w:div w:id="1661957291">
      <w:marLeft w:val="0"/>
      <w:marRight w:val="0"/>
      <w:marTop w:val="0"/>
      <w:marBottom w:val="0"/>
      <w:divBdr>
        <w:top w:val="none" w:sz="0" w:space="0" w:color="auto"/>
        <w:left w:val="none" w:sz="0" w:space="0" w:color="auto"/>
        <w:bottom w:val="none" w:sz="0" w:space="0" w:color="auto"/>
        <w:right w:val="none" w:sz="0" w:space="0" w:color="auto"/>
      </w:divBdr>
    </w:div>
    <w:div w:id="1662849577">
      <w:marLeft w:val="0"/>
      <w:marRight w:val="0"/>
      <w:marTop w:val="0"/>
      <w:marBottom w:val="0"/>
      <w:divBdr>
        <w:top w:val="none" w:sz="0" w:space="0" w:color="auto"/>
        <w:left w:val="none" w:sz="0" w:space="0" w:color="auto"/>
        <w:bottom w:val="none" w:sz="0" w:space="0" w:color="auto"/>
        <w:right w:val="none" w:sz="0" w:space="0" w:color="auto"/>
      </w:divBdr>
    </w:div>
    <w:div w:id="1665350334">
      <w:marLeft w:val="0"/>
      <w:marRight w:val="0"/>
      <w:marTop w:val="0"/>
      <w:marBottom w:val="0"/>
      <w:divBdr>
        <w:top w:val="none" w:sz="0" w:space="0" w:color="auto"/>
        <w:left w:val="none" w:sz="0" w:space="0" w:color="auto"/>
        <w:bottom w:val="none" w:sz="0" w:space="0" w:color="auto"/>
        <w:right w:val="none" w:sz="0" w:space="0" w:color="auto"/>
      </w:divBdr>
    </w:div>
    <w:div w:id="1666203653">
      <w:marLeft w:val="0"/>
      <w:marRight w:val="0"/>
      <w:marTop w:val="0"/>
      <w:marBottom w:val="0"/>
      <w:divBdr>
        <w:top w:val="none" w:sz="0" w:space="0" w:color="auto"/>
        <w:left w:val="none" w:sz="0" w:space="0" w:color="auto"/>
        <w:bottom w:val="none" w:sz="0" w:space="0" w:color="auto"/>
        <w:right w:val="none" w:sz="0" w:space="0" w:color="auto"/>
      </w:divBdr>
    </w:div>
    <w:div w:id="1667780019">
      <w:marLeft w:val="0"/>
      <w:marRight w:val="0"/>
      <w:marTop w:val="0"/>
      <w:marBottom w:val="0"/>
      <w:divBdr>
        <w:top w:val="none" w:sz="0" w:space="0" w:color="auto"/>
        <w:left w:val="none" w:sz="0" w:space="0" w:color="auto"/>
        <w:bottom w:val="none" w:sz="0" w:space="0" w:color="auto"/>
        <w:right w:val="none" w:sz="0" w:space="0" w:color="auto"/>
      </w:divBdr>
    </w:div>
    <w:div w:id="1668710054">
      <w:marLeft w:val="0"/>
      <w:marRight w:val="0"/>
      <w:marTop w:val="0"/>
      <w:marBottom w:val="0"/>
      <w:divBdr>
        <w:top w:val="none" w:sz="0" w:space="0" w:color="auto"/>
        <w:left w:val="none" w:sz="0" w:space="0" w:color="auto"/>
        <w:bottom w:val="none" w:sz="0" w:space="0" w:color="auto"/>
        <w:right w:val="none" w:sz="0" w:space="0" w:color="auto"/>
      </w:divBdr>
    </w:div>
    <w:div w:id="1668896256">
      <w:marLeft w:val="0"/>
      <w:marRight w:val="0"/>
      <w:marTop w:val="0"/>
      <w:marBottom w:val="0"/>
      <w:divBdr>
        <w:top w:val="none" w:sz="0" w:space="0" w:color="auto"/>
        <w:left w:val="none" w:sz="0" w:space="0" w:color="auto"/>
        <w:bottom w:val="none" w:sz="0" w:space="0" w:color="auto"/>
        <w:right w:val="none" w:sz="0" w:space="0" w:color="auto"/>
      </w:divBdr>
    </w:div>
    <w:div w:id="1669096507">
      <w:marLeft w:val="0"/>
      <w:marRight w:val="0"/>
      <w:marTop w:val="0"/>
      <w:marBottom w:val="0"/>
      <w:divBdr>
        <w:top w:val="none" w:sz="0" w:space="0" w:color="auto"/>
        <w:left w:val="none" w:sz="0" w:space="0" w:color="auto"/>
        <w:bottom w:val="none" w:sz="0" w:space="0" w:color="auto"/>
        <w:right w:val="none" w:sz="0" w:space="0" w:color="auto"/>
      </w:divBdr>
    </w:div>
    <w:div w:id="1670400628">
      <w:marLeft w:val="0"/>
      <w:marRight w:val="0"/>
      <w:marTop w:val="0"/>
      <w:marBottom w:val="0"/>
      <w:divBdr>
        <w:top w:val="none" w:sz="0" w:space="0" w:color="auto"/>
        <w:left w:val="none" w:sz="0" w:space="0" w:color="auto"/>
        <w:bottom w:val="none" w:sz="0" w:space="0" w:color="auto"/>
        <w:right w:val="none" w:sz="0" w:space="0" w:color="auto"/>
      </w:divBdr>
    </w:div>
    <w:div w:id="1672178614">
      <w:marLeft w:val="0"/>
      <w:marRight w:val="0"/>
      <w:marTop w:val="0"/>
      <w:marBottom w:val="0"/>
      <w:divBdr>
        <w:top w:val="none" w:sz="0" w:space="0" w:color="auto"/>
        <w:left w:val="none" w:sz="0" w:space="0" w:color="auto"/>
        <w:bottom w:val="none" w:sz="0" w:space="0" w:color="auto"/>
        <w:right w:val="none" w:sz="0" w:space="0" w:color="auto"/>
      </w:divBdr>
    </w:div>
    <w:div w:id="1676835473">
      <w:marLeft w:val="0"/>
      <w:marRight w:val="0"/>
      <w:marTop w:val="0"/>
      <w:marBottom w:val="0"/>
      <w:divBdr>
        <w:top w:val="none" w:sz="0" w:space="0" w:color="auto"/>
        <w:left w:val="none" w:sz="0" w:space="0" w:color="auto"/>
        <w:bottom w:val="none" w:sz="0" w:space="0" w:color="auto"/>
        <w:right w:val="none" w:sz="0" w:space="0" w:color="auto"/>
      </w:divBdr>
    </w:div>
    <w:div w:id="1676953372">
      <w:marLeft w:val="0"/>
      <w:marRight w:val="0"/>
      <w:marTop w:val="0"/>
      <w:marBottom w:val="0"/>
      <w:divBdr>
        <w:top w:val="none" w:sz="0" w:space="0" w:color="auto"/>
        <w:left w:val="none" w:sz="0" w:space="0" w:color="auto"/>
        <w:bottom w:val="none" w:sz="0" w:space="0" w:color="auto"/>
        <w:right w:val="none" w:sz="0" w:space="0" w:color="auto"/>
      </w:divBdr>
    </w:div>
    <w:div w:id="1677489696">
      <w:marLeft w:val="0"/>
      <w:marRight w:val="0"/>
      <w:marTop w:val="0"/>
      <w:marBottom w:val="0"/>
      <w:divBdr>
        <w:top w:val="none" w:sz="0" w:space="0" w:color="auto"/>
        <w:left w:val="none" w:sz="0" w:space="0" w:color="auto"/>
        <w:bottom w:val="none" w:sz="0" w:space="0" w:color="auto"/>
        <w:right w:val="none" w:sz="0" w:space="0" w:color="auto"/>
      </w:divBdr>
    </w:div>
    <w:div w:id="1677998193">
      <w:marLeft w:val="0"/>
      <w:marRight w:val="0"/>
      <w:marTop w:val="0"/>
      <w:marBottom w:val="0"/>
      <w:divBdr>
        <w:top w:val="none" w:sz="0" w:space="0" w:color="auto"/>
        <w:left w:val="none" w:sz="0" w:space="0" w:color="auto"/>
        <w:bottom w:val="none" w:sz="0" w:space="0" w:color="auto"/>
        <w:right w:val="none" w:sz="0" w:space="0" w:color="auto"/>
      </w:divBdr>
    </w:div>
    <w:div w:id="1680497819">
      <w:marLeft w:val="0"/>
      <w:marRight w:val="0"/>
      <w:marTop w:val="0"/>
      <w:marBottom w:val="0"/>
      <w:divBdr>
        <w:top w:val="none" w:sz="0" w:space="0" w:color="auto"/>
        <w:left w:val="none" w:sz="0" w:space="0" w:color="auto"/>
        <w:bottom w:val="none" w:sz="0" w:space="0" w:color="auto"/>
        <w:right w:val="none" w:sz="0" w:space="0" w:color="auto"/>
      </w:divBdr>
    </w:div>
    <w:div w:id="1681540820">
      <w:marLeft w:val="0"/>
      <w:marRight w:val="0"/>
      <w:marTop w:val="0"/>
      <w:marBottom w:val="0"/>
      <w:divBdr>
        <w:top w:val="none" w:sz="0" w:space="0" w:color="auto"/>
        <w:left w:val="none" w:sz="0" w:space="0" w:color="auto"/>
        <w:bottom w:val="none" w:sz="0" w:space="0" w:color="auto"/>
        <w:right w:val="none" w:sz="0" w:space="0" w:color="auto"/>
      </w:divBdr>
    </w:div>
    <w:div w:id="1682320067">
      <w:marLeft w:val="0"/>
      <w:marRight w:val="0"/>
      <w:marTop w:val="0"/>
      <w:marBottom w:val="0"/>
      <w:divBdr>
        <w:top w:val="none" w:sz="0" w:space="0" w:color="auto"/>
        <w:left w:val="none" w:sz="0" w:space="0" w:color="auto"/>
        <w:bottom w:val="none" w:sz="0" w:space="0" w:color="auto"/>
        <w:right w:val="none" w:sz="0" w:space="0" w:color="auto"/>
      </w:divBdr>
    </w:div>
    <w:div w:id="1685545816">
      <w:marLeft w:val="0"/>
      <w:marRight w:val="0"/>
      <w:marTop w:val="0"/>
      <w:marBottom w:val="0"/>
      <w:divBdr>
        <w:top w:val="none" w:sz="0" w:space="0" w:color="auto"/>
        <w:left w:val="none" w:sz="0" w:space="0" w:color="auto"/>
        <w:bottom w:val="none" w:sz="0" w:space="0" w:color="auto"/>
        <w:right w:val="none" w:sz="0" w:space="0" w:color="auto"/>
      </w:divBdr>
    </w:div>
    <w:div w:id="1686469804">
      <w:marLeft w:val="0"/>
      <w:marRight w:val="0"/>
      <w:marTop w:val="0"/>
      <w:marBottom w:val="0"/>
      <w:divBdr>
        <w:top w:val="none" w:sz="0" w:space="0" w:color="auto"/>
        <w:left w:val="none" w:sz="0" w:space="0" w:color="auto"/>
        <w:bottom w:val="none" w:sz="0" w:space="0" w:color="auto"/>
        <w:right w:val="none" w:sz="0" w:space="0" w:color="auto"/>
      </w:divBdr>
    </w:div>
    <w:div w:id="1686832193">
      <w:marLeft w:val="0"/>
      <w:marRight w:val="0"/>
      <w:marTop w:val="0"/>
      <w:marBottom w:val="0"/>
      <w:divBdr>
        <w:top w:val="none" w:sz="0" w:space="0" w:color="auto"/>
        <w:left w:val="none" w:sz="0" w:space="0" w:color="auto"/>
        <w:bottom w:val="none" w:sz="0" w:space="0" w:color="auto"/>
        <w:right w:val="none" w:sz="0" w:space="0" w:color="auto"/>
      </w:divBdr>
    </w:div>
    <w:div w:id="1687321293">
      <w:marLeft w:val="0"/>
      <w:marRight w:val="0"/>
      <w:marTop w:val="0"/>
      <w:marBottom w:val="0"/>
      <w:divBdr>
        <w:top w:val="none" w:sz="0" w:space="0" w:color="auto"/>
        <w:left w:val="none" w:sz="0" w:space="0" w:color="auto"/>
        <w:bottom w:val="none" w:sz="0" w:space="0" w:color="auto"/>
        <w:right w:val="none" w:sz="0" w:space="0" w:color="auto"/>
      </w:divBdr>
    </w:div>
    <w:div w:id="1688941143">
      <w:marLeft w:val="0"/>
      <w:marRight w:val="0"/>
      <w:marTop w:val="0"/>
      <w:marBottom w:val="0"/>
      <w:divBdr>
        <w:top w:val="none" w:sz="0" w:space="0" w:color="auto"/>
        <w:left w:val="none" w:sz="0" w:space="0" w:color="auto"/>
        <w:bottom w:val="none" w:sz="0" w:space="0" w:color="auto"/>
        <w:right w:val="none" w:sz="0" w:space="0" w:color="auto"/>
      </w:divBdr>
    </w:div>
    <w:div w:id="1692803501">
      <w:marLeft w:val="0"/>
      <w:marRight w:val="0"/>
      <w:marTop w:val="0"/>
      <w:marBottom w:val="0"/>
      <w:divBdr>
        <w:top w:val="none" w:sz="0" w:space="0" w:color="auto"/>
        <w:left w:val="none" w:sz="0" w:space="0" w:color="auto"/>
        <w:bottom w:val="none" w:sz="0" w:space="0" w:color="auto"/>
        <w:right w:val="none" w:sz="0" w:space="0" w:color="auto"/>
      </w:divBdr>
    </w:div>
    <w:div w:id="1693456980">
      <w:marLeft w:val="0"/>
      <w:marRight w:val="0"/>
      <w:marTop w:val="0"/>
      <w:marBottom w:val="0"/>
      <w:divBdr>
        <w:top w:val="none" w:sz="0" w:space="0" w:color="auto"/>
        <w:left w:val="none" w:sz="0" w:space="0" w:color="auto"/>
        <w:bottom w:val="none" w:sz="0" w:space="0" w:color="auto"/>
        <w:right w:val="none" w:sz="0" w:space="0" w:color="auto"/>
      </w:divBdr>
    </w:div>
    <w:div w:id="1693677558">
      <w:marLeft w:val="0"/>
      <w:marRight w:val="0"/>
      <w:marTop w:val="0"/>
      <w:marBottom w:val="0"/>
      <w:divBdr>
        <w:top w:val="none" w:sz="0" w:space="0" w:color="auto"/>
        <w:left w:val="none" w:sz="0" w:space="0" w:color="auto"/>
        <w:bottom w:val="none" w:sz="0" w:space="0" w:color="auto"/>
        <w:right w:val="none" w:sz="0" w:space="0" w:color="auto"/>
      </w:divBdr>
    </w:div>
    <w:div w:id="1693993766">
      <w:marLeft w:val="0"/>
      <w:marRight w:val="0"/>
      <w:marTop w:val="0"/>
      <w:marBottom w:val="0"/>
      <w:divBdr>
        <w:top w:val="none" w:sz="0" w:space="0" w:color="auto"/>
        <w:left w:val="none" w:sz="0" w:space="0" w:color="auto"/>
        <w:bottom w:val="none" w:sz="0" w:space="0" w:color="auto"/>
        <w:right w:val="none" w:sz="0" w:space="0" w:color="auto"/>
      </w:divBdr>
    </w:div>
    <w:div w:id="1694577106">
      <w:marLeft w:val="0"/>
      <w:marRight w:val="0"/>
      <w:marTop w:val="0"/>
      <w:marBottom w:val="0"/>
      <w:divBdr>
        <w:top w:val="none" w:sz="0" w:space="0" w:color="auto"/>
        <w:left w:val="none" w:sz="0" w:space="0" w:color="auto"/>
        <w:bottom w:val="none" w:sz="0" w:space="0" w:color="auto"/>
        <w:right w:val="none" w:sz="0" w:space="0" w:color="auto"/>
      </w:divBdr>
    </w:div>
    <w:div w:id="1696926477">
      <w:marLeft w:val="0"/>
      <w:marRight w:val="0"/>
      <w:marTop w:val="0"/>
      <w:marBottom w:val="0"/>
      <w:divBdr>
        <w:top w:val="none" w:sz="0" w:space="0" w:color="auto"/>
        <w:left w:val="none" w:sz="0" w:space="0" w:color="auto"/>
        <w:bottom w:val="none" w:sz="0" w:space="0" w:color="auto"/>
        <w:right w:val="none" w:sz="0" w:space="0" w:color="auto"/>
      </w:divBdr>
    </w:div>
    <w:div w:id="1697996455">
      <w:marLeft w:val="0"/>
      <w:marRight w:val="0"/>
      <w:marTop w:val="0"/>
      <w:marBottom w:val="0"/>
      <w:divBdr>
        <w:top w:val="none" w:sz="0" w:space="0" w:color="auto"/>
        <w:left w:val="none" w:sz="0" w:space="0" w:color="auto"/>
        <w:bottom w:val="none" w:sz="0" w:space="0" w:color="auto"/>
        <w:right w:val="none" w:sz="0" w:space="0" w:color="auto"/>
      </w:divBdr>
    </w:div>
    <w:div w:id="1698046357">
      <w:marLeft w:val="0"/>
      <w:marRight w:val="0"/>
      <w:marTop w:val="0"/>
      <w:marBottom w:val="0"/>
      <w:divBdr>
        <w:top w:val="none" w:sz="0" w:space="0" w:color="auto"/>
        <w:left w:val="none" w:sz="0" w:space="0" w:color="auto"/>
        <w:bottom w:val="none" w:sz="0" w:space="0" w:color="auto"/>
        <w:right w:val="none" w:sz="0" w:space="0" w:color="auto"/>
      </w:divBdr>
    </w:div>
    <w:div w:id="1699545315">
      <w:marLeft w:val="0"/>
      <w:marRight w:val="0"/>
      <w:marTop w:val="0"/>
      <w:marBottom w:val="0"/>
      <w:divBdr>
        <w:top w:val="none" w:sz="0" w:space="0" w:color="auto"/>
        <w:left w:val="none" w:sz="0" w:space="0" w:color="auto"/>
        <w:bottom w:val="none" w:sz="0" w:space="0" w:color="auto"/>
        <w:right w:val="none" w:sz="0" w:space="0" w:color="auto"/>
      </w:divBdr>
    </w:div>
    <w:div w:id="1704405102">
      <w:marLeft w:val="0"/>
      <w:marRight w:val="0"/>
      <w:marTop w:val="0"/>
      <w:marBottom w:val="0"/>
      <w:divBdr>
        <w:top w:val="none" w:sz="0" w:space="0" w:color="auto"/>
        <w:left w:val="none" w:sz="0" w:space="0" w:color="auto"/>
        <w:bottom w:val="none" w:sz="0" w:space="0" w:color="auto"/>
        <w:right w:val="none" w:sz="0" w:space="0" w:color="auto"/>
      </w:divBdr>
    </w:div>
    <w:div w:id="1707097609">
      <w:marLeft w:val="0"/>
      <w:marRight w:val="0"/>
      <w:marTop w:val="0"/>
      <w:marBottom w:val="0"/>
      <w:divBdr>
        <w:top w:val="none" w:sz="0" w:space="0" w:color="auto"/>
        <w:left w:val="none" w:sz="0" w:space="0" w:color="auto"/>
        <w:bottom w:val="none" w:sz="0" w:space="0" w:color="auto"/>
        <w:right w:val="none" w:sz="0" w:space="0" w:color="auto"/>
      </w:divBdr>
    </w:div>
    <w:div w:id="1707565551">
      <w:marLeft w:val="0"/>
      <w:marRight w:val="0"/>
      <w:marTop w:val="0"/>
      <w:marBottom w:val="0"/>
      <w:divBdr>
        <w:top w:val="none" w:sz="0" w:space="0" w:color="auto"/>
        <w:left w:val="none" w:sz="0" w:space="0" w:color="auto"/>
        <w:bottom w:val="none" w:sz="0" w:space="0" w:color="auto"/>
        <w:right w:val="none" w:sz="0" w:space="0" w:color="auto"/>
      </w:divBdr>
    </w:div>
    <w:div w:id="1711565876">
      <w:marLeft w:val="0"/>
      <w:marRight w:val="0"/>
      <w:marTop w:val="0"/>
      <w:marBottom w:val="0"/>
      <w:divBdr>
        <w:top w:val="none" w:sz="0" w:space="0" w:color="auto"/>
        <w:left w:val="none" w:sz="0" w:space="0" w:color="auto"/>
        <w:bottom w:val="none" w:sz="0" w:space="0" w:color="auto"/>
        <w:right w:val="none" w:sz="0" w:space="0" w:color="auto"/>
      </w:divBdr>
    </w:div>
    <w:div w:id="1712612713">
      <w:marLeft w:val="0"/>
      <w:marRight w:val="0"/>
      <w:marTop w:val="0"/>
      <w:marBottom w:val="0"/>
      <w:divBdr>
        <w:top w:val="none" w:sz="0" w:space="0" w:color="auto"/>
        <w:left w:val="none" w:sz="0" w:space="0" w:color="auto"/>
        <w:bottom w:val="none" w:sz="0" w:space="0" w:color="auto"/>
        <w:right w:val="none" w:sz="0" w:space="0" w:color="auto"/>
      </w:divBdr>
    </w:div>
    <w:div w:id="1715497279">
      <w:marLeft w:val="0"/>
      <w:marRight w:val="0"/>
      <w:marTop w:val="0"/>
      <w:marBottom w:val="0"/>
      <w:divBdr>
        <w:top w:val="none" w:sz="0" w:space="0" w:color="auto"/>
        <w:left w:val="none" w:sz="0" w:space="0" w:color="auto"/>
        <w:bottom w:val="none" w:sz="0" w:space="0" w:color="auto"/>
        <w:right w:val="none" w:sz="0" w:space="0" w:color="auto"/>
      </w:divBdr>
    </w:div>
    <w:div w:id="1715621884">
      <w:marLeft w:val="0"/>
      <w:marRight w:val="0"/>
      <w:marTop w:val="0"/>
      <w:marBottom w:val="0"/>
      <w:divBdr>
        <w:top w:val="none" w:sz="0" w:space="0" w:color="auto"/>
        <w:left w:val="none" w:sz="0" w:space="0" w:color="auto"/>
        <w:bottom w:val="none" w:sz="0" w:space="0" w:color="auto"/>
        <w:right w:val="none" w:sz="0" w:space="0" w:color="auto"/>
      </w:divBdr>
    </w:div>
    <w:div w:id="1717460916">
      <w:marLeft w:val="0"/>
      <w:marRight w:val="0"/>
      <w:marTop w:val="0"/>
      <w:marBottom w:val="0"/>
      <w:divBdr>
        <w:top w:val="none" w:sz="0" w:space="0" w:color="auto"/>
        <w:left w:val="none" w:sz="0" w:space="0" w:color="auto"/>
        <w:bottom w:val="none" w:sz="0" w:space="0" w:color="auto"/>
        <w:right w:val="none" w:sz="0" w:space="0" w:color="auto"/>
      </w:divBdr>
    </w:div>
    <w:div w:id="1727336099">
      <w:marLeft w:val="0"/>
      <w:marRight w:val="0"/>
      <w:marTop w:val="0"/>
      <w:marBottom w:val="0"/>
      <w:divBdr>
        <w:top w:val="none" w:sz="0" w:space="0" w:color="auto"/>
        <w:left w:val="none" w:sz="0" w:space="0" w:color="auto"/>
        <w:bottom w:val="none" w:sz="0" w:space="0" w:color="auto"/>
        <w:right w:val="none" w:sz="0" w:space="0" w:color="auto"/>
      </w:divBdr>
    </w:div>
    <w:div w:id="1727491899">
      <w:marLeft w:val="0"/>
      <w:marRight w:val="0"/>
      <w:marTop w:val="0"/>
      <w:marBottom w:val="0"/>
      <w:divBdr>
        <w:top w:val="none" w:sz="0" w:space="0" w:color="auto"/>
        <w:left w:val="none" w:sz="0" w:space="0" w:color="auto"/>
        <w:bottom w:val="none" w:sz="0" w:space="0" w:color="auto"/>
        <w:right w:val="none" w:sz="0" w:space="0" w:color="auto"/>
      </w:divBdr>
    </w:div>
    <w:div w:id="1727990651">
      <w:marLeft w:val="0"/>
      <w:marRight w:val="0"/>
      <w:marTop w:val="0"/>
      <w:marBottom w:val="0"/>
      <w:divBdr>
        <w:top w:val="none" w:sz="0" w:space="0" w:color="auto"/>
        <w:left w:val="none" w:sz="0" w:space="0" w:color="auto"/>
        <w:bottom w:val="none" w:sz="0" w:space="0" w:color="auto"/>
        <w:right w:val="none" w:sz="0" w:space="0" w:color="auto"/>
      </w:divBdr>
    </w:div>
    <w:div w:id="1728533534">
      <w:marLeft w:val="0"/>
      <w:marRight w:val="0"/>
      <w:marTop w:val="0"/>
      <w:marBottom w:val="0"/>
      <w:divBdr>
        <w:top w:val="none" w:sz="0" w:space="0" w:color="auto"/>
        <w:left w:val="none" w:sz="0" w:space="0" w:color="auto"/>
        <w:bottom w:val="none" w:sz="0" w:space="0" w:color="auto"/>
        <w:right w:val="none" w:sz="0" w:space="0" w:color="auto"/>
      </w:divBdr>
    </w:div>
    <w:div w:id="1729693658">
      <w:marLeft w:val="0"/>
      <w:marRight w:val="0"/>
      <w:marTop w:val="0"/>
      <w:marBottom w:val="0"/>
      <w:divBdr>
        <w:top w:val="none" w:sz="0" w:space="0" w:color="auto"/>
        <w:left w:val="none" w:sz="0" w:space="0" w:color="auto"/>
        <w:bottom w:val="none" w:sz="0" w:space="0" w:color="auto"/>
        <w:right w:val="none" w:sz="0" w:space="0" w:color="auto"/>
      </w:divBdr>
    </w:div>
    <w:div w:id="1732195005">
      <w:marLeft w:val="0"/>
      <w:marRight w:val="0"/>
      <w:marTop w:val="0"/>
      <w:marBottom w:val="0"/>
      <w:divBdr>
        <w:top w:val="none" w:sz="0" w:space="0" w:color="auto"/>
        <w:left w:val="none" w:sz="0" w:space="0" w:color="auto"/>
        <w:bottom w:val="none" w:sz="0" w:space="0" w:color="auto"/>
        <w:right w:val="none" w:sz="0" w:space="0" w:color="auto"/>
      </w:divBdr>
    </w:div>
    <w:div w:id="1732726580">
      <w:marLeft w:val="0"/>
      <w:marRight w:val="0"/>
      <w:marTop w:val="0"/>
      <w:marBottom w:val="0"/>
      <w:divBdr>
        <w:top w:val="none" w:sz="0" w:space="0" w:color="auto"/>
        <w:left w:val="none" w:sz="0" w:space="0" w:color="auto"/>
        <w:bottom w:val="none" w:sz="0" w:space="0" w:color="auto"/>
        <w:right w:val="none" w:sz="0" w:space="0" w:color="auto"/>
      </w:divBdr>
    </w:div>
    <w:div w:id="1733231917">
      <w:marLeft w:val="0"/>
      <w:marRight w:val="0"/>
      <w:marTop w:val="0"/>
      <w:marBottom w:val="0"/>
      <w:divBdr>
        <w:top w:val="none" w:sz="0" w:space="0" w:color="auto"/>
        <w:left w:val="none" w:sz="0" w:space="0" w:color="auto"/>
        <w:bottom w:val="none" w:sz="0" w:space="0" w:color="auto"/>
        <w:right w:val="none" w:sz="0" w:space="0" w:color="auto"/>
      </w:divBdr>
    </w:div>
    <w:div w:id="1739745216">
      <w:marLeft w:val="0"/>
      <w:marRight w:val="0"/>
      <w:marTop w:val="0"/>
      <w:marBottom w:val="0"/>
      <w:divBdr>
        <w:top w:val="none" w:sz="0" w:space="0" w:color="auto"/>
        <w:left w:val="none" w:sz="0" w:space="0" w:color="auto"/>
        <w:bottom w:val="none" w:sz="0" w:space="0" w:color="auto"/>
        <w:right w:val="none" w:sz="0" w:space="0" w:color="auto"/>
      </w:divBdr>
    </w:div>
    <w:div w:id="1747071847">
      <w:marLeft w:val="0"/>
      <w:marRight w:val="0"/>
      <w:marTop w:val="0"/>
      <w:marBottom w:val="0"/>
      <w:divBdr>
        <w:top w:val="none" w:sz="0" w:space="0" w:color="auto"/>
        <w:left w:val="none" w:sz="0" w:space="0" w:color="auto"/>
        <w:bottom w:val="none" w:sz="0" w:space="0" w:color="auto"/>
        <w:right w:val="none" w:sz="0" w:space="0" w:color="auto"/>
      </w:divBdr>
    </w:div>
    <w:div w:id="1748644725">
      <w:marLeft w:val="0"/>
      <w:marRight w:val="0"/>
      <w:marTop w:val="0"/>
      <w:marBottom w:val="0"/>
      <w:divBdr>
        <w:top w:val="none" w:sz="0" w:space="0" w:color="auto"/>
        <w:left w:val="none" w:sz="0" w:space="0" w:color="auto"/>
        <w:bottom w:val="none" w:sz="0" w:space="0" w:color="auto"/>
        <w:right w:val="none" w:sz="0" w:space="0" w:color="auto"/>
      </w:divBdr>
    </w:div>
    <w:div w:id="1753698724">
      <w:marLeft w:val="0"/>
      <w:marRight w:val="0"/>
      <w:marTop w:val="0"/>
      <w:marBottom w:val="0"/>
      <w:divBdr>
        <w:top w:val="none" w:sz="0" w:space="0" w:color="auto"/>
        <w:left w:val="none" w:sz="0" w:space="0" w:color="auto"/>
        <w:bottom w:val="none" w:sz="0" w:space="0" w:color="auto"/>
        <w:right w:val="none" w:sz="0" w:space="0" w:color="auto"/>
      </w:divBdr>
    </w:div>
    <w:div w:id="1755858065">
      <w:marLeft w:val="0"/>
      <w:marRight w:val="0"/>
      <w:marTop w:val="0"/>
      <w:marBottom w:val="0"/>
      <w:divBdr>
        <w:top w:val="none" w:sz="0" w:space="0" w:color="auto"/>
        <w:left w:val="none" w:sz="0" w:space="0" w:color="auto"/>
        <w:bottom w:val="none" w:sz="0" w:space="0" w:color="auto"/>
        <w:right w:val="none" w:sz="0" w:space="0" w:color="auto"/>
      </w:divBdr>
    </w:div>
    <w:div w:id="1760641507">
      <w:marLeft w:val="0"/>
      <w:marRight w:val="0"/>
      <w:marTop w:val="0"/>
      <w:marBottom w:val="0"/>
      <w:divBdr>
        <w:top w:val="none" w:sz="0" w:space="0" w:color="auto"/>
        <w:left w:val="none" w:sz="0" w:space="0" w:color="auto"/>
        <w:bottom w:val="none" w:sz="0" w:space="0" w:color="auto"/>
        <w:right w:val="none" w:sz="0" w:space="0" w:color="auto"/>
      </w:divBdr>
    </w:div>
    <w:div w:id="1761095248">
      <w:marLeft w:val="0"/>
      <w:marRight w:val="0"/>
      <w:marTop w:val="0"/>
      <w:marBottom w:val="0"/>
      <w:divBdr>
        <w:top w:val="none" w:sz="0" w:space="0" w:color="auto"/>
        <w:left w:val="none" w:sz="0" w:space="0" w:color="auto"/>
        <w:bottom w:val="none" w:sz="0" w:space="0" w:color="auto"/>
        <w:right w:val="none" w:sz="0" w:space="0" w:color="auto"/>
      </w:divBdr>
    </w:div>
    <w:div w:id="1763916363">
      <w:marLeft w:val="0"/>
      <w:marRight w:val="0"/>
      <w:marTop w:val="0"/>
      <w:marBottom w:val="0"/>
      <w:divBdr>
        <w:top w:val="none" w:sz="0" w:space="0" w:color="auto"/>
        <w:left w:val="none" w:sz="0" w:space="0" w:color="auto"/>
        <w:bottom w:val="none" w:sz="0" w:space="0" w:color="auto"/>
        <w:right w:val="none" w:sz="0" w:space="0" w:color="auto"/>
      </w:divBdr>
    </w:div>
    <w:div w:id="1764033630">
      <w:marLeft w:val="0"/>
      <w:marRight w:val="0"/>
      <w:marTop w:val="0"/>
      <w:marBottom w:val="0"/>
      <w:divBdr>
        <w:top w:val="none" w:sz="0" w:space="0" w:color="auto"/>
        <w:left w:val="none" w:sz="0" w:space="0" w:color="auto"/>
        <w:bottom w:val="none" w:sz="0" w:space="0" w:color="auto"/>
        <w:right w:val="none" w:sz="0" w:space="0" w:color="auto"/>
      </w:divBdr>
    </w:div>
    <w:div w:id="1764954838">
      <w:marLeft w:val="0"/>
      <w:marRight w:val="0"/>
      <w:marTop w:val="0"/>
      <w:marBottom w:val="0"/>
      <w:divBdr>
        <w:top w:val="none" w:sz="0" w:space="0" w:color="auto"/>
        <w:left w:val="none" w:sz="0" w:space="0" w:color="auto"/>
        <w:bottom w:val="none" w:sz="0" w:space="0" w:color="auto"/>
        <w:right w:val="none" w:sz="0" w:space="0" w:color="auto"/>
      </w:divBdr>
    </w:div>
    <w:div w:id="1765570759">
      <w:marLeft w:val="0"/>
      <w:marRight w:val="0"/>
      <w:marTop w:val="0"/>
      <w:marBottom w:val="0"/>
      <w:divBdr>
        <w:top w:val="none" w:sz="0" w:space="0" w:color="auto"/>
        <w:left w:val="none" w:sz="0" w:space="0" w:color="auto"/>
        <w:bottom w:val="none" w:sz="0" w:space="0" w:color="auto"/>
        <w:right w:val="none" w:sz="0" w:space="0" w:color="auto"/>
      </w:divBdr>
    </w:div>
    <w:div w:id="1768232251">
      <w:marLeft w:val="0"/>
      <w:marRight w:val="0"/>
      <w:marTop w:val="0"/>
      <w:marBottom w:val="0"/>
      <w:divBdr>
        <w:top w:val="none" w:sz="0" w:space="0" w:color="auto"/>
        <w:left w:val="none" w:sz="0" w:space="0" w:color="auto"/>
        <w:bottom w:val="none" w:sz="0" w:space="0" w:color="auto"/>
        <w:right w:val="none" w:sz="0" w:space="0" w:color="auto"/>
      </w:divBdr>
    </w:div>
    <w:div w:id="1769161036">
      <w:marLeft w:val="0"/>
      <w:marRight w:val="0"/>
      <w:marTop w:val="0"/>
      <w:marBottom w:val="0"/>
      <w:divBdr>
        <w:top w:val="none" w:sz="0" w:space="0" w:color="auto"/>
        <w:left w:val="none" w:sz="0" w:space="0" w:color="auto"/>
        <w:bottom w:val="none" w:sz="0" w:space="0" w:color="auto"/>
        <w:right w:val="none" w:sz="0" w:space="0" w:color="auto"/>
      </w:divBdr>
    </w:div>
    <w:div w:id="1774132816">
      <w:marLeft w:val="0"/>
      <w:marRight w:val="0"/>
      <w:marTop w:val="0"/>
      <w:marBottom w:val="0"/>
      <w:divBdr>
        <w:top w:val="none" w:sz="0" w:space="0" w:color="auto"/>
        <w:left w:val="none" w:sz="0" w:space="0" w:color="auto"/>
        <w:bottom w:val="none" w:sz="0" w:space="0" w:color="auto"/>
        <w:right w:val="none" w:sz="0" w:space="0" w:color="auto"/>
      </w:divBdr>
    </w:div>
    <w:div w:id="1774931737">
      <w:marLeft w:val="0"/>
      <w:marRight w:val="0"/>
      <w:marTop w:val="0"/>
      <w:marBottom w:val="0"/>
      <w:divBdr>
        <w:top w:val="none" w:sz="0" w:space="0" w:color="auto"/>
        <w:left w:val="none" w:sz="0" w:space="0" w:color="auto"/>
        <w:bottom w:val="none" w:sz="0" w:space="0" w:color="auto"/>
        <w:right w:val="none" w:sz="0" w:space="0" w:color="auto"/>
      </w:divBdr>
    </w:div>
    <w:div w:id="1775977059">
      <w:marLeft w:val="0"/>
      <w:marRight w:val="0"/>
      <w:marTop w:val="0"/>
      <w:marBottom w:val="0"/>
      <w:divBdr>
        <w:top w:val="none" w:sz="0" w:space="0" w:color="auto"/>
        <w:left w:val="none" w:sz="0" w:space="0" w:color="auto"/>
        <w:bottom w:val="none" w:sz="0" w:space="0" w:color="auto"/>
        <w:right w:val="none" w:sz="0" w:space="0" w:color="auto"/>
      </w:divBdr>
    </w:div>
    <w:div w:id="1777285543">
      <w:marLeft w:val="0"/>
      <w:marRight w:val="0"/>
      <w:marTop w:val="0"/>
      <w:marBottom w:val="0"/>
      <w:divBdr>
        <w:top w:val="none" w:sz="0" w:space="0" w:color="auto"/>
        <w:left w:val="none" w:sz="0" w:space="0" w:color="auto"/>
        <w:bottom w:val="none" w:sz="0" w:space="0" w:color="auto"/>
        <w:right w:val="none" w:sz="0" w:space="0" w:color="auto"/>
      </w:divBdr>
    </w:div>
    <w:div w:id="1781140516">
      <w:marLeft w:val="0"/>
      <w:marRight w:val="0"/>
      <w:marTop w:val="0"/>
      <w:marBottom w:val="0"/>
      <w:divBdr>
        <w:top w:val="none" w:sz="0" w:space="0" w:color="auto"/>
        <w:left w:val="none" w:sz="0" w:space="0" w:color="auto"/>
        <w:bottom w:val="none" w:sz="0" w:space="0" w:color="auto"/>
        <w:right w:val="none" w:sz="0" w:space="0" w:color="auto"/>
      </w:divBdr>
    </w:div>
    <w:div w:id="1781140983">
      <w:marLeft w:val="0"/>
      <w:marRight w:val="0"/>
      <w:marTop w:val="0"/>
      <w:marBottom w:val="0"/>
      <w:divBdr>
        <w:top w:val="none" w:sz="0" w:space="0" w:color="auto"/>
        <w:left w:val="none" w:sz="0" w:space="0" w:color="auto"/>
        <w:bottom w:val="none" w:sz="0" w:space="0" w:color="auto"/>
        <w:right w:val="none" w:sz="0" w:space="0" w:color="auto"/>
      </w:divBdr>
    </w:div>
    <w:div w:id="1783917923">
      <w:marLeft w:val="0"/>
      <w:marRight w:val="0"/>
      <w:marTop w:val="0"/>
      <w:marBottom w:val="0"/>
      <w:divBdr>
        <w:top w:val="none" w:sz="0" w:space="0" w:color="auto"/>
        <w:left w:val="none" w:sz="0" w:space="0" w:color="auto"/>
        <w:bottom w:val="none" w:sz="0" w:space="0" w:color="auto"/>
        <w:right w:val="none" w:sz="0" w:space="0" w:color="auto"/>
      </w:divBdr>
    </w:div>
    <w:div w:id="1785727669">
      <w:marLeft w:val="0"/>
      <w:marRight w:val="0"/>
      <w:marTop w:val="0"/>
      <w:marBottom w:val="0"/>
      <w:divBdr>
        <w:top w:val="none" w:sz="0" w:space="0" w:color="auto"/>
        <w:left w:val="none" w:sz="0" w:space="0" w:color="auto"/>
        <w:bottom w:val="none" w:sz="0" w:space="0" w:color="auto"/>
        <w:right w:val="none" w:sz="0" w:space="0" w:color="auto"/>
      </w:divBdr>
    </w:div>
    <w:div w:id="1787381820">
      <w:marLeft w:val="0"/>
      <w:marRight w:val="0"/>
      <w:marTop w:val="0"/>
      <w:marBottom w:val="0"/>
      <w:divBdr>
        <w:top w:val="none" w:sz="0" w:space="0" w:color="auto"/>
        <w:left w:val="none" w:sz="0" w:space="0" w:color="auto"/>
        <w:bottom w:val="none" w:sz="0" w:space="0" w:color="auto"/>
        <w:right w:val="none" w:sz="0" w:space="0" w:color="auto"/>
      </w:divBdr>
    </w:div>
    <w:div w:id="1787776775">
      <w:marLeft w:val="0"/>
      <w:marRight w:val="0"/>
      <w:marTop w:val="0"/>
      <w:marBottom w:val="0"/>
      <w:divBdr>
        <w:top w:val="none" w:sz="0" w:space="0" w:color="auto"/>
        <w:left w:val="none" w:sz="0" w:space="0" w:color="auto"/>
        <w:bottom w:val="none" w:sz="0" w:space="0" w:color="auto"/>
        <w:right w:val="none" w:sz="0" w:space="0" w:color="auto"/>
      </w:divBdr>
    </w:div>
    <w:div w:id="1792475879">
      <w:marLeft w:val="0"/>
      <w:marRight w:val="0"/>
      <w:marTop w:val="0"/>
      <w:marBottom w:val="0"/>
      <w:divBdr>
        <w:top w:val="none" w:sz="0" w:space="0" w:color="auto"/>
        <w:left w:val="none" w:sz="0" w:space="0" w:color="auto"/>
        <w:bottom w:val="none" w:sz="0" w:space="0" w:color="auto"/>
        <w:right w:val="none" w:sz="0" w:space="0" w:color="auto"/>
      </w:divBdr>
    </w:div>
    <w:div w:id="1797063632">
      <w:marLeft w:val="0"/>
      <w:marRight w:val="0"/>
      <w:marTop w:val="0"/>
      <w:marBottom w:val="0"/>
      <w:divBdr>
        <w:top w:val="none" w:sz="0" w:space="0" w:color="auto"/>
        <w:left w:val="none" w:sz="0" w:space="0" w:color="auto"/>
        <w:bottom w:val="none" w:sz="0" w:space="0" w:color="auto"/>
        <w:right w:val="none" w:sz="0" w:space="0" w:color="auto"/>
      </w:divBdr>
    </w:div>
    <w:div w:id="1798064961">
      <w:marLeft w:val="0"/>
      <w:marRight w:val="0"/>
      <w:marTop w:val="0"/>
      <w:marBottom w:val="0"/>
      <w:divBdr>
        <w:top w:val="none" w:sz="0" w:space="0" w:color="auto"/>
        <w:left w:val="none" w:sz="0" w:space="0" w:color="auto"/>
        <w:bottom w:val="none" w:sz="0" w:space="0" w:color="auto"/>
        <w:right w:val="none" w:sz="0" w:space="0" w:color="auto"/>
      </w:divBdr>
    </w:div>
    <w:div w:id="1798176779">
      <w:marLeft w:val="0"/>
      <w:marRight w:val="0"/>
      <w:marTop w:val="0"/>
      <w:marBottom w:val="0"/>
      <w:divBdr>
        <w:top w:val="none" w:sz="0" w:space="0" w:color="auto"/>
        <w:left w:val="none" w:sz="0" w:space="0" w:color="auto"/>
        <w:bottom w:val="none" w:sz="0" w:space="0" w:color="auto"/>
        <w:right w:val="none" w:sz="0" w:space="0" w:color="auto"/>
      </w:divBdr>
    </w:div>
    <w:div w:id="1798448336">
      <w:marLeft w:val="0"/>
      <w:marRight w:val="0"/>
      <w:marTop w:val="0"/>
      <w:marBottom w:val="0"/>
      <w:divBdr>
        <w:top w:val="none" w:sz="0" w:space="0" w:color="auto"/>
        <w:left w:val="none" w:sz="0" w:space="0" w:color="auto"/>
        <w:bottom w:val="none" w:sz="0" w:space="0" w:color="auto"/>
        <w:right w:val="none" w:sz="0" w:space="0" w:color="auto"/>
      </w:divBdr>
    </w:div>
    <w:div w:id="1799445732">
      <w:marLeft w:val="0"/>
      <w:marRight w:val="0"/>
      <w:marTop w:val="0"/>
      <w:marBottom w:val="0"/>
      <w:divBdr>
        <w:top w:val="none" w:sz="0" w:space="0" w:color="auto"/>
        <w:left w:val="none" w:sz="0" w:space="0" w:color="auto"/>
        <w:bottom w:val="none" w:sz="0" w:space="0" w:color="auto"/>
        <w:right w:val="none" w:sz="0" w:space="0" w:color="auto"/>
      </w:divBdr>
    </w:div>
    <w:div w:id="1800997925">
      <w:marLeft w:val="0"/>
      <w:marRight w:val="0"/>
      <w:marTop w:val="0"/>
      <w:marBottom w:val="0"/>
      <w:divBdr>
        <w:top w:val="none" w:sz="0" w:space="0" w:color="auto"/>
        <w:left w:val="none" w:sz="0" w:space="0" w:color="auto"/>
        <w:bottom w:val="none" w:sz="0" w:space="0" w:color="auto"/>
        <w:right w:val="none" w:sz="0" w:space="0" w:color="auto"/>
      </w:divBdr>
    </w:div>
    <w:div w:id="1804343228">
      <w:marLeft w:val="0"/>
      <w:marRight w:val="0"/>
      <w:marTop w:val="0"/>
      <w:marBottom w:val="0"/>
      <w:divBdr>
        <w:top w:val="none" w:sz="0" w:space="0" w:color="auto"/>
        <w:left w:val="none" w:sz="0" w:space="0" w:color="auto"/>
        <w:bottom w:val="none" w:sz="0" w:space="0" w:color="auto"/>
        <w:right w:val="none" w:sz="0" w:space="0" w:color="auto"/>
      </w:divBdr>
    </w:div>
    <w:div w:id="1805804414">
      <w:marLeft w:val="0"/>
      <w:marRight w:val="0"/>
      <w:marTop w:val="0"/>
      <w:marBottom w:val="0"/>
      <w:divBdr>
        <w:top w:val="none" w:sz="0" w:space="0" w:color="auto"/>
        <w:left w:val="none" w:sz="0" w:space="0" w:color="auto"/>
        <w:bottom w:val="none" w:sz="0" w:space="0" w:color="auto"/>
        <w:right w:val="none" w:sz="0" w:space="0" w:color="auto"/>
      </w:divBdr>
    </w:div>
    <w:div w:id="1806072510">
      <w:marLeft w:val="0"/>
      <w:marRight w:val="0"/>
      <w:marTop w:val="0"/>
      <w:marBottom w:val="0"/>
      <w:divBdr>
        <w:top w:val="none" w:sz="0" w:space="0" w:color="auto"/>
        <w:left w:val="none" w:sz="0" w:space="0" w:color="auto"/>
        <w:bottom w:val="none" w:sz="0" w:space="0" w:color="auto"/>
        <w:right w:val="none" w:sz="0" w:space="0" w:color="auto"/>
      </w:divBdr>
    </w:div>
    <w:div w:id="1810198062">
      <w:marLeft w:val="0"/>
      <w:marRight w:val="0"/>
      <w:marTop w:val="0"/>
      <w:marBottom w:val="0"/>
      <w:divBdr>
        <w:top w:val="none" w:sz="0" w:space="0" w:color="auto"/>
        <w:left w:val="none" w:sz="0" w:space="0" w:color="auto"/>
        <w:bottom w:val="none" w:sz="0" w:space="0" w:color="auto"/>
        <w:right w:val="none" w:sz="0" w:space="0" w:color="auto"/>
      </w:divBdr>
    </w:div>
    <w:div w:id="1810592958">
      <w:marLeft w:val="0"/>
      <w:marRight w:val="0"/>
      <w:marTop w:val="0"/>
      <w:marBottom w:val="0"/>
      <w:divBdr>
        <w:top w:val="none" w:sz="0" w:space="0" w:color="auto"/>
        <w:left w:val="none" w:sz="0" w:space="0" w:color="auto"/>
        <w:bottom w:val="none" w:sz="0" w:space="0" w:color="auto"/>
        <w:right w:val="none" w:sz="0" w:space="0" w:color="auto"/>
      </w:divBdr>
    </w:div>
    <w:div w:id="1812483555">
      <w:marLeft w:val="0"/>
      <w:marRight w:val="0"/>
      <w:marTop w:val="0"/>
      <w:marBottom w:val="0"/>
      <w:divBdr>
        <w:top w:val="none" w:sz="0" w:space="0" w:color="auto"/>
        <w:left w:val="none" w:sz="0" w:space="0" w:color="auto"/>
        <w:bottom w:val="none" w:sz="0" w:space="0" w:color="auto"/>
        <w:right w:val="none" w:sz="0" w:space="0" w:color="auto"/>
      </w:divBdr>
    </w:div>
    <w:div w:id="1812863395">
      <w:marLeft w:val="0"/>
      <w:marRight w:val="0"/>
      <w:marTop w:val="0"/>
      <w:marBottom w:val="0"/>
      <w:divBdr>
        <w:top w:val="none" w:sz="0" w:space="0" w:color="auto"/>
        <w:left w:val="none" w:sz="0" w:space="0" w:color="auto"/>
        <w:bottom w:val="none" w:sz="0" w:space="0" w:color="auto"/>
        <w:right w:val="none" w:sz="0" w:space="0" w:color="auto"/>
      </w:divBdr>
    </w:div>
    <w:div w:id="1815831102">
      <w:marLeft w:val="0"/>
      <w:marRight w:val="0"/>
      <w:marTop w:val="0"/>
      <w:marBottom w:val="0"/>
      <w:divBdr>
        <w:top w:val="none" w:sz="0" w:space="0" w:color="auto"/>
        <w:left w:val="none" w:sz="0" w:space="0" w:color="auto"/>
        <w:bottom w:val="none" w:sz="0" w:space="0" w:color="auto"/>
        <w:right w:val="none" w:sz="0" w:space="0" w:color="auto"/>
      </w:divBdr>
    </w:div>
    <w:div w:id="1815948790">
      <w:marLeft w:val="0"/>
      <w:marRight w:val="0"/>
      <w:marTop w:val="0"/>
      <w:marBottom w:val="0"/>
      <w:divBdr>
        <w:top w:val="none" w:sz="0" w:space="0" w:color="auto"/>
        <w:left w:val="none" w:sz="0" w:space="0" w:color="auto"/>
        <w:bottom w:val="none" w:sz="0" w:space="0" w:color="auto"/>
        <w:right w:val="none" w:sz="0" w:space="0" w:color="auto"/>
      </w:divBdr>
    </w:div>
    <w:div w:id="1821464596">
      <w:marLeft w:val="0"/>
      <w:marRight w:val="0"/>
      <w:marTop w:val="0"/>
      <w:marBottom w:val="0"/>
      <w:divBdr>
        <w:top w:val="none" w:sz="0" w:space="0" w:color="auto"/>
        <w:left w:val="none" w:sz="0" w:space="0" w:color="auto"/>
        <w:bottom w:val="none" w:sz="0" w:space="0" w:color="auto"/>
        <w:right w:val="none" w:sz="0" w:space="0" w:color="auto"/>
      </w:divBdr>
    </w:div>
    <w:div w:id="1823544068">
      <w:marLeft w:val="0"/>
      <w:marRight w:val="0"/>
      <w:marTop w:val="0"/>
      <w:marBottom w:val="0"/>
      <w:divBdr>
        <w:top w:val="none" w:sz="0" w:space="0" w:color="auto"/>
        <w:left w:val="none" w:sz="0" w:space="0" w:color="auto"/>
        <w:bottom w:val="none" w:sz="0" w:space="0" w:color="auto"/>
        <w:right w:val="none" w:sz="0" w:space="0" w:color="auto"/>
      </w:divBdr>
    </w:div>
    <w:div w:id="1823547753">
      <w:marLeft w:val="0"/>
      <w:marRight w:val="0"/>
      <w:marTop w:val="0"/>
      <w:marBottom w:val="0"/>
      <w:divBdr>
        <w:top w:val="none" w:sz="0" w:space="0" w:color="auto"/>
        <w:left w:val="none" w:sz="0" w:space="0" w:color="auto"/>
        <w:bottom w:val="none" w:sz="0" w:space="0" w:color="auto"/>
        <w:right w:val="none" w:sz="0" w:space="0" w:color="auto"/>
      </w:divBdr>
    </w:div>
    <w:div w:id="1824085465">
      <w:marLeft w:val="0"/>
      <w:marRight w:val="0"/>
      <w:marTop w:val="0"/>
      <w:marBottom w:val="0"/>
      <w:divBdr>
        <w:top w:val="none" w:sz="0" w:space="0" w:color="auto"/>
        <w:left w:val="none" w:sz="0" w:space="0" w:color="auto"/>
        <w:bottom w:val="none" w:sz="0" w:space="0" w:color="auto"/>
        <w:right w:val="none" w:sz="0" w:space="0" w:color="auto"/>
      </w:divBdr>
    </w:div>
    <w:div w:id="1824933698">
      <w:marLeft w:val="0"/>
      <w:marRight w:val="0"/>
      <w:marTop w:val="0"/>
      <w:marBottom w:val="0"/>
      <w:divBdr>
        <w:top w:val="none" w:sz="0" w:space="0" w:color="auto"/>
        <w:left w:val="none" w:sz="0" w:space="0" w:color="auto"/>
        <w:bottom w:val="none" w:sz="0" w:space="0" w:color="auto"/>
        <w:right w:val="none" w:sz="0" w:space="0" w:color="auto"/>
      </w:divBdr>
    </w:div>
    <w:div w:id="1825851505">
      <w:marLeft w:val="0"/>
      <w:marRight w:val="0"/>
      <w:marTop w:val="0"/>
      <w:marBottom w:val="0"/>
      <w:divBdr>
        <w:top w:val="none" w:sz="0" w:space="0" w:color="auto"/>
        <w:left w:val="none" w:sz="0" w:space="0" w:color="auto"/>
        <w:bottom w:val="none" w:sz="0" w:space="0" w:color="auto"/>
        <w:right w:val="none" w:sz="0" w:space="0" w:color="auto"/>
      </w:divBdr>
    </w:div>
    <w:div w:id="1826044363">
      <w:marLeft w:val="0"/>
      <w:marRight w:val="0"/>
      <w:marTop w:val="0"/>
      <w:marBottom w:val="0"/>
      <w:divBdr>
        <w:top w:val="none" w:sz="0" w:space="0" w:color="auto"/>
        <w:left w:val="none" w:sz="0" w:space="0" w:color="auto"/>
        <w:bottom w:val="none" w:sz="0" w:space="0" w:color="auto"/>
        <w:right w:val="none" w:sz="0" w:space="0" w:color="auto"/>
      </w:divBdr>
    </w:div>
    <w:div w:id="1832216222">
      <w:marLeft w:val="0"/>
      <w:marRight w:val="0"/>
      <w:marTop w:val="0"/>
      <w:marBottom w:val="0"/>
      <w:divBdr>
        <w:top w:val="none" w:sz="0" w:space="0" w:color="auto"/>
        <w:left w:val="none" w:sz="0" w:space="0" w:color="auto"/>
        <w:bottom w:val="none" w:sz="0" w:space="0" w:color="auto"/>
        <w:right w:val="none" w:sz="0" w:space="0" w:color="auto"/>
      </w:divBdr>
    </w:div>
    <w:div w:id="1832481843">
      <w:marLeft w:val="0"/>
      <w:marRight w:val="0"/>
      <w:marTop w:val="0"/>
      <w:marBottom w:val="0"/>
      <w:divBdr>
        <w:top w:val="none" w:sz="0" w:space="0" w:color="auto"/>
        <w:left w:val="none" w:sz="0" w:space="0" w:color="auto"/>
        <w:bottom w:val="none" w:sz="0" w:space="0" w:color="auto"/>
        <w:right w:val="none" w:sz="0" w:space="0" w:color="auto"/>
      </w:divBdr>
    </w:div>
    <w:div w:id="1835297661">
      <w:marLeft w:val="0"/>
      <w:marRight w:val="0"/>
      <w:marTop w:val="0"/>
      <w:marBottom w:val="0"/>
      <w:divBdr>
        <w:top w:val="none" w:sz="0" w:space="0" w:color="auto"/>
        <w:left w:val="none" w:sz="0" w:space="0" w:color="auto"/>
        <w:bottom w:val="none" w:sz="0" w:space="0" w:color="auto"/>
        <w:right w:val="none" w:sz="0" w:space="0" w:color="auto"/>
      </w:divBdr>
    </w:div>
    <w:div w:id="1838155509">
      <w:marLeft w:val="0"/>
      <w:marRight w:val="0"/>
      <w:marTop w:val="0"/>
      <w:marBottom w:val="0"/>
      <w:divBdr>
        <w:top w:val="none" w:sz="0" w:space="0" w:color="auto"/>
        <w:left w:val="none" w:sz="0" w:space="0" w:color="auto"/>
        <w:bottom w:val="none" w:sz="0" w:space="0" w:color="auto"/>
        <w:right w:val="none" w:sz="0" w:space="0" w:color="auto"/>
      </w:divBdr>
    </w:div>
    <w:div w:id="1839075346">
      <w:marLeft w:val="0"/>
      <w:marRight w:val="0"/>
      <w:marTop w:val="0"/>
      <w:marBottom w:val="0"/>
      <w:divBdr>
        <w:top w:val="none" w:sz="0" w:space="0" w:color="auto"/>
        <w:left w:val="none" w:sz="0" w:space="0" w:color="auto"/>
        <w:bottom w:val="none" w:sz="0" w:space="0" w:color="auto"/>
        <w:right w:val="none" w:sz="0" w:space="0" w:color="auto"/>
      </w:divBdr>
    </w:div>
    <w:div w:id="1840846951">
      <w:marLeft w:val="0"/>
      <w:marRight w:val="0"/>
      <w:marTop w:val="0"/>
      <w:marBottom w:val="0"/>
      <w:divBdr>
        <w:top w:val="none" w:sz="0" w:space="0" w:color="auto"/>
        <w:left w:val="none" w:sz="0" w:space="0" w:color="auto"/>
        <w:bottom w:val="none" w:sz="0" w:space="0" w:color="auto"/>
        <w:right w:val="none" w:sz="0" w:space="0" w:color="auto"/>
      </w:divBdr>
    </w:div>
    <w:div w:id="1853059214">
      <w:marLeft w:val="0"/>
      <w:marRight w:val="0"/>
      <w:marTop w:val="0"/>
      <w:marBottom w:val="0"/>
      <w:divBdr>
        <w:top w:val="none" w:sz="0" w:space="0" w:color="auto"/>
        <w:left w:val="none" w:sz="0" w:space="0" w:color="auto"/>
        <w:bottom w:val="none" w:sz="0" w:space="0" w:color="auto"/>
        <w:right w:val="none" w:sz="0" w:space="0" w:color="auto"/>
      </w:divBdr>
    </w:div>
    <w:div w:id="1853911615">
      <w:marLeft w:val="0"/>
      <w:marRight w:val="0"/>
      <w:marTop w:val="0"/>
      <w:marBottom w:val="0"/>
      <w:divBdr>
        <w:top w:val="none" w:sz="0" w:space="0" w:color="auto"/>
        <w:left w:val="none" w:sz="0" w:space="0" w:color="auto"/>
        <w:bottom w:val="none" w:sz="0" w:space="0" w:color="auto"/>
        <w:right w:val="none" w:sz="0" w:space="0" w:color="auto"/>
      </w:divBdr>
    </w:div>
    <w:div w:id="1855799073">
      <w:marLeft w:val="0"/>
      <w:marRight w:val="0"/>
      <w:marTop w:val="0"/>
      <w:marBottom w:val="0"/>
      <w:divBdr>
        <w:top w:val="none" w:sz="0" w:space="0" w:color="auto"/>
        <w:left w:val="none" w:sz="0" w:space="0" w:color="auto"/>
        <w:bottom w:val="none" w:sz="0" w:space="0" w:color="auto"/>
        <w:right w:val="none" w:sz="0" w:space="0" w:color="auto"/>
      </w:divBdr>
    </w:div>
    <w:div w:id="1855806982">
      <w:marLeft w:val="0"/>
      <w:marRight w:val="0"/>
      <w:marTop w:val="0"/>
      <w:marBottom w:val="0"/>
      <w:divBdr>
        <w:top w:val="none" w:sz="0" w:space="0" w:color="auto"/>
        <w:left w:val="none" w:sz="0" w:space="0" w:color="auto"/>
        <w:bottom w:val="none" w:sz="0" w:space="0" w:color="auto"/>
        <w:right w:val="none" w:sz="0" w:space="0" w:color="auto"/>
      </w:divBdr>
    </w:div>
    <w:div w:id="1858346934">
      <w:marLeft w:val="0"/>
      <w:marRight w:val="0"/>
      <w:marTop w:val="0"/>
      <w:marBottom w:val="0"/>
      <w:divBdr>
        <w:top w:val="none" w:sz="0" w:space="0" w:color="auto"/>
        <w:left w:val="none" w:sz="0" w:space="0" w:color="auto"/>
        <w:bottom w:val="none" w:sz="0" w:space="0" w:color="auto"/>
        <w:right w:val="none" w:sz="0" w:space="0" w:color="auto"/>
      </w:divBdr>
    </w:div>
    <w:div w:id="1860507581">
      <w:marLeft w:val="0"/>
      <w:marRight w:val="0"/>
      <w:marTop w:val="0"/>
      <w:marBottom w:val="0"/>
      <w:divBdr>
        <w:top w:val="none" w:sz="0" w:space="0" w:color="auto"/>
        <w:left w:val="none" w:sz="0" w:space="0" w:color="auto"/>
        <w:bottom w:val="none" w:sz="0" w:space="0" w:color="auto"/>
        <w:right w:val="none" w:sz="0" w:space="0" w:color="auto"/>
      </w:divBdr>
    </w:div>
    <w:div w:id="1864325567">
      <w:marLeft w:val="0"/>
      <w:marRight w:val="0"/>
      <w:marTop w:val="0"/>
      <w:marBottom w:val="0"/>
      <w:divBdr>
        <w:top w:val="none" w:sz="0" w:space="0" w:color="auto"/>
        <w:left w:val="none" w:sz="0" w:space="0" w:color="auto"/>
        <w:bottom w:val="none" w:sz="0" w:space="0" w:color="auto"/>
        <w:right w:val="none" w:sz="0" w:space="0" w:color="auto"/>
      </w:divBdr>
    </w:div>
    <w:div w:id="1866098236">
      <w:marLeft w:val="0"/>
      <w:marRight w:val="0"/>
      <w:marTop w:val="0"/>
      <w:marBottom w:val="0"/>
      <w:divBdr>
        <w:top w:val="none" w:sz="0" w:space="0" w:color="auto"/>
        <w:left w:val="none" w:sz="0" w:space="0" w:color="auto"/>
        <w:bottom w:val="none" w:sz="0" w:space="0" w:color="auto"/>
        <w:right w:val="none" w:sz="0" w:space="0" w:color="auto"/>
      </w:divBdr>
    </w:div>
    <w:div w:id="1866558794">
      <w:marLeft w:val="0"/>
      <w:marRight w:val="0"/>
      <w:marTop w:val="0"/>
      <w:marBottom w:val="0"/>
      <w:divBdr>
        <w:top w:val="none" w:sz="0" w:space="0" w:color="auto"/>
        <w:left w:val="none" w:sz="0" w:space="0" w:color="auto"/>
        <w:bottom w:val="none" w:sz="0" w:space="0" w:color="auto"/>
        <w:right w:val="none" w:sz="0" w:space="0" w:color="auto"/>
      </w:divBdr>
    </w:div>
    <w:div w:id="1867676966">
      <w:marLeft w:val="0"/>
      <w:marRight w:val="0"/>
      <w:marTop w:val="0"/>
      <w:marBottom w:val="0"/>
      <w:divBdr>
        <w:top w:val="none" w:sz="0" w:space="0" w:color="auto"/>
        <w:left w:val="none" w:sz="0" w:space="0" w:color="auto"/>
        <w:bottom w:val="none" w:sz="0" w:space="0" w:color="auto"/>
        <w:right w:val="none" w:sz="0" w:space="0" w:color="auto"/>
      </w:divBdr>
    </w:div>
    <w:div w:id="1869414685">
      <w:marLeft w:val="0"/>
      <w:marRight w:val="0"/>
      <w:marTop w:val="0"/>
      <w:marBottom w:val="0"/>
      <w:divBdr>
        <w:top w:val="none" w:sz="0" w:space="0" w:color="auto"/>
        <w:left w:val="none" w:sz="0" w:space="0" w:color="auto"/>
        <w:bottom w:val="none" w:sz="0" w:space="0" w:color="auto"/>
        <w:right w:val="none" w:sz="0" w:space="0" w:color="auto"/>
      </w:divBdr>
    </w:div>
    <w:div w:id="1870682024">
      <w:marLeft w:val="0"/>
      <w:marRight w:val="0"/>
      <w:marTop w:val="0"/>
      <w:marBottom w:val="0"/>
      <w:divBdr>
        <w:top w:val="none" w:sz="0" w:space="0" w:color="auto"/>
        <w:left w:val="none" w:sz="0" w:space="0" w:color="auto"/>
        <w:bottom w:val="none" w:sz="0" w:space="0" w:color="auto"/>
        <w:right w:val="none" w:sz="0" w:space="0" w:color="auto"/>
      </w:divBdr>
    </w:div>
    <w:div w:id="1874884128">
      <w:marLeft w:val="0"/>
      <w:marRight w:val="0"/>
      <w:marTop w:val="0"/>
      <w:marBottom w:val="0"/>
      <w:divBdr>
        <w:top w:val="none" w:sz="0" w:space="0" w:color="auto"/>
        <w:left w:val="none" w:sz="0" w:space="0" w:color="auto"/>
        <w:bottom w:val="none" w:sz="0" w:space="0" w:color="auto"/>
        <w:right w:val="none" w:sz="0" w:space="0" w:color="auto"/>
      </w:divBdr>
    </w:div>
    <w:div w:id="1875265195">
      <w:marLeft w:val="0"/>
      <w:marRight w:val="0"/>
      <w:marTop w:val="0"/>
      <w:marBottom w:val="0"/>
      <w:divBdr>
        <w:top w:val="none" w:sz="0" w:space="0" w:color="auto"/>
        <w:left w:val="none" w:sz="0" w:space="0" w:color="auto"/>
        <w:bottom w:val="none" w:sz="0" w:space="0" w:color="auto"/>
        <w:right w:val="none" w:sz="0" w:space="0" w:color="auto"/>
      </w:divBdr>
    </w:div>
    <w:div w:id="1880432259">
      <w:marLeft w:val="0"/>
      <w:marRight w:val="0"/>
      <w:marTop w:val="0"/>
      <w:marBottom w:val="0"/>
      <w:divBdr>
        <w:top w:val="none" w:sz="0" w:space="0" w:color="auto"/>
        <w:left w:val="none" w:sz="0" w:space="0" w:color="auto"/>
        <w:bottom w:val="none" w:sz="0" w:space="0" w:color="auto"/>
        <w:right w:val="none" w:sz="0" w:space="0" w:color="auto"/>
      </w:divBdr>
    </w:div>
    <w:div w:id="1884710198">
      <w:marLeft w:val="0"/>
      <w:marRight w:val="0"/>
      <w:marTop w:val="0"/>
      <w:marBottom w:val="0"/>
      <w:divBdr>
        <w:top w:val="none" w:sz="0" w:space="0" w:color="auto"/>
        <w:left w:val="none" w:sz="0" w:space="0" w:color="auto"/>
        <w:bottom w:val="none" w:sz="0" w:space="0" w:color="auto"/>
        <w:right w:val="none" w:sz="0" w:space="0" w:color="auto"/>
      </w:divBdr>
    </w:div>
    <w:div w:id="1889410223">
      <w:marLeft w:val="0"/>
      <w:marRight w:val="0"/>
      <w:marTop w:val="0"/>
      <w:marBottom w:val="0"/>
      <w:divBdr>
        <w:top w:val="none" w:sz="0" w:space="0" w:color="auto"/>
        <w:left w:val="none" w:sz="0" w:space="0" w:color="auto"/>
        <w:bottom w:val="none" w:sz="0" w:space="0" w:color="auto"/>
        <w:right w:val="none" w:sz="0" w:space="0" w:color="auto"/>
      </w:divBdr>
    </w:div>
    <w:div w:id="1893152277">
      <w:marLeft w:val="0"/>
      <w:marRight w:val="0"/>
      <w:marTop w:val="0"/>
      <w:marBottom w:val="0"/>
      <w:divBdr>
        <w:top w:val="none" w:sz="0" w:space="0" w:color="auto"/>
        <w:left w:val="none" w:sz="0" w:space="0" w:color="auto"/>
        <w:bottom w:val="none" w:sz="0" w:space="0" w:color="auto"/>
        <w:right w:val="none" w:sz="0" w:space="0" w:color="auto"/>
      </w:divBdr>
    </w:div>
    <w:div w:id="1896117004">
      <w:marLeft w:val="0"/>
      <w:marRight w:val="0"/>
      <w:marTop w:val="0"/>
      <w:marBottom w:val="0"/>
      <w:divBdr>
        <w:top w:val="none" w:sz="0" w:space="0" w:color="auto"/>
        <w:left w:val="none" w:sz="0" w:space="0" w:color="auto"/>
        <w:bottom w:val="none" w:sz="0" w:space="0" w:color="auto"/>
        <w:right w:val="none" w:sz="0" w:space="0" w:color="auto"/>
      </w:divBdr>
    </w:div>
    <w:div w:id="1897549589">
      <w:marLeft w:val="0"/>
      <w:marRight w:val="0"/>
      <w:marTop w:val="0"/>
      <w:marBottom w:val="0"/>
      <w:divBdr>
        <w:top w:val="none" w:sz="0" w:space="0" w:color="auto"/>
        <w:left w:val="none" w:sz="0" w:space="0" w:color="auto"/>
        <w:bottom w:val="none" w:sz="0" w:space="0" w:color="auto"/>
        <w:right w:val="none" w:sz="0" w:space="0" w:color="auto"/>
      </w:divBdr>
    </w:div>
    <w:div w:id="1898735798">
      <w:marLeft w:val="0"/>
      <w:marRight w:val="0"/>
      <w:marTop w:val="0"/>
      <w:marBottom w:val="0"/>
      <w:divBdr>
        <w:top w:val="none" w:sz="0" w:space="0" w:color="auto"/>
        <w:left w:val="none" w:sz="0" w:space="0" w:color="auto"/>
        <w:bottom w:val="none" w:sz="0" w:space="0" w:color="auto"/>
        <w:right w:val="none" w:sz="0" w:space="0" w:color="auto"/>
      </w:divBdr>
    </w:div>
    <w:div w:id="1899629757">
      <w:marLeft w:val="0"/>
      <w:marRight w:val="0"/>
      <w:marTop w:val="0"/>
      <w:marBottom w:val="0"/>
      <w:divBdr>
        <w:top w:val="none" w:sz="0" w:space="0" w:color="auto"/>
        <w:left w:val="none" w:sz="0" w:space="0" w:color="auto"/>
        <w:bottom w:val="none" w:sz="0" w:space="0" w:color="auto"/>
        <w:right w:val="none" w:sz="0" w:space="0" w:color="auto"/>
      </w:divBdr>
    </w:div>
    <w:div w:id="1901749072">
      <w:marLeft w:val="0"/>
      <w:marRight w:val="0"/>
      <w:marTop w:val="0"/>
      <w:marBottom w:val="0"/>
      <w:divBdr>
        <w:top w:val="none" w:sz="0" w:space="0" w:color="auto"/>
        <w:left w:val="none" w:sz="0" w:space="0" w:color="auto"/>
        <w:bottom w:val="none" w:sz="0" w:space="0" w:color="auto"/>
        <w:right w:val="none" w:sz="0" w:space="0" w:color="auto"/>
      </w:divBdr>
    </w:div>
    <w:div w:id="1909338279">
      <w:marLeft w:val="0"/>
      <w:marRight w:val="0"/>
      <w:marTop w:val="0"/>
      <w:marBottom w:val="0"/>
      <w:divBdr>
        <w:top w:val="none" w:sz="0" w:space="0" w:color="auto"/>
        <w:left w:val="none" w:sz="0" w:space="0" w:color="auto"/>
        <w:bottom w:val="none" w:sz="0" w:space="0" w:color="auto"/>
        <w:right w:val="none" w:sz="0" w:space="0" w:color="auto"/>
      </w:divBdr>
    </w:div>
    <w:div w:id="1910192155">
      <w:marLeft w:val="0"/>
      <w:marRight w:val="0"/>
      <w:marTop w:val="0"/>
      <w:marBottom w:val="0"/>
      <w:divBdr>
        <w:top w:val="none" w:sz="0" w:space="0" w:color="auto"/>
        <w:left w:val="none" w:sz="0" w:space="0" w:color="auto"/>
        <w:bottom w:val="none" w:sz="0" w:space="0" w:color="auto"/>
        <w:right w:val="none" w:sz="0" w:space="0" w:color="auto"/>
      </w:divBdr>
    </w:div>
    <w:div w:id="1912230369">
      <w:marLeft w:val="0"/>
      <w:marRight w:val="0"/>
      <w:marTop w:val="0"/>
      <w:marBottom w:val="0"/>
      <w:divBdr>
        <w:top w:val="none" w:sz="0" w:space="0" w:color="auto"/>
        <w:left w:val="none" w:sz="0" w:space="0" w:color="auto"/>
        <w:bottom w:val="none" w:sz="0" w:space="0" w:color="auto"/>
        <w:right w:val="none" w:sz="0" w:space="0" w:color="auto"/>
      </w:divBdr>
    </w:div>
    <w:div w:id="1920401772">
      <w:marLeft w:val="0"/>
      <w:marRight w:val="0"/>
      <w:marTop w:val="0"/>
      <w:marBottom w:val="0"/>
      <w:divBdr>
        <w:top w:val="none" w:sz="0" w:space="0" w:color="auto"/>
        <w:left w:val="none" w:sz="0" w:space="0" w:color="auto"/>
        <w:bottom w:val="none" w:sz="0" w:space="0" w:color="auto"/>
        <w:right w:val="none" w:sz="0" w:space="0" w:color="auto"/>
      </w:divBdr>
    </w:div>
    <w:div w:id="1926185294">
      <w:marLeft w:val="0"/>
      <w:marRight w:val="0"/>
      <w:marTop w:val="0"/>
      <w:marBottom w:val="0"/>
      <w:divBdr>
        <w:top w:val="none" w:sz="0" w:space="0" w:color="auto"/>
        <w:left w:val="none" w:sz="0" w:space="0" w:color="auto"/>
        <w:bottom w:val="none" w:sz="0" w:space="0" w:color="auto"/>
        <w:right w:val="none" w:sz="0" w:space="0" w:color="auto"/>
      </w:divBdr>
    </w:div>
    <w:div w:id="1928541100">
      <w:marLeft w:val="0"/>
      <w:marRight w:val="0"/>
      <w:marTop w:val="0"/>
      <w:marBottom w:val="0"/>
      <w:divBdr>
        <w:top w:val="none" w:sz="0" w:space="0" w:color="auto"/>
        <w:left w:val="none" w:sz="0" w:space="0" w:color="auto"/>
        <w:bottom w:val="none" w:sz="0" w:space="0" w:color="auto"/>
        <w:right w:val="none" w:sz="0" w:space="0" w:color="auto"/>
      </w:divBdr>
    </w:div>
    <w:div w:id="1932199176">
      <w:marLeft w:val="0"/>
      <w:marRight w:val="0"/>
      <w:marTop w:val="0"/>
      <w:marBottom w:val="0"/>
      <w:divBdr>
        <w:top w:val="none" w:sz="0" w:space="0" w:color="auto"/>
        <w:left w:val="none" w:sz="0" w:space="0" w:color="auto"/>
        <w:bottom w:val="none" w:sz="0" w:space="0" w:color="auto"/>
        <w:right w:val="none" w:sz="0" w:space="0" w:color="auto"/>
      </w:divBdr>
    </w:div>
    <w:div w:id="1932202441">
      <w:marLeft w:val="0"/>
      <w:marRight w:val="0"/>
      <w:marTop w:val="0"/>
      <w:marBottom w:val="0"/>
      <w:divBdr>
        <w:top w:val="none" w:sz="0" w:space="0" w:color="auto"/>
        <w:left w:val="none" w:sz="0" w:space="0" w:color="auto"/>
        <w:bottom w:val="none" w:sz="0" w:space="0" w:color="auto"/>
        <w:right w:val="none" w:sz="0" w:space="0" w:color="auto"/>
      </w:divBdr>
    </w:div>
    <w:div w:id="1932280233">
      <w:marLeft w:val="0"/>
      <w:marRight w:val="0"/>
      <w:marTop w:val="0"/>
      <w:marBottom w:val="0"/>
      <w:divBdr>
        <w:top w:val="none" w:sz="0" w:space="0" w:color="auto"/>
        <w:left w:val="none" w:sz="0" w:space="0" w:color="auto"/>
        <w:bottom w:val="none" w:sz="0" w:space="0" w:color="auto"/>
        <w:right w:val="none" w:sz="0" w:space="0" w:color="auto"/>
      </w:divBdr>
    </w:div>
    <w:div w:id="1934044090">
      <w:marLeft w:val="0"/>
      <w:marRight w:val="0"/>
      <w:marTop w:val="0"/>
      <w:marBottom w:val="0"/>
      <w:divBdr>
        <w:top w:val="none" w:sz="0" w:space="0" w:color="auto"/>
        <w:left w:val="none" w:sz="0" w:space="0" w:color="auto"/>
        <w:bottom w:val="none" w:sz="0" w:space="0" w:color="auto"/>
        <w:right w:val="none" w:sz="0" w:space="0" w:color="auto"/>
      </w:divBdr>
    </w:div>
    <w:div w:id="1934969066">
      <w:marLeft w:val="0"/>
      <w:marRight w:val="0"/>
      <w:marTop w:val="0"/>
      <w:marBottom w:val="0"/>
      <w:divBdr>
        <w:top w:val="none" w:sz="0" w:space="0" w:color="auto"/>
        <w:left w:val="none" w:sz="0" w:space="0" w:color="auto"/>
        <w:bottom w:val="none" w:sz="0" w:space="0" w:color="auto"/>
        <w:right w:val="none" w:sz="0" w:space="0" w:color="auto"/>
      </w:divBdr>
    </w:div>
    <w:div w:id="1937009895">
      <w:marLeft w:val="0"/>
      <w:marRight w:val="0"/>
      <w:marTop w:val="0"/>
      <w:marBottom w:val="0"/>
      <w:divBdr>
        <w:top w:val="none" w:sz="0" w:space="0" w:color="auto"/>
        <w:left w:val="none" w:sz="0" w:space="0" w:color="auto"/>
        <w:bottom w:val="none" w:sz="0" w:space="0" w:color="auto"/>
        <w:right w:val="none" w:sz="0" w:space="0" w:color="auto"/>
      </w:divBdr>
    </w:div>
    <w:div w:id="1937596330">
      <w:marLeft w:val="0"/>
      <w:marRight w:val="0"/>
      <w:marTop w:val="0"/>
      <w:marBottom w:val="0"/>
      <w:divBdr>
        <w:top w:val="none" w:sz="0" w:space="0" w:color="auto"/>
        <w:left w:val="none" w:sz="0" w:space="0" w:color="auto"/>
        <w:bottom w:val="none" w:sz="0" w:space="0" w:color="auto"/>
        <w:right w:val="none" w:sz="0" w:space="0" w:color="auto"/>
      </w:divBdr>
    </w:div>
    <w:div w:id="1950701614">
      <w:marLeft w:val="0"/>
      <w:marRight w:val="0"/>
      <w:marTop w:val="0"/>
      <w:marBottom w:val="0"/>
      <w:divBdr>
        <w:top w:val="none" w:sz="0" w:space="0" w:color="auto"/>
        <w:left w:val="none" w:sz="0" w:space="0" w:color="auto"/>
        <w:bottom w:val="none" w:sz="0" w:space="0" w:color="auto"/>
        <w:right w:val="none" w:sz="0" w:space="0" w:color="auto"/>
      </w:divBdr>
    </w:div>
    <w:div w:id="1957060744">
      <w:marLeft w:val="0"/>
      <w:marRight w:val="0"/>
      <w:marTop w:val="0"/>
      <w:marBottom w:val="0"/>
      <w:divBdr>
        <w:top w:val="none" w:sz="0" w:space="0" w:color="auto"/>
        <w:left w:val="none" w:sz="0" w:space="0" w:color="auto"/>
        <w:bottom w:val="none" w:sz="0" w:space="0" w:color="auto"/>
        <w:right w:val="none" w:sz="0" w:space="0" w:color="auto"/>
      </w:divBdr>
    </w:div>
    <w:div w:id="1958872851">
      <w:marLeft w:val="0"/>
      <w:marRight w:val="0"/>
      <w:marTop w:val="0"/>
      <w:marBottom w:val="0"/>
      <w:divBdr>
        <w:top w:val="none" w:sz="0" w:space="0" w:color="auto"/>
        <w:left w:val="none" w:sz="0" w:space="0" w:color="auto"/>
        <w:bottom w:val="none" w:sz="0" w:space="0" w:color="auto"/>
        <w:right w:val="none" w:sz="0" w:space="0" w:color="auto"/>
      </w:divBdr>
    </w:div>
    <w:div w:id="1959989441">
      <w:marLeft w:val="0"/>
      <w:marRight w:val="0"/>
      <w:marTop w:val="0"/>
      <w:marBottom w:val="0"/>
      <w:divBdr>
        <w:top w:val="none" w:sz="0" w:space="0" w:color="auto"/>
        <w:left w:val="none" w:sz="0" w:space="0" w:color="auto"/>
        <w:bottom w:val="none" w:sz="0" w:space="0" w:color="auto"/>
        <w:right w:val="none" w:sz="0" w:space="0" w:color="auto"/>
      </w:divBdr>
    </w:div>
    <w:div w:id="1962302483">
      <w:marLeft w:val="0"/>
      <w:marRight w:val="0"/>
      <w:marTop w:val="0"/>
      <w:marBottom w:val="0"/>
      <w:divBdr>
        <w:top w:val="none" w:sz="0" w:space="0" w:color="auto"/>
        <w:left w:val="none" w:sz="0" w:space="0" w:color="auto"/>
        <w:bottom w:val="none" w:sz="0" w:space="0" w:color="auto"/>
        <w:right w:val="none" w:sz="0" w:space="0" w:color="auto"/>
      </w:divBdr>
    </w:div>
    <w:div w:id="1964724624">
      <w:marLeft w:val="0"/>
      <w:marRight w:val="0"/>
      <w:marTop w:val="0"/>
      <w:marBottom w:val="0"/>
      <w:divBdr>
        <w:top w:val="none" w:sz="0" w:space="0" w:color="auto"/>
        <w:left w:val="none" w:sz="0" w:space="0" w:color="auto"/>
        <w:bottom w:val="none" w:sz="0" w:space="0" w:color="auto"/>
        <w:right w:val="none" w:sz="0" w:space="0" w:color="auto"/>
      </w:divBdr>
    </w:div>
    <w:div w:id="1966806877">
      <w:marLeft w:val="0"/>
      <w:marRight w:val="0"/>
      <w:marTop w:val="0"/>
      <w:marBottom w:val="0"/>
      <w:divBdr>
        <w:top w:val="none" w:sz="0" w:space="0" w:color="auto"/>
        <w:left w:val="none" w:sz="0" w:space="0" w:color="auto"/>
        <w:bottom w:val="none" w:sz="0" w:space="0" w:color="auto"/>
        <w:right w:val="none" w:sz="0" w:space="0" w:color="auto"/>
      </w:divBdr>
    </w:div>
    <w:div w:id="1967732098">
      <w:marLeft w:val="0"/>
      <w:marRight w:val="0"/>
      <w:marTop w:val="0"/>
      <w:marBottom w:val="0"/>
      <w:divBdr>
        <w:top w:val="none" w:sz="0" w:space="0" w:color="auto"/>
        <w:left w:val="none" w:sz="0" w:space="0" w:color="auto"/>
        <w:bottom w:val="none" w:sz="0" w:space="0" w:color="auto"/>
        <w:right w:val="none" w:sz="0" w:space="0" w:color="auto"/>
      </w:divBdr>
    </w:div>
    <w:div w:id="1969361515">
      <w:marLeft w:val="0"/>
      <w:marRight w:val="0"/>
      <w:marTop w:val="0"/>
      <w:marBottom w:val="0"/>
      <w:divBdr>
        <w:top w:val="none" w:sz="0" w:space="0" w:color="auto"/>
        <w:left w:val="none" w:sz="0" w:space="0" w:color="auto"/>
        <w:bottom w:val="none" w:sz="0" w:space="0" w:color="auto"/>
        <w:right w:val="none" w:sz="0" w:space="0" w:color="auto"/>
      </w:divBdr>
    </w:div>
    <w:div w:id="1976594432">
      <w:marLeft w:val="0"/>
      <w:marRight w:val="0"/>
      <w:marTop w:val="0"/>
      <w:marBottom w:val="0"/>
      <w:divBdr>
        <w:top w:val="none" w:sz="0" w:space="0" w:color="auto"/>
        <w:left w:val="none" w:sz="0" w:space="0" w:color="auto"/>
        <w:bottom w:val="none" w:sz="0" w:space="0" w:color="auto"/>
        <w:right w:val="none" w:sz="0" w:space="0" w:color="auto"/>
      </w:divBdr>
    </w:div>
    <w:div w:id="1978143875">
      <w:marLeft w:val="0"/>
      <w:marRight w:val="0"/>
      <w:marTop w:val="0"/>
      <w:marBottom w:val="0"/>
      <w:divBdr>
        <w:top w:val="none" w:sz="0" w:space="0" w:color="auto"/>
        <w:left w:val="none" w:sz="0" w:space="0" w:color="auto"/>
        <w:bottom w:val="none" w:sz="0" w:space="0" w:color="auto"/>
        <w:right w:val="none" w:sz="0" w:space="0" w:color="auto"/>
      </w:divBdr>
    </w:div>
    <w:div w:id="1978292326">
      <w:marLeft w:val="0"/>
      <w:marRight w:val="0"/>
      <w:marTop w:val="0"/>
      <w:marBottom w:val="0"/>
      <w:divBdr>
        <w:top w:val="none" w:sz="0" w:space="0" w:color="auto"/>
        <w:left w:val="none" w:sz="0" w:space="0" w:color="auto"/>
        <w:bottom w:val="none" w:sz="0" w:space="0" w:color="auto"/>
        <w:right w:val="none" w:sz="0" w:space="0" w:color="auto"/>
      </w:divBdr>
    </w:div>
    <w:div w:id="1978878431">
      <w:marLeft w:val="0"/>
      <w:marRight w:val="0"/>
      <w:marTop w:val="0"/>
      <w:marBottom w:val="0"/>
      <w:divBdr>
        <w:top w:val="none" w:sz="0" w:space="0" w:color="auto"/>
        <w:left w:val="none" w:sz="0" w:space="0" w:color="auto"/>
        <w:bottom w:val="none" w:sz="0" w:space="0" w:color="auto"/>
        <w:right w:val="none" w:sz="0" w:space="0" w:color="auto"/>
      </w:divBdr>
    </w:div>
    <w:div w:id="1982802783">
      <w:marLeft w:val="0"/>
      <w:marRight w:val="0"/>
      <w:marTop w:val="0"/>
      <w:marBottom w:val="0"/>
      <w:divBdr>
        <w:top w:val="none" w:sz="0" w:space="0" w:color="auto"/>
        <w:left w:val="none" w:sz="0" w:space="0" w:color="auto"/>
        <w:bottom w:val="none" w:sz="0" w:space="0" w:color="auto"/>
        <w:right w:val="none" w:sz="0" w:space="0" w:color="auto"/>
      </w:divBdr>
    </w:div>
    <w:div w:id="1985042046">
      <w:marLeft w:val="0"/>
      <w:marRight w:val="0"/>
      <w:marTop w:val="0"/>
      <w:marBottom w:val="0"/>
      <w:divBdr>
        <w:top w:val="none" w:sz="0" w:space="0" w:color="auto"/>
        <w:left w:val="none" w:sz="0" w:space="0" w:color="auto"/>
        <w:bottom w:val="none" w:sz="0" w:space="0" w:color="auto"/>
        <w:right w:val="none" w:sz="0" w:space="0" w:color="auto"/>
      </w:divBdr>
    </w:div>
    <w:div w:id="1985305825">
      <w:marLeft w:val="0"/>
      <w:marRight w:val="0"/>
      <w:marTop w:val="0"/>
      <w:marBottom w:val="0"/>
      <w:divBdr>
        <w:top w:val="none" w:sz="0" w:space="0" w:color="auto"/>
        <w:left w:val="none" w:sz="0" w:space="0" w:color="auto"/>
        <w:bottom w:val="none" w:sz="0" w:space="0" w:color="auto"/>
        <w:right w:val="none" w:sz="0" w:space="0" w:color="auto"/>
      </w:divBdr>
    </w:div>
    <w:div w:id="1987663693">
      <w:marLeft w:val="0"/>
      <w:marRight w:val="0"/>
      <w:marTop w:val="0"/>
      <w:marBottom w:val="0"/>
      <w:divBdr>
        <w:top w:val="none" w:sz="0" w:space="0" w:color="auto"/>
        <w:left w:val="none" w:sz="0" w:space="0" w:color="auto"/>
        <w:bottom w:val="none" w:sz="0" w:space="0" w:color="auto"/>
        <w:right w:val="none" w:sz="0" w:space="0" w:color="auto"/>
      </w:divBdr>
    </w:div>
    <w:div w:id="1990748333">
      <w:marLeft w:val="0"/>
      <w:marRight w:val="0"/>
      <w:marTop w:val="0"/>
      <w:marBottom w:val="0"/>
      <w:divBdr>
        <w:top w:val="none" w:sz="0" w:space="0" w:color="auto"/>
        <w:left w:val="none" w:sz="0" w:space="0" w:color="auto"/>
        <w:bottom w:val="none" w:sz="0" w:space="0" w:color="auto"/>
        <w:right w:val="none" w:sz="0" w:space="0" w:color="auto"/>
      </w:divBdr>
    </w:div>
    <w:div w:id="1994721801">
      <w:marLeft w:val="0"/>
      <w:marRight w:val="0"/>
      <w:marTop w:val="0"/>
      <w:marBottom w:val="0"/>
      <w:divBdr>
        <w:top w:val="none" w:sz="0" w:space="0" w:color="auto"/>
        <w:left w:val="none" w:sz="0" w:space="0" w:color="auto"/>
        <w:bottom w:val="none" w:sz="0" w:space="0" w:color="auto"/>
        <w:right w:val="none" w:sz="0" w:space="0" w:color="auto"/>
      </w:divBdr>
    </w:div>
    <w:div w:id="2001228840">
      <w:marLeft w:val="0"/>
      <w:marRight w:val="0"/>
      <w:marTop w:val="0"/>
      <w:marBottom w:val="0"/>
      <w:divBdr>
        <w:top w:val="none" w:sz="0" w:space="0" w:color="auto"/>
        <w:left w:val="none" w:sz="0" w:space="0" w:color="auto"/>
        <w:bottom w:val="none" w:sz="0" w:space="0" w:color="auto"/>
        <w:right w:val="none" w:sz="0" w:space="0" w:color="auto"/>
      </w:divBdr>
    </w:div>
    <w:div w:id="2006397752">
      <w:marLeft w:val="0"/>
      <w:marRight w:val="0"/>
      <w:marTop w:val="0"/>
      <w:marBottom w:val="0"/>
      <w:divBdr>
        <w:top w:val="none" w:sz="0" w:space="0" w:color="auto"/>
        <w:left w:val="none" w:sz="0" w:space="0" w:color="auto"/>
        <w:bottom w:val="none" w:sz="0" w:space="0" w:color="auto"/>
        <w:right w:val="none" w:sz="0" w:space="0" w:color="auto"/>
      </w:divBdr>
    </w:div>
    <w:div w:id="2007585952">
      <w:marLeft w:val="0"/>
      <w:marRight w:val="0"/>
      <w:marTop w:val="0"/>
      <w:marBottom w:val="0"/>
      <w:divBdr>
        <w:top w:val="none" w:sz="0" w:space="0" w:color="auto"/>
        <w:left w:val="none" w:sz="0" w:space="0" w:color="auto"/>
        <w:bottom w:val="none" w:sz="0" w:space="0" w:color="auto"/>
        <w:right w:val="none" w:sz="0" w:space="0" w:color="auto"/>
      </w:divBdr>
    </w:div>
    <w:div w:id="2010984777">
      <w:marLeft w:val="0"/>
      <w:marRight w:val="0"/>
      <w:marTop w:val="0"/>
      <w:marBottom w:val="0"/>
      <w:divBdr>
        <w:top w:val="none" w:sz="0" w:space="0" w:color="auto"/>
        <w:left w:val="none" w:sz="0" w:space="0" w:color="auto"/>
        <w:bottom w:val="none" w:sz="0" w:space="0" w:color="auto"/>
        <w:right w:val="none" w:sz="0" w:space="0" w:color="auto"/>
      </w:divBdr>
    </w:div>
    <w:div w:id="2013296345">
      <w:marLeft w:val="0"/>
      <w:marRight w:val="0"/>
      <w:marTop w:val="0"/>
      <w:marBottom w:val="0"/>
      <w:divBdr>
        <w:top w:val="none" w:sz="0" w:space="0" w:color="auto"/>
        <w:left w:val="none" w:sz="0" w:space="0" w:color="auto"/>
        <w:bottom w:val="none" w:sz="0" w:space="0" w:color="auto"/>
        <w:right w:val="none" w:sz="0" w:space="0" w:color="auto"/>
      </w:divBdr>
    </w:div>
    <w:div w:id="2017071163">
      <w:marLeft w:val="0"/>
      <w:marRight w:val="0"/>
      <w:marTop w:val="0"/>
      <w:marBottom w:val="0"/>
      <w:divBdr>
        <w:top w:val="none" w:sz="0" w:space="0" w:color="auto"/>
        <w:left w:val="none" w:sz="0" w:space="0" w:color="auto"/>
        <w:bottom w:val="none" w:sz="0" w:space="0" w:color="auto"/>
        <w:right w:val="none" w:sz="0" w:space="0" w:color="auto"/>
      </w:divBdr>
    </w:div>
    <w:div w:id="2017339849">
      <w:marLeft w:val="0"/>
      <w:marRight w:val="0"/>
      <w:marTop w:val="0"/>
      <w:marBottom w:val="0"/>
      <w:divBdr>
        <w:top w:val="none" w:sz="0" w:space="0" w:color="auto"/>
        <w:left w:val="none" w:sz="0" w:space="0" w:color="auto"/>
        <w:bottom w:val="none" w:sz="0" w:space="0" w:color="auto"/>
        <w:right w:val="none" w:sz="0" w:space="0" w:color="auto"/>
      </w:divBdr>
    </w:div>
    <w:div w:id="2017926654">
      <w:marLeft w:val="0"/>
      <w:marRight w:val="0"/>
      <w:marTop w:val="0"/>
      <w:marBottom w:val="0"/>
      <w:divBdr>
        <w:top w:val="none" w:sz="0" w:space="0" w:color="auto"/>
        <w:left w:val="none" w:sz="0" w:space="0" w:color="auto"/>
        <w:bottom w:val="none" w:sz="0" w:space="0" w:color="auto"/>
        <w:right w:val="none" w:sz="0" w:space="0" w:color="auto"/>
      </w:divBdr>
    </w:div>
    <w:div w:id="2018455994">
      <w:marLeft w:val="0"/>
      <w:marRight w:val="0"/>
      <w:marTop w:val="0"/>
      <w:marBottom w:val="0"/>
      <w:divBdr>
        <w:top w:val="none" w:sz="0" w:space="0" w:color="auto"/>
        <w:left w:val="none" w:sz="0" w:space="0" w:color="auto"/>
        <w:bottom w:val="none" w:sz="0" w:space="0" w:color="auto"/>
        <w:right w:val="none" w:sz="0" w:space="0" w:color="auto"/>
      </w:divBdr>
    </w:div>
    <w:div w:id="2019385058">
      <w:marLeft w:val="0"/>
      <w:marRight w:val="0"/>
      <w:marTop w:val="0"/>
      <w:marBottom w:val="0"/>
      <w:divBdr>
        <w:top w:val="none" w:sz="0" w:space="0" w:color="auto"/>
        <w:left w:val="none" w:sz="0" w:space="0" w:color="auto"/>
        <w:bottom w:val="none" w:sz="0" w:space="0" w:color="auto"/>
        <w:right w:val="none" w:sz="0" w:space="0" w:color="auto"/>
      </w:divBdr>
    </w:div>
    <w:div w:id="2020695540">
      <w:marLeft w:val="0"/>
      <w:marRight w:val="0"/>
      <w:marTop w:val="0"/>
      <w:marBottom w:val="0"/>
      <w:divBdr>
        <w:top w:val="none" w:sz="0" w:space="0" w:color="auto"/>
        <w:left w:val="none" w:sz="0" w:space="0" w:color="auto"/>
        <w:bottom w:val="none" w:sz="0" w:space="0" w:color="auto"/>
        <w:right w:val="none" w:sz="0" w:space="0" w:color="auto"/>
      </w:divBdr>
    </w:div>
    <w:div w:id="2027100529">
      <w:marLeft w:val="0"/>
      <w:marRight w:val="0"/>
      <w:marTop w:val="0"/>
      <w:marBottom w:val="0"/>
      <w:divBdr>
        <w:top w:val="none" w:sz="0" w:space="0" w:color="auto"/>
        <w:left w:val="none" w:sz="0" w:space="0" w:color="auto"/>
        <w:bottom w:val="none" w:sz="0" w:space="0" w:color="auto"/>
        <w:right w:val="none" w:sz="0" w:space="0" w:color="auto"/>
      </w:divBdr>
    </w:div>
    <w:div w:id="2027445070">
      <w:marLeft w:val="0"/>
      <w:marRight w:val="0"/>
      <w:marTop w:val="0"/>
      <w:marBottom w:val="0"/>
      <w:divBdr>
        <w:top w:val="none" w:sz="0" w:space="0" w:color="auto"/>
        <w:left w:val="none" w:sz="0" w:space="0" w:color="auto"/>
        <w:bottom w:val="none" w:sz="0" w:space="0" w:color="auto"/>
        <w:right w:val="none" w:sz="0" w:space="0" w:color="auto"/>
      </w:divBdr>
    </w:div>
    <w:div w:id="2032025133">
      <w:marLeft w:val="0"/>
      <w:marRight w:val="0"/>
      <w:marTop w:val="0"/>
      <w:marBottom w:val="0"/>
      <w:divBdr>
        <w:top w:val="none" w:sz="0" w:space="0" w:color="auto"/>
        <w:left w:val="none" w:sz="0" w:space="0" w:color="auto"/>
        <w:bottom w:val="none" w:sz="0" w:space="0" w:color="auto"/>
        <w:right w:val="none" w:sz="0" w:space="0" w:color="auto"/>
      </w:divBdr>
    </w:div>
    <w:div w:id="2032295428">
      <w:marLeft w:val="0"/>
      <w:marRight w:val="0"/>
      <w:marTop w:val="0"/>
      <w:marBottom w:val="0"/>
      <w:divBdr>
        <w:top w:val="none" w:sz="0" w:space="0" w:color="auto"/>
        <w:left w:val="none" w:sz="0" w:space="0" w:color="auto"/>
        <w:bottom w:val="none" w:sz="0" w:space="0" w:color="auto"/>
        <w:right w:val="none" w:sz="0" w:space="0" w:color="auto"/>
      </w:divBdr>
    </w:div>
    <w:div w:id="2036882141">
      <w:marLeft w:val="0"/>
      <w:marRight w:val="0"/>
      <w:marTop w:val="0"/>
      <w:marBottom w:val="0"/>
      <w:divBdr>
        <w:top w:val="none" w:sz="0" w:space="0" w:color="auto"/>
        <w:left w:val="none" w:sz="0" w:space="0" w:color="auto"/>
        <w:bottom w:val="none" w:sz="0" w:space="0" w:color="auto"/>
        <w:right w:val="none" w:sz="0" w:space="0" w:color="auto"/>
      </w:divBdr>
    </w:div>
    <w:div w:id="2037844701">
      <w:marLeft w:val="0"/>
      <w:marRight w:val="0"/>
      <w:marTop w:val="0"/>
      <w:marBottom w:val="0"/>
      <w:divBdr>
        <w:top w:val="none" w:sz="0" w:space="0" w:color="auto"/>
        <w:left w:val="none" w:sz="0" w:space="0" w:color="auto"/>
        <w:bottom w:val="none" w:sz="0" w:space="0" w:color="auto"/>
        <w:right w:val="none" w:sz="0" w:space="0" w:color="auto"/>
      </w:divBdr>
    </w:div>
    <w:div w:id="2039576245">
      <w:marLeft w:val="0"/>
      <w:marRight w:val="0"/>
      <w:marTop w:val="0"/>
      <w:marBottom w:val="0"/>
      <w:divBdr>
        <w:top w:val="none" w:sz="0" w:space="0" w:color="auto"/>
        <w:left w:val="none" w:sz="0" w:space="0" w:color="auto"/>
        <w:bottom w:val="none" w:sz="0" w:space="0" w:color="auto"/>
        <w:right w:val="none" w:sz="0" w:space="0" w:color="auto"/>
      </w:divBdr>
    </w:div>
    <w:div w:id="2040278641">
      <w:marLeft w:val="0"/>
      <w:marRight w:val="0"/>
      <w:marTop w:val="0"/>
      <w:marBottom w:val="0"/>
      <w:divBdr>
        <w:top w:val="none" w:sz="0" w:space="0" w:color="auto"/>
        <w:left w:val="none" w:sz="0" w:space="0" w:color="auto"/>
        <w:bottom w:val="none" w:sz="0" w:space="0" w:color="auto"/>
        <w:right w:val="none" w:sz="0" w:space="0" w:color="auto"/>
      </w:divBdr>
    </w:div>
    <w:div w:id="2040280890">
      <w:marLeft w:val="0"/>
      <w:marRight w:val="0"/>
      <w:marTop w:val="0"/>
      <w:marBottom w:val="0"/>
      <w:divBdr>
        <w:top w:val="none" w:sz="0" w:space="0" w:color="auto"/>
        <w:left w:val="none" w:sz="0" w:space="0" w:color="auto"/>
        <w:bottom w:val="none" w:sz="0" w:space="0" w:color="auto"/>
        <w:right w:val="none" w:sz="0" w:space="0" w:color="auto"/>
      </w:divBdr>
    </w:div>
    <w:div w:id="2043556493">
      <w:marLeft w:val="0"/>
      <w:marRight w:val="0"/>
      <w:marTop w:val="0"/>
      <w:marBottom w:val="0"/>
      <w:divBdr>
        <w:top w:val="none" w:sz="0" w:space="0" w:color="auto"/>
        <w:left w:val="none" w:sz="0" w:space="0" w:color="auto"/>
        <w:bottom w:val="none" w:sz="0" w:space="0" w:color="auto"/>
        <w:right w:val="none" w:sz="0" w:space="0" w:color="auto"/>
      </w:divBdr>
    </w:div>
    <w:div w:id="2043938298">
      <w:marLeft w:val="0"/>
      <w:marRight w:val="0"/>
      <w:marTop w:val="0"/>
      <w:marBottom w:val="0"/>
      <w:divBdr>
        <w:top w:val="none" w:sz="0" w:space="0" w:color="auto"/>
        <w:left w:val="none" w:sz="0" w:space="0" w:color="auto"/>
        <w:bottom w:val="none" w:sz="0" w:space="0" w:color="auto"/>
        <w:right w:val="none" w:sz="0" w:space="0" w:color="auto"/>
      </w:divBdr>
    </w:div>
    <w:div w:id="2045444131">
      <w:marLeft w:val="0"/>
      <w:marRight w:val="0"/>
      <w:marTop w:val="0"/>
      <w:marBottom w:val="0"/>
      <w:divBdr>
        <w:top w:val="none" w:sz="0" w:space="0" w:color="auto"/>
        <w:left w:val="none" w:sz="0" w:space="0" w:color="auto"/>
        <w:bottom w:val="none" w:sz="0" w:space="0" w:color="auto"/>
        <w:right w:val="none" w:sz="0" w:space="0" w:color="auto"/>
      </w:divBdr>
    </w:div>
    <w:div w:id="2047439859">
      <w:marLeft w:val="0"/>
      <w:marRight w:val="0"/>
      <w:marTop w:val="0"/>
      <w:marBottom w:val="0"/>
      <w:divBdr>
        <w:top w:val="none" w:sz="0" w:space="0" w:color="auto"/>
        <w:left w:val="none" w:sz="0" w:space="0" w:color="auto"/>
        <w:bottom w:val="none" w:sz="0" w:space="0" w:color="auto"/>
        <w:right w:val="none" w:sz="0" w:space="0" w:color="auto"/>
      </w:divBdr>
    </w:div>
    <w:div w:id="2048487330">
      <w:marLeft w:val="0"/>
      <w:marRight w:val="0"/>
      <w:marTop w:val="0"/>
      <w:marBottom w:val="0"/>
      <w:divBdr>
        <w:top w:val="none" w:sz="0" w:space="0" w:color="auto"/>
        <w:left w:val="none" w:sz="0" w:space="0" w:color="auto"/>
        <w:bottom w:val="none" w:sz="0" w:space="0" w:color="auto"/>
        <w:right w:val="none" w:sz="0" w:space="0" w:color="auto"/>
      </w:divBdr>
    </w:div>
    <w:div w:id="2050915475">
      <w:marLeft w:val="0"/>
      <w:marRight w:val="0"/>
      <w:marTop w:val="0"/>
      <w:marBottom w:val="0"/>
      <w:divBdr>
        <w:top w:val="none" w:sz="0" w:space="0" w:color="auto"/>
        <w:left w:val="none" w:sz="0" w:space="0" w:color="auto"/>
        <w:bottom w:val="none" w:sz="0" w:space="0" w:color="auto"/>
        <w:right w:val="none" w:sz="0" w:space="0" w:color="auto"/>
      </w:divBdr>
    </w:div>
    <w:div w:id="2051605821">
      <w:marLeft w:val="0"/>
      <w:marRight w:val="0"/>
      <w:marTop w:val="0"/>
      <w:marBottom w:val="0"/>
      <w:divBdr>
        <w:top w:val="none" w:sz="0" w:space="0" w:color="auto"/>
        <w:left w:val="none" w:sz="0" w:space="0" w:color="auto"/>
        <w:bottom w:val="none" w:sz="0" w:space="0" w:color="auto"/>
        <w:right w:val="none" w:sz="0" w:space="0" w:color="auto"/>
      </w:divBdr>
    </w:div>
    <w:div w:id="2054696992">
      <w:marLeft w:val="0"/>
      <w:marRight w:val="0"/>
      <w:marTop w:val="0"/>
      <w:marBottom w:val="0"/>
      <w:divBdr>
        <w:top w:val="none" w:sz="0" w:space="0" w:color="auto"/>
        <w:left w:val="none" w:sz="0" w:space="0" w:color="auto"/>
        <w:bottom w:val="none" w:sz="0" w:space="0" w:color="auto"/>
        <w:right w:val="none" w:sz="0" w:space="0" w:color="auto"/>
      </w:divBdr>
    </w:div>
    <w:div w:id="2055427336">
      <w:marLeft w:val="0"/>
      <w:marRight w:val="0"/>
      <w:marTop w:val="0"/>
      <w:marBottom w:val="0"/>
      <w:divBdr>
        <w:top w:val="none" w:sz="0" w:space="0" w:color="auto"/>
        <w:left w:val="none" w:sz="0" w:space="0" w:color="auto"/>
        <w:bottom w:val="none" w:sz="0" w:space="0" w:color="auto"/>
        <w:right w:val="none" w:sz="0" w:space="0" w:color="auto"/>
      </w:divBdr>
    </w:div>
    <w:div w:id="2056420971">
      <w:marLeft w:val="0"/>
      <w:marRight w:val="0"/>
      <w:marTop w:val="0"/>
      <w:marBottom w:val="0"/>
      <w:divBdr>
        <w:top w:val="none" w:sz="0" w:space="0" w:color="auto"/>
        <w:left w:val="none" w:sz="0" w:space="0" w:color="auto"/>
        <w:bottom w:val="none" w:sz="0" w:space="0" w:color="auto"/>
        <w:right w:val="none" w:sz="0" w:space="0" w:color="auto"/>
      </w:divBdr>
    </w:div>
    <w:div w:id="2056924663">
      <w:marLeft w:val="0"/>
      <w:marRight w:val="0"/>
      <w:marTop w:val="0"/>
      <w:marBottom w:val="0"/>
      <w:divBdr>
        <w:top w:val="none" w:sz="0" w:space="0" w:color="auto"/>
        <w:left w:val="none" w:sz="0" w:space="0" w:color="auto"/>
        <w:bottom w:val="none" w:sz="0" w:space="0" w:color="auto"/>
        <w:right w:val="none" w:sz="0" w:space="0" w:color="auto"/>
      </w:divBdr>
    </w:div>
    <w:div w:id="2060591134">
      <w:marLeft w:val="0"/>
      <w:marRight w:val="0"/>
      <w:marTop w:val="0"/>
      <w:marBottom w:val="0"/>
      <w:divBdr>
        <w:top w:val="none" w:sz="0" w:space="0" w:color="auto"/>
        <w:left w:val="none" w:sz="0" w:space="0" w:color="auto"/>
        <w:bottom w:val="none" w:sz="0" w:space="0" w:color="auto"/>
        <w:right w:val="none" w:sz="0" w:space="0" w:color="auto"/>
      </w:divBdr>
    </w:div>
    <w:div w:id="2064718400">
      <w:marLeft w:val="0"/>
      <w:marRight w:val="0"/>
      <w:marTop w:val="0"/>
      <w:marBottom w:val="0"/>
      <w:divBdr>
        <w:top w:val="none" w:sz="0" w:space="0" w:color="auto"/>
        <w:left w:val="none" w:sz="0" w:space="0" w:color="auto"/>
        <w:bottom w:val="none" w:sz="0" w:space="0" w:color="auto"/>
        <w:right w:val="none" w:sz="0" w:space="0" w:color="auto"/>
      </w:divBdr>
    </w:div>
    <w:div w:id="2066023859">
      <w:marLeft w:val="0"/>
      <w:marRight w:val="0"/>
      <w:marTop w:val="0"/>
      <w:marBottom w:val="0"/>
      <w:divBdr>
        <w:top w:val="none" w:sz="0" w:space="0" w:color="auto"/>
        <w:left w:val="none" w:sz="0" w:space="0" w:color="auto"/>
        <w:bottom w:val="none" w:sz="0" w:space="0" w:color="auto"/>
        <w:right w:val="none" w:sz="0" w:space="0" w:color="auto"/>
      </w:divBdr>
    </w:div>
    <w:div w:id="2066295193">
      <w:marLeft w:val="0"/>
      <w:marRight w:val="0"/>
      <w:marTop w:val="0"/>
      <w:marBottom w:val="0"/>
      <w:divBdr>
        <w:top w:val="none" w:sz="0" w:space="0" w:color="auto"/>
        <w:left w:val="none" w:sz="0" w:space="0" w:color="auto"/>
        <w:bottom w:val="none" w:sz="0" w:space="0" w:color="auto"/>
        <w:right w:val="none" w:sz="0" w:space="0" w:color="auto"/>
      </w:divBdr>
    </w:div>
    <w:div w:id="2069566652">
      <w:marLeft w:val="0"/>
      <w:marRight w:val="0"/>
      <w:marTop w:val="0"/>
      <w:marBottom w:val="0"/>
      <w:divBdr>
        <w:top w:val="none" w:sz="0" w:space="0" w:color="auto"/>
        <w:left w:val="none" w:sz="0" w:space="0" w:color="auto"/>
        <w:bottom w:val="none" w:sz="0" w:space="0" w:color="auto"/>
        <w:right w:val="none" w:sz="0" w:space="0" w:color="auto"/>
      </w:divBdr>
    </w:div>
    <w:div w:id="2070490134">
      <w:marLeft w:val="0"/>
      <w:marRight w:val="0"/>
      <w:marTop w:val="0"/>
      <w:marBottom w:val="0"/>
      <w:divBdr>
        <w:top w:val="none" w:sz="0" w:space="0" w:color="auto"/>
        <w:left w:val="none" w:sz="0" w:space="0" w:color="auto"/>
        <w:bottom w:val="none" w:sz="0" w:space="0" w:color="auto"/>
        <w:right w:val="none" w:sz="0" w:space="0" w:color="auto"/>
      </w:divBdr>
    </w:div>
    <w:div w:id="2077433357">
      <w:marLeft w:val="0"/>
      <w:marRight w:val="0"/>
      <w:marTop w:val="0"/>
      <w:marBottom w:val="0"/>
      <w:divBdr>
        <w:top w:val="none" w:sz="0" w:space="0" w:color="auto"/>
        <w:left w:val="none" w:sz="0" w:space="0" w:color="auto"/>
        <w:bottom w:val="none" w:sz="0" w:space="0" w:color="auto"/>
        <w:right w:val="none" w:sz="0" w:space="0" w:color="auto"/>
      </w:divBdr>
    </w:div>
    <w:div w:id="2077849658">
      <w:marLeft w:val="0"/>
      <w:marRight w:val="0"/>
      <w:marTop w:val="0"/>
      <w:marBottom w:val="0"/>
      <w:divBdr>
        <w:top w:val="none" w:sz="0" w:space="0" w:color="auto"/>
        <w:left w:val="none" w:sz="0" w:space="0" w:color="auto"/>
        <w:bottom w:val="none" w:sz="0" w:space="0" w:color="auto"/>
        <w:right w:val="none" w:sz="0" w:space="0" w:color="auto"/>
      </w:divBdr>
    </w:div>
    <w:div w:id="2077969512">
      <w:marLeft w:val="0"/>
      <w:marRight w:val="0"/>
      <w:marTop w:val="0"/>
      <w:marBottom w:val="0"/>
      <w:divBdr>
        <w:top w:val="none" w:sz="0" w:space="0" w:color="auto"/>
        <w:left w:val="none" w:sz="0" w:space="0" w:color="auto"/>
        <w:bottom w:val="none" w:sz="0" w:space="0" w:color="auto"/>
        <w:right w:val="none" w:sz="0" w:space="0" w:color="auto"/>
      </w:divBdr>
    </w:div>
    <w:div w:id="2078747107">
      <w:marLeft w:val="0"/>
      <w:marRight w:val="0"/>
      <w:marTop w:val="0"/>
      <w:marBottom w:val="0"/>
      <w:divBdr>
        <w:top w:val="none" w:sz="0" w:space="0" w:color="auto"/>
        <w:left w:val="none" w:sz="0" w:space="0" w:color="auto"/>
        <w:bottom w:val="none" w:sz="0" w:space="0" w:color="auto"/>
        <w:right w:val="none" w:sz="0" w:space="0" w:color="auto"/>
      </w:divBdr>
    </w:div>
    <w:div w:id="2079159630">
      <w:marLeft w:val="0"/>
      <w:marRight w:val="0"/>
      <w:marTop w:val="0"/>
      <w:marBottom w:val="0"/>
      <w:divBdr>
        <w:top w:val="none" w:sz="0" w:space="0" w:color="auto"/>
        <w:left w:val="none" w:sz="0" w:space="0" w:color="auto"/>
        <w:bottom w:val="none" w:sz="0" w:space="0" w:color="auto"/>
        <w:right w:val="none" w:sz="0" w:space="0" w:color="auto"/>
      </w:divBdr>
    </w:div>
    <w:div w:id="2080441210">
      <w:marLeft w:val="0"/>
      <w:marRight w:val="0"/>
      <w:marTop w:val="0"/>
      <w:marBottom w:val="0"/>
      <w:divBdr>
        <w:top w:val="none" w:sz="0" w:space="0" w:color="auto"/>
        <w:left w:val="none" w:sz="0" w:space="0" w:color="auto"/>
        <w:bottom w:val="none" w:sz="0" w:space="0" w:color="auto"/>
        <w:right w:val="none" w:sz="0" w:space="0" w:color="auto"/>
      </w:divBdr>
    </w:div>
    <w:div w:id="2085295554">
      <w:marLeft w:val="0"/>
      <w:marRight w:val="0"/>
      <w:marTop w:val="0"/>
      <w:marBottom w:val="0"/>
      <w:divBdr>
        <w:top w:val="none" w:sz="0" w:space="0" w:color="auto"/>
        <w:left w:val="none" w:sz="0" w:space="0" w:color="auto"/>
        <w:bottom w:val="none" w:sz="0" w:space="0" w:color="auto"/>
        <w:right w:val="none" w:sz="0" w:space="0" w:color="auto"/>
      </w:divBdr>
    </w:div>
    <w:div w:id="2085302081">
      <w:marLeft w:val="0"/>
      <w:marRight w:val="0"/>
      <w:marTop w:val="0"/>
      <w:marBottom w:val="0"/>
      <w:divBdr>
        <w:top w:val="none" w:sz="0" w:space="0" w:color="auto"/>
        <w:left w:val="none" w:sz="0" w:space="0" w:color="auto"/>
        <w:bottom w:val="none" w:sz="0" w:space="0" w:color="auto"/>
        <w:right w:val="none" w:sz="0" w:space="0" w:color="auto"/>
      </w:divBdr>
    </w:div>
    <w:div w:id="2089812051">
      <w:marLeft w:val="0"/>
      <w:marRight w:val="0"/>
      <w:marTop w:val="0"/>
      <w:marBottom w:val="0"/>
      <w:divBdr>
        <w:top w:val="none" w:sz="0" w:space="0" w:color="auto"/>
        <w:left w:val="none" w:sz="0" w:space="0" w:color="auto"/>
        <w:bottom w:val="none" w:sz="0" w:space="0" w:color="auto"/>
        <w:right w:val="none" w:sz="0" w:space="0" w:color="auto"/>
      </w:divBdr>
    </w:div>
    <w:div w:id="2091123688">
      <w:marLeft w:val="0"/>
      <w:marRight w:val="0"/>
      <w:marTop w:val="0"/>
      <w:marBottom w:val="0"/>
      <w:divBdr>
        <w:top w:val="none" w:sz="0" w:space="0" w:color="auto"/>
        <w:left w:val="none" w:sz="0" w:space="0" w:color="auto"/>
        <w:bottom w:val="none" w:sz="0" w:space="0" w:color="auto"/>
        <w:right w:val="none" w:sz="0" w:space="0" w:color="auto"/>
      </w:divBdr>
    </w:div>
    <w:div w:id="2091660662">
      <w:marLeft w:val="0"/>
      <w:marRight w:val="0"/>
      <w:marTop w:val="0"/>
      <w:marBottom w:val="0"/>
      <w:divBdr>
        <w:top w:val="none" w:sz="0" w:space="0" w:color="auto"/>
        <w:left w:val="none" w:sz="0" w:space="0" w:color="auto"/>
        <w:bottom w:val="none" w:sz="0" w:space="0" w:color="auto"/>
        <w:right w:val="none" w:sz="0" w:space="0" w:color="auto"/>
      </w:divBdr>
    </w:div>
    <w:div w:id="2091928358">
      <w:marLeft w:val="0"/>
      <w:marRight w:val="0"/>
      <w:marTop w:val="0"/>
      <w:marBottom w:val="0"/>
      <w:divBdr>
        <w:top w:val="none" w:sz="0" w:space="0" w:color="auto"/>
        <w:left w:val="none" w:sz="0" w:space="0" w:color="auto"/>
        <w:bottom w:val="none" w:sz="0" w:space="0" w:color="auto"/>
        <w:right w:val="none" w:sz="0" w:space="0" w:color="auto"/>
      </w:divBdr>
    </w:div>
    <w:div w:id="2092113784">
      <w:marLeft w:val="0"/>
      <w:marRight w:val="0"/>
      <w:marTop w:val="0"/>
      <w:marBottom w:val="0"/>
      <w:divBdr>
        <w:top w:val="none" w:sz="0" w:space="0" w:color="auto"/>
        <w:left w:val="none" w:sz="0" w:space="0" w:color="auto"/>
        <w:bottom w:val="none" w:sz="0" w:space="0" w:color="auto"/>
        <w:right w:val="none" w:sz="0" w:space="0" w:color="auto"/>
      </w:divBdr>
    </w:div>
    <w:div w:id="2101558698">
      <w:marLeft w:val="0"/>
      <w:marRight w:val="0"/>
      <w:marTop w:val="0"/>
      <w:marBottom w:val="0"/>
      <w:divBdr>
        <w:top w:val="none" w:sz="0" w:space="0" w:color="auto"/>
        <w:left w:val="none" w:sz="0" w:space="0" w:color="auto"/>
        <w:bottom w:val="none" w:sz="0" w:space="0" w:color="auto"/>
        <w:right w:val="none" w:sz="0" w:space="0" w:color="auto"/>
      </w:divBdr>
    </w:div>
    <w:div w:id="2103842518">
      <w:marLeft w:val="0"/>
      <w:marRight w:val="0"/>
      <w:marTop w:val="0"/>
      <w:marBottom w:val="0"/>
      <w:divBdr>
        <w:top w:val="none" w:sz="0" w:space="0" w:color="auto"/>
        <w:left w:val="none" w:sz="0" w:space="0" w:color="auto"/>
        <w:bottom w:val="none" w:sz="0" w:space="0" w:color="auto"/>
        <w:right w:val="none" w:sz="0" w:space="0" w:color="auto"/>
      </w:divBdr>
    </w:div>
    <w:div w:id="2107924191">
      <w:marLeft w:val="0"/>
      <w:marRight w:val="0"/>
      <w:marTop w:val="0"/>
      <w:marBottom w:val="0"/>
      <w:divBdr>
        <w:top w:val="none" w:sz="0" w:space="0" w:color="auto"/>
        <w:left w:val="none" w:sz="0" w:space="0" w:color="auto"/>
        <w:bottom w:val="none" w:sz="0" w:space="0" w:color="auto"/>
        <w:right w:val="none" w:sz="0" w:space="0" w:color="auto"/>
      </w:divBdr>
    </w:div>
    <w:div w:id="2110351431">
      <w:marLeft w:val="0"/>
      <w:marRight w:val="0"/>
      <w:marTop w:val="0"/>
      <w:marBottom w:val="0"/>
      <w:divBdr>
        <w:top w:val="none" w:sz="0" w:space="0" w:color="auto"/>
        <w:left w:val="none" w:sz="0" w:space="0" w:color="auto"/>
        <w:bottom w:val="none" w:sz="0" w:space="0" w:color="auto"/>
        <w:right w:val="none" w:sz="0" w:space="0" w:color="auto"/>
      </w:divBdr>
    </w:div>
    <w:div w:id="2110815012">
      <w:marLeft w:val="0"/>
      <w:marRight w:val="0"/>
      <w:marTop w:val="0"/>
      <w:marBottom w:val="0"/>
      <w:divBdr>
        <w:top w:val="none" w:sz="0" w:space="0" w:color="auto"/>
        <w:left w:val="none" w:sz="0" w:space="0" w:color="auto"/>
        <w:bottom w:val="none" w:sz="0" w:space="0" w:color="auto"/>
        <w:right w:val="none" w:sz="0" w:space="0" w:color="auto"/>
      </w:divBdr>
    </w:div>
    <w:div w:id="2111317723">
      <w:marLeft w:val="0"/>
      <w:marRight w:val="0"/>
      <w:marTop w:val="0"/>
      <w:marBottom w:val="0"/>
      <w:divBdr>
        <w:top w:val="none" w:sz="0" w:space="0" w:color="auto"/>
        <w:left w:val="none" w:sz="0" w:space="0" w:color="auto"/>
        <w:bottom w:val="none" w:sz="0" w:space="0" w:color="auto"/>
        <w:right w:val="none" w:sz="0" w:space="0" w:color="auto"/>
      </w:divBdr>
    </w:div>
    <w:div w:id="2112627425">
      <w:marLeft w:val="0"/>
      <w:marRight w:val="0"/>
      <w:marTop w:val="0"/>
      <w:marBottom w:val="0"/>
      <w:divBdr>
        <w:top w:val="none" w:sz="0" w:space="0" w:color="auto"/>
        <w:left w:val="none" w:sz="0" w:space="0" w:color="auto"/>
        <w:bottom w:val="none" w:sz="0" w:space="0" w:color="auto"/>
        <w:right w:val="none" w:sz="0" w:space="0" w:color="auto"/>
      </w:divBdr>
    </w:div>
    <w:div w:id="2112892702">
      <w:marLeft w:val="0"/>
      <w:marRight w:val="0"/>
      <w:marTop w:val="0"/>
      <w:marBottom w:val="0"/>
      <w:divBdr>
        <w:top w:val="none" w:sz="0" w:space="0" w:color="auto"/>
        <w:left w:val="none" w:sz="0" w:space="0" w:color="auto"/>
        <w:bottom w:val="none" w:sz="0" w:space="0" w:color="auto"/>
        <w:right w:val="none" w:sz="0" w:space="0" w:color="auto"/>
      </w:divBdr>
    </w:div>
    <w:div w:id="2118406969">
      <w:marLeft w:val="0"/>
      <w:marRight w:val="0"/>
      <w:marTop w:val="0"/>
      <w:marBottom w:val="0"/>
      <w:divBdr>
        <w:top w:val="none" w:sz="0" w:space="0" w:color="auto"/>
        <w:left w:val="none" w:sz="0" w:space="0" w:color="auto"/>
        <w:bottom w:val="none" w:sz="0" w:space="0" w:color="auto"/>
        <w:right w:val="none" w:sz="0" w:space="0" w:color="auto"/>
      </w:divBdr>
    </w:div>
    <w:div w:id="2120828916">
      <w:marLeft w:val="0"/>
      <w:marRight w:val="0"/>
      <w:marTop w:val="0"/>
      <w:marBottom w:val="0"/>
      <w:divBdr>
        <w:top w:val="none" w:sz="0" w:space="0" w:color="auto"/>
        <w:left w:val="none" w:sz="0" w:space="0" w:color="auto"/>
        <w:bottom w:val="none" w:sz="0" w:space="0" w:color="auto"/>
        <w:right w:val="none" w:sz="0" w:space="0" w:color="auto"/>
      </w:divBdr>
    </w:div>
    <w:div w:id="2121874082">
      <w:marLeft w:val="0"/>
      <w:marRight w:val="0"/>
      <w:marTop w:val="0"/>
      <w:marBottom w:val="0"/>
      <w:divBdr>
        <w:top w:val="none" w:sz="0" w:space="0" w:color="auto"/>
        <w:left w:val="none" w:sz="0" w:space="0" w:color="auto"/>
        <w:bottom w:val="none" w:sz="0" w:space="0" w:color="auto"/>
        <w:right w:val="none" w:sz="0" w:space="0" w:color="auto"/>
      </w:divBdr>
    </w:div>
    <w:div w:id="2122139055">
      <w:marLeft w:val="0"/>
      <w:marRight w:val="0"/>
      <w:marTop w:val="0"/>
      <w:marBottom w:val="0"/>
      <w:divBdr>
        <w:top w:val="none" w:sz="0" w:space="0" w:color="auto"/>
        <w:left w:val="none" w:sz="0" w:space="0" w:color="auto"/>
        <w:bottom w:val="none" w:sz="0" w:space="0" w:color="auto"/>
        <w:right w:val="none" w:sz="0" w:space="0" w:color="auto"/>
      </w:divBdr>
    </w:div>
    <w:div w:id="2122993693">
      <w:marLeft w:val="0"/>
      <w:marRight w:val="0"/>
      <w:marTop w:val="0"/>
      <w:marBottom w:val="0"/>
      <w:divBdr>
        <w:top w:val="none" w:sz="0" w:space="0" w:color="auto"/>
        <w:left w:val="none" w:sz="0" w:space="0" w:color="auto"/>
        <w:bottom w:val="none" w:sz="0" w:space="0" w:color="auto"/>
        <w:right w:val="none" w:sz="0" w:space="0" w:color="auto"/>
      </w:divBdr>
    </w:div>
    <w:div w:id="2124837380">
      <w:marLeft w:val="0"/>
      <w:marRight w:val="0"/>
      <w:marTop w:val="0"/>
      <w:marBottom w:val="0"/>
      <w:divBdr>
        <w:top w:val="none" w:sz="0" w:space="0" w:color="auto"/>
        <w:left w:val="none" w:sz="0" w:space="0" w:color="auto"/>
        <w:bottom w:val="none" w:sz="0" w:space="0" w:color="auto"/>
        <w:right w:val="none" w:sz="0" w:space="0" w:color="auto"/>
      </w:divBdr>
    </w:div>
    <w:div w:id="2126538641">
      <w:marLeft w:val="0"/>
      <w:marRight w:val="0"/>
      <w:marTop w:val="0"/>
      <w:marBottom w:val="0"/>
      <w:divBdr>
        <w:top w:val="none" w:sz="0" w:space="0" w:color="auto"/>
        <w:left w:val="none" w:sz="0" w:space="0" w:color="auto"/>
        <w:bottom w:val="none" w:sz="0" w:space="0" w:color="auto"/>
        <w:right w:val="none" w:sz="0" w:space="0" w:color="auto"/>
      </w:divBdr>
    </w:div>
    <w:div w:id="2134204506">
      <w:marLeft w:val="0"/>
      <w:marRight w:val="0"/>
      <w:marTop w:val="0"/>
      <w:marBottom w:val="0"/>
      <w:divBdr>
        <w:top w:val="none" w:sz="0" w:space="0" w:color="auto"/>
        <w:left w:val="none" w:sz="0" w:space="0" w:color="auto"/>
        <w:bottom w:val="none" w:sz="0" w:space="0" w:color="auto"/>
        <w:right w:val="none" w:sz="0" w:space="0" w:color="auto"/>
      </w:divBdr>
    </w:div>
    <w:div w:id="2135370621">
      <w:marLeft w:val="0"/>
      <w:marRight w:val="0"/>
      <w:marTop w:val="0"/>
      <w:marBottom w:val="0"/>
      <w:divBdr>
        <w:top w:val="none" w:sz="0" w:space="0" w:color="auto"/>
        <w:left w:val="none" w:sz="0" w:space="0" w:color="auto"/>
        <w:bottom w:val="none" w:sz="0" w:space="0" w:color="auto"/>
        <w:right w:val="none" w:sz="0" w:space="0" w:color="auto"/>
      </w:divBdr>
    </w:div>
    <w:div w:id="2139717201">
      <w:marLeft w:val="0"/>
      <w:marRight w:val="0"/>
      <w:marTop w:val="0"/>
      <w:marBottom w:val="0"/>
      <w:divBdr>
        <w:top w:val="none" w:sz="0" w:space="0" w:color="auto"/>
        <w:left w:val="none" w:sz="0" w:space="0" w:color="auto"/>
        <w:bottom w:val="none" w:sz="0" w:space="0" w:color="auto"/>
        <w:right w:val="none" w:sz="0" w:space="0" w:color="auto"/>
      </w:divBdr>
    </w:div>
    <w:div w:id="2139758717">
      <w:marLeft w:val="0"/>
      <w:marRight w:val="0"/>
      <w:marTop w:val="0"/>
      <w:marBottom w:val="0"/>
      <w:divBdr>
        <w:top w:val="none" w:sz="0" w:space="0" w:color="auto"/>
        <w:left w:val="none" w:sz="0" w:space="0" w:color="auto"/>
        <w:bottom w:val="none" w:sz="0" w:space="0" w:color="auto"/>
        <w:right w:val="none" w:sz="0" w:space="0" w:color="auto"/>
      </w:divBdr>
    </w:div>
    <w:div w:id="2143308153">
      <w:marLeft w:val="0"/>
      <w:marRight w:val="0"/>
      <w:marTop w:val="0"/>
      <w:marBottom w:val="0"/>
      <w:divBdr>
        <w:top w:val="none" w:sz="0" w:space="0" w:color="auto"/>
        <w:left w:val="none" w:sz="0" w:space="0" w:color="auto"/>
        <w:bottom w:val="none" w:sz="0" w:space="0" w:color="auto"/>
        <w:right w:val="none" w:sz="0" w:space="0" w:color="auto"/>
      </w:divBdr>
    </w:div>
    <w:div w:id="21435021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User_Gigabyte\Downloads\App_Themes\Infobases\ImagenesGeneral\img28092017162447_15651.jpg" TargetMode="External"/><Relationship Id="rId5" Type="http://schemas.openxmlformats.org/officeDocument/2006/relationships/image" Target="https://www.fielweb.com/App_Themes/Infobases/ImagenesGeneral/img18092017151732_15942.jpg" TargetMode="External"/><Relationship Id="rId4" Type="http://schemas.openxmlformats.org/officeDocument/2006/relationships/image" Target="https://www.fielweb.com/App_Themes/Infobases/ImagenesGeneral/img18092017151732_312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516</Pages>
  <Words>153663</Words>
  <Characters>845149</Characters>
  <Application>Microsoft Office Word</Application>
  <DocSecurity>0</DocSecurity>
  <Lines>7042</Lines>
  <Paragraphs>1993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2017-11-20T19:51:00Z</dcterms:created>
  <dcterms:modified xsi:type="dcterms:W3CDTF">2017-11-20T19:51:00Z</dcterms:modified>
</cp:coreProperties>
</file>