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326E8">
      <w:pPr>
        <w:pStyle w:val="NormalWeb"/>
        <w:rPr>
          <w:lang w:val="es-ES"/>
        </w:rPr>
      </w:pPr>
      <w:bookmarkStart w:id="0" w:name="_GoBack"/>
      <w:bookmarkEnd w:id="0"/>
      <w:r>
        <w:rPr>
          <w:b/>
          <w:bCs/>
          <w:lang w:val="es-ES"/>
        </w:rPr>
        <w:t>Segundo Suplemento del Registro Oficial No.165 , 20 de Enero 2014</w:t>
      </w:r>
    </w:p>
    <w:p w:rsidR="00000000" w:rsidRDefault="008326E8">
      <w:pPr>
        <w:pStyle w:val="NormalWeb"/>
        <w:rPr>
          <w:lang w:val="es-ES"/>
        </w:rPr>
      </w:pPr>
      <w:r>
        <w:rPr>
          <w:b/>
          <w:bCs/>
          <w:lang w:val="es-ES"/>
        </w:rPr>
        <w:t>Normativa:</w:t>
      </w:r>
      <w:r>
        <w:rPr>
          <w:lang w:val="es-ES"/>
        </w:rPr>
        <w:t xml:space="preserve"> Vigente</w:t>
      </w:r>
    </w:p>
    <w:p w:rsidR="00000000" w:rsidRDefault="008326E8">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INSTRUCTIVO DE REGISTRO DE CENTROS DE MEDIACIÓN DE LA FUNCIÓN JUDICIAL</w:t>
      </w:r>
    </w:p>
    <w:p w:rsidR="00000000" w:rsidRDefault="008326E8">
      <w:pPr>
        <w:jc w:val="center"/>
        <w:rPr>
          <w:rFonts w:eastAsia="Times New Roman"/>
          <w:sz w:val="30"/>
          <w:szCs w:val="30"/>
          <w:lang w:val="es-ES"/>
        </w:rPr>
      </w:pPr>
      <w:r>
        <w:rPr>
          <w:rFonts w:eastAsia="Times New Roman"/>
          <w:sz w:val="30"/>
          <w:szCs w:val="30"/>
          <w:lang w:val="es-ES"/>
        </w:rPr>
        <w:t>(Resolución No. 208-2013)</w:t>
      </w:r>
    </w:p>
    <w:p w:rsidR="00000000" w:rsidRDefault="008326E8">
      <w:pPr>
        <w:spacing w:after="300"/>
        <w:divId w:val="2069841256"/>
        <w:rPr>
          <w:rFonts w:eastAsia="Times New Roman"/>
          <w:sz w:val="30"/>
          <w:szCs w:val="30"/>
          <w:lang w:val="es-ES"/>
        </w:rPr>
      </w:pPr>
      <w:r>
        <w:rPr>
          <w:rFonts w:eastAsia="Times New Roman"/>
          <w:sz w:val="30"/>
          <w:szCs w:val="30"/>
          <w:lang w:val="es-ES"/>
        </w:rPr>
        <w:br/>
        <w:t>EL PLENO DEL CONSEJO DE LA JUDICATURA</w:t>
      </w:r>
      <w:r>
        <w:rPr>
          <w:rFonts w:eastAsia="Times New Roman"/>
          <w:sz w:val="30"/>
          <w:szCs w:val="30"/>
          <w:lang w:val="es-ES"/>
        </w:rPr>
        <w:br/>
      </w:r>
      <w:r>
        <w:rPr>
          <w:rFonts w:eastAsia="Times New Roman"/>
          <w:sz w:val="30"/>
          <w:szCs w:val="30"/>
          <w:lang w:val="es-ES"/>
        </w:rPr>
        <w:br/>
        <w:t>CONSIDERANDO:</w:t>
      </w:r>
      <w:r>
        <w:rPr>
          <w:rFonts w:eastAsia="Times New Roman"/>
          <w:sz w:val="30"/>
          <w:szCs w:val="30"/>
          <w:lang w:val="es-ES"/>
        </w:rPr>
        <w:br/>
      </w:r>
      <w:r>
        <w:rPr>
          <w:rFonts w:eastAsia="Times New Roman"/>
          <w:sz w:val="30"/>
          <w:szCs w:val="30"/>
          <w:lang w:val="es-ES"/>
        </w:rPr>
        <w:br/>
      </w:r>
      <w:r>
        <w:rPr>
          <w:rFonts w:eastAsia="Times New Roman"/>
          <w:sz w:val="30"/>
          <w:szCs w:val="30"/>
          <w:lang w:val="es-ES"/>
        </w:rPr>
        <w:t>Que, el artículo 82 de la Constitución de la República del Ecuador incorpora el principio de seguridad jurídica que se fundamenta en el respeto a la Constitución y en la existencia de normas jurídicas previas, claras, públicas y aplicadas por las autoridad</w:t>
      </w:r>
      <w:r>
        <w:rPr>
          <w:rFonts w:eastAsia="Times New Roman"/>
          <w:sz w:val="30"/>
          <w:szCs w:val="30"/>
          <w:lang w:val="es-ES"/>
        </w:rPr>
        <w:t>es competentes;</w:t>
      </w:r>
      <w:r>
        <w:rPr>
          <w:rFonts w:eastAsia="Times New Roman"/>
          <w:sz w:val="30"/>
          <w:szCs w:val="30"/>
          <w:lang w:val="es-ES"/>
        </w:rPr>
        <w:br/>
      </w:r>
      <w:r>
        <w:rPr>
          <w:rFonts w:eastAsia="Times New Roman"/>
          <w:sz w:val="30"/>
          <w:szCs w:val="30"/>
          <w:lang w:val="es-ES"/>
        </w:rPr>
        <w:br/>
        <w:t>Que, el inciso segundo del artículo 178 de la Constitución de la República del Ecuador, en concordancia con lo dispuesto en el inciso 1 del artículo 254 del Código Orgánico de la Función Judicial, dispone que el Consejo de la Judicatura es</w:t>
      </w:r>
      <w:r>
        <w:rPr>
          <w:rFonts w:eastAsia="Times New Roman"/>
          <w:sz w:val="30"/>
          <w:szCs w:val="30"/>
          <w:lang w:val="es-ES"/>
        </w:rPr>
        <w:t xml:space="preserve"> el órgano de gobierno, administración, vigilancia y disciplina de la Función Judicial;</w:t>
      </w:r>
      <w:r>
        <w:rPr>
          <w:rFonts w:eastAsia="Times New Roman"/>
          <w:sz w:val="30"/>
          <w:szCs w:val="30"/>
          <w:lang w:val="es-ES"/>
        </w:rPr>
        <w:br/>
      </w:r>
      <w:r>
        <w:rPr>
          <w:rFonts w:eastAsia="Times New Roman"/>
          <w:sz w:val="30"/>
          <w:szCs w:val="30"/>
          <w:lang w:val="es-ES"/>
        </w:rPr>
        <w:br/>
        <w:t>Que, el artículo 181 de la Constitución de la República del Ecuador establece, entre otras funciones del Consejo de la Judicatura, definir y ejecutar las políticas par</w:t>
      </w:r>
      <w:r>
        <w:rPr>
          <w:rFonts w:eastAsia="Times New Roman"/>
          <w:sz w:val="30"/>
          <w:szCs w:val="30"/>
          <w:lang w:val="es-ES"/>
        </w:rPr>
        <w:t>a el mejoramiento y modernización del sistema judicial y velar por la transparencia y eficiencia de la Función Judicial;</w:t>
      </w:r>
      <w:r>
        <w:rPr>
          <w:rFonts w:eastAsia="Times New Roman"/>
          <w:sz w:val="30"/>
          <w:szCs w:val="30"/>
          <w:lang w:val="es-ES"/>
        </w:rPr>
        <w:br/>
      </w:r>
      <w:r>
        <w:rPr>
          <w:rFonts w:eastAsia="Times New Roman"/>
          <w:sz w:val="30"/>
          <w:szCs w:val="30"/>
          <w:lang w:val="es-ES"/>
        </w:rPr>
        <w:br/>
        <w:t>Que, el inciso primero del artículo 190 de la Constitución de la República del Ecuador reconoce el arbitraje, la mediación y otros pro</w:t>
      </w:r>
      <w:r>
        <w:rPr>
          <w:rFonts w:eastAsia="Times New Roman"/>
          <w:sz w:val="30"/>
          <w:szCs w:val="30"/>
          <w:lang w:val="es-ES"/>
        </w:rPr>
        <w:t>cedimientos alternativos para la solución de conflictos, y manda que estos procedimientos se aplicarán con sujeción a la ley, en materias en las que por su naturaleza se pueda transigir;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Que, el inciso segundo del artículo 17 del Código Orgánico de la Fun</w:t>
      </w:r>
      <w:r>
        <w:rPr>
          <w:rFonts w:eastAsia="Times New Roman"/>
          <w:sz w:val="30"/>
          <w:szCs w:val="30"/>
          <w:lang w:val="es-ES"/>
        </w:rPr>
        <w:t>ción Judicial dispone que el arbitraje, la mediación y otros medios alternativos de solución de conflictos constituyen una forma de servicio público a la colectividad que coadyuvan a la realización de los derechos garantizados en la Constitución y en los i</w:t>
      </w:r>
      <w:r>
        <w:rPr>
          <w:rFonts w:eastAsia="Times New Roman"/>
          <w:sz w:val="30"/>
          <w:szCs w:val="30"/>
          <w:lang w:val="es-ES"/>
        </w:rPr>
        <w:t>nstrumentos internacionales;</w:t>
      </w:r>
      <w:r>
        <w:rPr>
          <w:rFonts w:eastAsia="Times New Roman"/>
          <w:sz w:val="30"/>
          <w:szCs w:val="30"/>
          <w:lang w:val="es-ES"/>
        </w:rPr>
        <w:br/>
      </w:r>
      <w:r>
        <w:rPr>
          <w:rFonts w:eastAsia="Times New Roman"/>
          <w:sz w:val="30"/>
          <w:szCs w:val="30"/>
          <w:lang w:val="es-ES"/>
        </w:rPr>
        <w:br/>
        <w:t xml:space="preserve">Que, el artículo 52 de la Ley de Arbitraje y Mediación prescribe que los gobiernos locales de naturaleza municipal o provincial, las cámaras de la producción, asociaciones, agremiaciones, fundaciones e instituciones sin fines </w:t>
      </w:r>
      <w:r>
        <w:rPr>
          <w:rFonts w:eastAsia="Times New Roman"/>
          <w:sz w:val="30"/>
          <w:szCs w:val="30"/>
          <w:lang w:val="es-ES"/>
        </w:rPr>
        <w:t>de lucro y, en general, las organizaciones comunitarias, podrán organizar centros de mediación, los cuales podrán funcionar previo registro en el Consejo de la Judicatura;</w:t>
      </w:r>
      <w:r>
        <w:rPr>
          <w:rFonts w:eastAsia="Times New Roman"/>
          <w:sz w:val="30"/>
          <w:szCs w:val="30"/>
          <w:lang w:val="es-ES"/>
        </w:rPr>
        <w:br/>
      </w:r>
      <w:r>
        <w:rPr>
          <w:rFonts w:eastAsia="Times New Roman"/>
          <w:sz w:val="30"/>
          <w:szCs w:val="30"/>
          <w:lang w:val="es-ES"/>
        </w:rPr>
        <w:br/>
        <w:t>Que, el Instructivo para el Registro de Centros de Mediación expedido por el Consej</w:t>
      </w:r>
      <w:r>
        <w:rPr>
          <w:rFonts w:eastAsia="Times New Roman"/>
          <w:sz w:val="30"/>
          <w:szCs w:val="30"/>
          <w:lang w:val="es-ES"/>
        </w:rPr>
        <w:t>o Nacional de la Judicatura, el 29 de junio de 1999, requiere ser actualizado a las nuevas exigencias del Estado constitucional de derechos y justicia, a fin de que respondan a las necesidades actuales de la población afianzando procesos rápidos, sencillos</w:t>
      </w:r>
      <w:r>
        <w:rPr>
          <w:rFonts w:eastAsia="Times New Roman"/>
          <w:sz w:val="30"/>
          <w:szCs w:val="30"/>
          <w:lang w:val="es-ES"/>
        </w:rPr>
        <w:t>, coordinados y eficaces;</w:t>
      </w:r>
      <w:r>
        <w:rPr>
          <w:rFonts w:eastAsia="Times New Roman"/>
          <w:sz w:val="30"/>
          <w:szCs w:val="30"/>
          <w:lang w:val="es-ES"/>
        </w:rPr>
        <w:br/>
      </w:r>
      <w:r>
        <w:rPr>
          <w:rFonts w:eastAsia="Times New Roman"/>
          <w:sz w:val="30"/>
          <w:szCs w:val="30"/>
          <w:lang w:val="es-ES"/>
        </w:rPr>
        <w:br/>
        <w:t xml:space="preserve">Que, de conformidad con lo previsto en el numeral 10 del artículo 264 del Código Orgánico de la Función Judicial, al Pleno del Consejo de la Judicatura le corresponde expedir, modificar, derogar e interpretar obligatoriamente el </w:t>
      </w:r>
      <w:r>
        <w:rPr>
          <w:rFonts w:eastAsia="Times New Roman"/>
          <w:sz w:val="30"/>
          <w:szCs w:val="30"/>
          <w:lang w:val="es-ES"/>
        </w:rPr>
        <w:t>Código de Ética de la Función Judicial, el Estatuto Orgánico Administrativo de la Función Judicial, los reglamentos, manuales, instructivos o resoluciones de régimen interno, con sujeción a la Constitución y la ley, para la organización, funcionamiento, re</w:t>
      </w:r>
      <w:r>
        <w:rPr>
          <w:rFonts w:eastAsia="Times New Roman"/>
          <w:sz w:val="30"/>
          <w:szCs w:val="30"/>
          <w:lang w:val="es-ES"/>
        </w:rPr>
        <w:t>sponsabilidades, control y régimen disciplinario; particularmente para velar por la transparencia y eficiencia de la Función Judicial; y,</w:t>
      </w:r>
      <w:r>
        <w:rPr>
          <w:rFonts w:eastAsia="Times New Roman"/>
          <w:sz w:val="30"/>
          <w:szCs w:val="30"/>
          <w:lang w:val="es-ES"/>
        </w:rPr>
        <w:br/>
      </w:r>
      <w:r>
        <w:rPr>
          <w:rFonts w:eastAsia="Times New Roman"/>
          <w:sz w:val="30"/>
          <w:szCs w:val="30"/>
          <w:lang w:val="es-ES"/>
        </w:rPr>
        <w:br/>
        <w:t>En ejercicio de sus atribuciones constitucionales y legales, por unanimidad,</w:t>
      </w:r>
    </w:p>
    <w:p w:rsidR="00000000" w:rsidRDefault="008326E8">
      <w:pPr>
        <w:jc w:val="center"/>
        <w:rPr>
          <w:rFonts w:eastAsia="Times New Roman"/>
          <w:b/>
          <w:bCs/>
          <w:sz w:val="30"/>
          <w:szCs w:val="30"/>
          <w:lang w:val="es-ES"/>
        </w:rPr>
      </w:pPr>
      <w:r>
        <w:rPr>
          <w:rFonts w:eastAsia="Times New Roman"/>
          <w:b/>
          <w:bCs/>
          <w:sz w:val="30"/>
          <w:szCs w:val="30"/>
          <w:lang w:val="es-ES"/>
        </w:rPr>
        <w:t xml:space="preserve">RESUELVE: </w:t>
      </w:r>
    </w:p>
    <w:p w:rsidR="00000000" w:rsidRDefault="008326E8">
      <w:pPr>
        <w:rPr>
          <w:rFonts w:eastAsia="Times New Roman"/>
          <w:sz w:val="30"/>
          <w:szCs w:val="30"/>
          <w:lang w:val="es-ES"/>
        </w:rPr>
      </w:pPr>
      <w:r>
        <w:rPr>
          <w:rFonts w:eastAsia="Times New Roman"/>
          <w:sz w:val="30"/>
          <w:szCs w:val="30"/>
          <w:lang w:val="es-ES"/>
        </w:rPr>
        <w:br/>
      </w:r>
      <w:r>
        <w:rPr>
          <w:rFonts w:eastAsia="Times New Roman"/>
          <w:b/>
          <w:bCs/>
          <w:sz w:val="30"/>
          <w:szCs w:val="30"/>
          <w:lang w:val="es-ES"/>
        </w:rPr>
        <w:t>APROBAR EL INSTRUCTIVO DE</w:t>
      </w:r>
      <w:r>
        <w:rPr>
          <w:rFonts w:eastAsia="Times New Roman"/>
          <w:b/>
          <w:bCs/>
          <w:sz w:val="30"/>
          <w:szCs w:val="30"/>
          <w:lang w:val="es-ES"/>
        </w:rPr>
        <w:t xml:space="preserve"> REGISTRO DE CENTROS DE MEDIACIÓN</w:t>
      </w:r>
    </w:p>
    <w:p w:rsidR="00000000" w:rsidRDefault="008326E8">
      <w:pPr>
        <w:jc w:val="center"/>
        <w:rPr>
          <w:rFonts w:eastAsia="Times New Roman"/>
          <w:sz w:val="36"/>
          <w:szCs w:val="36"/>
          <w:lang w:val="es-ES"/>
        </w:rPr>
      </w:pPr>
      <w:r>
        <w:rPr>
          <w:rFonts w:eastAsia="Times New Roman"/>
          <w:b/>
          <w:bCs/>
          <w:sz w:val="36"/>
          <w:szCs w:val="36"/>
          <w:lang w:val="es-ES"/>
        </w:rPr>
        <w:lastRenderedPageBreak/>
        <w:br/>
        <w:t>Capítulo I</w:t>
      </w:r>
      <w:r>
        <w:rPr>
          <w:rFonts w:eastAsia="Times New Roman"/>
          <w:b/>
          <w:bCs/>
          <w:sz w:val="36"/>
          <w:szCs w:val="36"/>
          <w:lang w:val="es-ES"/>
        </w:rPr>
        <w:br/>
        <w:t>OBJETO, ÁMBITO Y ÓRGANOS COMPETENTES</w:t>
      </w:r>
    </w:p>
    <w:p w:rsidR="00000000" w:rsidRDefault="008326E8">
      <w:pPr>
        <w:divId w:val="1322351595"/>
        <w:rPr>
          <w:rFonts w:eastAsia="Times New Roman"/>
          <w:sz w:val="30"/>
          <w:szCs w:val="30"/>
          <w:lang w:val="es-ES"/>
        </w:rPr>
      </w:pPr>
      <w:r>
        <w:rPr>
          <w:rFonts w:eastAsia="Times New Roman"/>
          <w:sz w:val="30"/>
          <w:szCs w:val="30"/>
          <w:lang w:val="es-ES"/>
        </w:rPr>
        <w:t>Art. 1.-</w:t>
      </w:r>
      <w:r>
        <w:rPr>
          <w:rFonts w:eastAsia="Times New Roman"/>
          <w:b/>
          <w:bCs/>
          <w:sz w:val="30"/>
          <w:szCs w:val="30"/>
          <w:lang w:val="es-ES"/>
        </w:rPr>
        <w:t xml:space="preserve"> Objeto.- </w:t>
      </w:r>
      <w:r>
        <w:rPr>
          <w:rFonts w:eastAsia="Times New Roman"/>
          <w:sz w:val="30"/>
          <w:szCs w:val="30"/>
          <w:lang w:val="es-ES"/>
        </w:rPr>
        <w:t xml:space="preserve">Este instructivo establece el procedimiento de registro de: los centros de mediación; centros de mediación con aval académico; directoras o directores; y, </w:t>
      </w:r>
      <w:r>
        <w:rPr>
          <w:rFonts w:eastAsia="Times New Roman"/>
          <w:sz w:val="30"/>
          <w:szCs w:val="30"/>
          <w:lang w:val="es-ES"/>
        </w:rPr>
        <w:t xml:space="preserve">mediadoras o mediadores habilitados en el centro, en el Consejo de la Judicatura, previo su funcionamiento o ejercicio de funciones conforme lo previsto en la Ley de Arbitraje y Mediación. Además, supervisa el funcionamiento de los centros de mediación, a </w:t>
      </w:r>
      <w:r>
        <w:rPr>
          <w:rFonts w:eastAsia="Times New Roman"/>
          <w:sz w:val="30"/>
          <w:szCs w:val="30"/>
          <w:lang w:val="es-ES"/>
        </w:rPr>
        <w:t>las o los mediadores habilitados por el centro de mediación y la remisión de los informes pertinentes al Consejo de la Judicatura.</w:t>
      </w:r>
    </w:p>
    <w:p w:rsidR="00000000" w:rsidRDefault="008326E8">
      <w:pPr>
        <w:divId w:val="609779448"/>
        <w:rPr>
          <w:rFonts w:eastAsia="Times New Roman"/>
          <w:sz w:val="30"/>
          <w:szCs w:val="30"/>
          <w:lang w:val="es-ES"/>
        </w:rPr>
      </w:pPr>
      <w:r>
        <w:rPr>
          <w:rFonts w:eastAsia="Times New Roman"/>
          <w:sz w:val="30"/>
          <w:szCs w:val="30"/>
          <w:lang w:val="es-ES"/>
        </w:rPr>
        <w:t>Art. 2.-</w:t>
      </w:r>
      <w:r>
        <w:rPr>
          <w:rFonts w:eastAsia="Times New Roman"/>
          <w:b/>
          <w:bCs/>
          <w:sz w:val="30"/>
          <w:szCs w:val="30"/>
          <w:lang w:val="es-ES"/>
        </w:rPr>
        <w:t xml:space="preserve"> Ámbito.- </w:t>
      </w:r>
      <w:r>
        <w:rPr>
          <w:rFonts w:eastAsia="Times New Roman"/>
          <w:sz w:val="30"/>
          <w:szCs w:val="30"/>
          <w:lang w:val="es-ES"/>
        </w:rPr>
        <w:t>Este instructivo rige para las personas naturales o jurídicas, públicas o privadas que formen parte en el p</w:t>
      </w:r>
      <w:r>
        <w:rPr>
          <w:rFonts w:eastAsia="Times New Roman"/>
          <w:sz w:val="30"/>
          <w:szCs w:val="30"/>
          <w:lang w:val="es-ES"/>
        </w:rPr>
        <w:t>roceso de registro al amparo de la Ley de Arbitraje y Mediación, para las servidoras o servidores judiciales y demás funcionarias o funcionarios públicos.</w:t>
      </w:r>
    </w:p>
    <w:p w:rsidR="00000000" w:rsidRDefault="008326E8">
      <w:pPr>
        <w:divId w:val="526454543"/>
        <w:rPr>
          <w:rFonts w:eastAsia="Times New Roman"/>
          <w:sz w:val="30"/>
          <w:szCs w:val="30"/>
          <w:lang w:val="es-ES"/>
        </w:rPr>
      </w:pPr>
      <w:r>
        <w:rPr>
          <w:rFonts w:eastAsia="Times New Roman"/>
          <w:sz w:val="30"/>
          <w:szCs w:val="30"/>
          <w:lang w:val="es-ES"/>
        </w:rPr>
        <w:t>Art. 3.-</w:t>
      </w:r>
      <w:r>
        <w:rPr>
          <w:rFonts w:eastAsia="Times New Roman"/>
          <w:b/>
          <w:bCs/>
          <w:sz w:val="30"/>
          <w:szCs w:val="30"/>
          <w:lang w:val="es-ES"/>
        </w:rPr>
        <w:t xml:space="preserve"> Componentes estructurales.- </w:t>
      </w:r>
      <w:r>
        <w:rPr>
          <w:rFonts w:eastAsia="Times New Roman"/>
          <w:sz w:val="30"/>
          <w:szCs w:val="30"/>
          <w:lang w:val="es-ES"/>
        </w:rPr>
        <w:t xml:space="preserve">El Pleno del Consejo de la Judicatura es el órgano encargado de </w:t>
      </w:r>
      <w:r>
        <w:rPr>
          <w:rFonts w:eastAsia="Times New Roman"/>
          <w:sz w:val="30"/>
          <w:szCs w:val="30"/>
          <w:lang w:val="es-ES"/>
        </w:rPr>
        <w:t>autorizar o cancelar el registro de los centro de mediación; la Secretaría General se encargará de llevar los registros detallados en este instructivo; la Dirección Nacional de Asesoría Jurídica es la instancia encargada de emitir el informe jurídico corre</w:t>
      </w:r>
      <w:r>
        <w:rPr>
          <w:rFonts w:eastAsia="Times New Roman"/>
          <w:sz w:val="30"/>
          <w:szCs w:val="30"/>
          <w:lang w:val="es-ES"/>
        </w:rPr>
        <w:t>spondiente; y, la Subdirección Nacional de Centros de Mediación y Justicia de Paz se encargará de emitir el informe técnico.</w:t>
      </w:r>
    </w:p>
    <w:p w:rsidR="00000000" w:rsidRDefault="008326E8">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REGISTRO NACIONAL DE CENTROS DE MEDIACIÓN</w:t>
      </w:r>
    </w:p>
    <w:p w:rsidR="00000000" w:rsidRDefault="008326E8">
      <w:pPr>
        <w:divId w:val="1327784043"/>
        <w:rPr>
          <w:rFonts w:eastAsia="Times New Roman"/>
          <w:sz w:val="30"/>
          <w:szCs w:val="30"/>
          <w:lang w:val="es-ES"/>
        </w:rPr>
      </w:pPr>
      <w:r>
        <w:rPr>
          <w:rFonts w:eastAsia="Times New Roman"/>
          <w:sz w:val="30"/>
          <w:szCs w:val="30"/>
          <w:lang w:val="es-ES"/>
        </w:rPr>
        <w:t>Art. 4.-</w:t>
      </w:r>
      <w:r>
        <w:rPr>
          <w:rFonts w:eastAsia="Times New Roman"/>
          <w:b/>
          <w:bCs/>
          <w:sz w:val="30"/>
          <w:szCs w:val="30"/>
          <w:lang w:val="es-ES"/>
        </w:rPr>
        <w:t xml:space="preserve"> Libros de registros.- </w:t>
      </w:r>
      <w:r>
        <w:rPr>
          <w:rFonts w:eastAsia="Times New Roman"/>
          <w:sz w:val="30"/>
          <w:szCs w:val="30"/>
          <w:lang w:val="es-ES"/>
        </w:rPr>
        <w:t>La Secretaría General del Consejo de la J</w:t>
      </w:r>
      <w:r>
        <w:rPr>
          <w:rFonts w:eastAsia="Times New Roman"/>
          <w:sz w:val="30"/>
          <w:szCs w:val="30"/>
          <w:lang w:val="es-ES"/>
        </w:rPr>
        <w:t>udicatura tendrá a su cargo los siguientes libros de registros: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Registro de centros de mediación;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Registro de centros que desarrollen capacitación de mediación;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w:t>
      </w:r>
      <w:r>
        <w:rPr>
          <w:rFonts w:eastAsia="Times New Roman"/>
          <w:sz w:val="30"/>
          <w:szCs w:val="30"/>
          <w:lang w:val="es-ES"/>
        </w:rPr>
        <w:t>Registro de directoras o directores de cada centro;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 xml:space="preserve">4. </w:t>
      </w:r>
      <w:r>
        <w:rPr>
          <w:rFonts w:eastAsia="Times New Roman"/>
          <w:sz w:val="30"/>
          <w:szCs w:val="30"/>
          <w:lang w:val="es-ES"/>
        </w:rPr>
        <w:t>Registro de las o los me</w:t>
      </w:r>
      <w:r>
        <w:rPr>
          <w:rFonts w:eastAsia="Times New Roman"/>
          <w:sz w:val="30"/>
          <w:szCs w:val="30"/>
          <w:lang w:val="es-ES"/>
        </w:rPr>
        <w:t>diadores autorizados por los centros de mediación.</w:t>
      </w:r>
    </w:p>
    <w:p w:rsidR="00000000" w:rsidRDefault="008326E8">
      <w:pPr>
        <w:divId w:val="247425730"/>
        <w:rPr>
          <w:rFonts w:eastAsia="Times New Roman"/>
          <w:sz w:val="30"/>
          <w:szCs w:val="30"/>
          <w:lang w:val="es-ES"/>
        </w:rPr>
      </w:pPr>
      <w:r>
        <w:rPr>
          <w:rFonts w:eastAsia="Times New Roman"/>
          <w:sz w:val="30"/>
          <w:szCs w:val="30"/>
          <w:lang w:val="es-ES"/>
        </w:rPr>
        <w:t>Art. 5.-</w:t>
      </w:r>
      <w:r>
        <w:rPr>
          <w:rFonts w:eastAsia="Times New Roman"/>
          <w:b/>
          <w:bCs/>
          <w:sz w:val="30"/>
          <w:szCs w:val="30"/>
          <w:lang w:val="es-ES"/>
        </w:rPr>
        <w:t xml:space="preserve"> Solicitud de registro del centro de mediación.- </w:t>
      </w:r>
      <w:r>
        <w:rPr>
          <w:rFonts w:eastAsia="Times New Roman"/>
          <w:sz w:val="30"/>
          <w:szCs w:val="30"/>
          <w:lang w:val="es-ES"/>
        </w:rPr>
        <w:t>Para obtener el registro de un centro de mediación se deberá ingresar una solicitud dirigida a quien ejerza la representación legal del Consejo de l</w:t>
      </w:r>
      <w:r>
        <w:rPr>
          <w:rFonts w:eastAsia="Times New Roman"/>
          <w:sz w:val="30"/>
          <w:szCs w:val="30"/>
          <w:lang w:val="es-ES"/>
        </w:rPr>
        <w:t>a Judicatura conforme con el anexo 1, adjuntando los siguientes documentos: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Copia certificada ante notaria o notario público del Reglamento del Centro de Mediación y Código de Ética para las o los mediadores, conforme lo dispuesto en este instructivo y</w:t>
      </w:r>
      <w:r>
        <w:rPr>
          <w:rFonts w:eastAsia="Times New Roman"/>
          <w:sz w:val="30"/>
          <w:szCs w:val="30"/>
          <w:lang w:val="es-ES"/>
        </w:rPr>
        <w:t xml:space="preserve"> demás normas jurídicas conexas;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Copia certificada ante notaria o notario público del acto jurídico de creación de la entidad solicitante;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w:t>
      </w:r>
      <w:r>
        <w:rPr>
          <w:rFonts w:eastAsia="Times New Roman"/>
          <w:sz w:val="30"/>
          <w:szCs w:val="30"/>
          <w:lang w:val="es-ES"/>
        </w:rPr>
        <w:t>Declaración juramentada ante notaria o notario público de la o el Director en la que se detalle que el centro</w:t>
      </w:r>
      <w:r>
        <w:rPr>
          <w:rFonts w:eastAsia="Times New Roman"/>
          <w:sz w:val="30"/>
          <w:szCs w:val="30"/>
          <w:lang w:val="es-ES"/>
        </w:rPr>
        <w:t xml:space="preserve"> de mediación cuenta con una sede dotada de elementos administrativos y técnicos necesarios para el desarrollo de las audiencias, con anexos y fotografías;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 </w:t>
      </w:r>
      <w:r>
        <w:rPr>
          <w:rFonts w:eastAsia="Times New Roman"/>
          <w:sz w:val="30"/>
          <w:szCs w:val="30"/>
          <w:lang w:val="es-ES"/>
        </w:rPr>
        <w:t>Listas actualizadas de las o los mediadores autorizados, directivos y personal administrativo de</w:t>
      </w:r>
      <w:r>
        <w:rPr>
          <w:rFonts w:eastAsia="Times New Roman"/>
          <w:sz w:val="30"/>
          <w:szCs w:val="30"/>
          <w:lang w:val="es-ES"/>
        </w:rPr>
        <w:t>l centro de mediación, con su respectiva hoja de vida en la cual conste su formación;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5. </w:t>
      </w:r>
      <w:r>
        <w:rPr>
          <w:rFonts w:eastAsia="Times New Roman"/>
          <w:sz w:val="30"/>
          <w:szCs w:val="30"/>
          <w:lang w:val="es-ES"/>
        </w:rPr>
        <w:t>Plan de desarrollo que especifique la materia y especialización del centro, identificación de los grupos a los cuales se dirige, objetivos estratégicos, nivel de conf</w:t>
      </w:r>
      <w:r>
        <w:rPr>
          <w:rFonts w:eastAsia="Times New Roman"/>
          <w:sz w:val="30"/>
          <w:szCs w:val="30"/>
          <w:lang w:val="es-ES"/>
        </w:rPr>
        <w:t>lictividad, estrategias de difusión y promoción y servicios adicionales que brindará, conforme con el anexo 2;</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6. </w:t>
      </w:r>
      <w:r>
        <w:rPr>
          <w:rFonts w:eastAsia="Times New Roman"/>
          <w:sz w:val="30"/>
          <w:szCs w:val="30"/>
          <w:lang w:val="es-ES"/>
        </w:rPr>
        <w:t>En el caso de centros de mediación que desarrollen actividades de capacitación en procedimientos alternativos de solución de conflictos, se r</w:t>
      </w:r>
      <w:r>
        <w:rPr>
          <w:rFonts w:eastAsia="Times New Roman"/>
          <w:sz w:val="30"/>
          <w:szCs w:val="30"/>
          <w:lang w:val="es-ES"/>
        </w:rPr>
        <w:t>equerirá copia certificada de la protocolización ante notaria o notario público del aval académico de una institución universitaria, conforme lo establecido en el Capítulo III del presente Instructivo;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7. </w:t>
      </w:r>
      <w:r>
        <w:rPr>
          <w:rFonts w:eastAsia="Times New Roman"/>
          <w:sz w:val="30"/>
          <w:szCs w:val="30"/>
          <w:lang w:val="es-ES"/>
        </w:rPr>
        <w:t>Comprobante de pago de la tasa por servicios ad</w:t>
      </w:r>
      <w:r>
        <w:rPr>
          <w:rFonts w:eastAsia="Times New Roman"/>
          <w:sz w:val="30"/>
          <w:szCs w:val="30"/>
          <w:lang w:val="es-ES"/>
        </w:rPr>
        <w:t>ministrativos de registro del centro de mediación, con las excepciones previstas en este instructivo.</w:t>
      </w:r>
      <w:r>
        <w:rPr>
          <w:rFonts w:eastAsia="Times New Roman"/>
          <w:sz w:val="30"/>
          <w:szCs w:val="30"/>
          <w:lang w:val="es-ES"/>
        </w:rPr>
        <w:br/>
      </w:r>
      <w:r>
        <w:rPr>
          <w:rFonts w:eastAsia="Times New Roman"/>
          <w:sz w:val="30"/>
          <w:szCs w:val="30"/>
          <w:lang w:val="es-ES"/>
        </w:rPr>
        <w:lastRenderedPageBreak/>
        <w:br/>
        <w:t>La o el peticionario que solicite el registro será responsable de la veracidad de la información.</w:t>
      </w:r>
    </w:p>
    <w:p w:rsidR="00000000" w:rsidRDefault="008326E8">
      <w:pPr>
        <w:divId w:val="842822196"/>
        <w:rPr>
          <w:rFonts w:eastAsia="Times New Roman"/>
          <w:sz w:val="30"/>
          <w:szCs w:val="30"/>
          <w:lang w:val="es-ES"/>
        </w:rPr>
      </w:pPr>
      <w:r>
        <w:rPr>
          <w:rFonts w:eastAsia="Times New Roman"/>
          <w:sz w:val="30"/>
          <w:szCs w:val="30"/>
          <w:lang w:val="es-ES"/>
        </w:rPr>
        <w:t>Art. 6.-</w:t>
      </w:r>
      <w:r>
        <w:rPr>
          <w:rFonts w:eastAsia="Times New Roman"/>
          <w:b/>
          <w:bCs/>
          <w:sz w:val="30"/>
          <w:szCs w:val="30"/>
          <w:lang w:val="es-ES"/>
        </w:rPr>
        <w:t xml:space="preserve"> Condiciones mínimas de las instalaciones y ele</w:t>
      </w:r>
      <w:r>
        <w:rPr>
          <w:rFonts w:eastAsia="Times New Roman"/>
          <w:b/>
          <w:bCs/>
          <w:sz w:val="30"/>
          <w:szCs w:val="30"/>
          <w:lang w:val="es-ES"/>
        </w:rPr>
        <w:t xml:space="preserve">mentos técnicos y administrativos para el registro de un centro.- </w:t>
      </w:r>
      <w:r>
        <w:rPr>
          <w:rFonts w:eastAsia="Times New Roman"/>
          <w:sz w:val="30"/>
          <w:szCs w:val="30"/>
          <w:lang w:val="es-ES"/>
        </w:rPr>
        <w:t>Los centros de mediación deberán contar, al menos, para su registro con espacios físicos adecuados para su buen funcionamiento, de conformidad con los criterios técnicos de la Subdirección N</w:t>
      </w:r>
      <w:r>
        <w:rPr>
          <w:rFonts w:eastAsia="Times New Roman"/>
          <w:sz w:val="30"/>
          <w:szCs w:val="30"/>
          <w:lang w:val="es-ES"/>
        </w:rPr>
        <w:t>acional de Centros de Mediación y Justicia de Paz.</w:t>
      </w:r>
    </w:p>
    <w:p w:rsidR="00000000" w:rsidRDefault="008326E8">
      <w:pPr>
        <w:divId w:val="1658076680"/>
        <w:rPr>
          <w:rFonts w:eastAsia="Times New Roman"/>
          <w:sz w:val="30"/>
          <w:szCs w:val="30"/>
          <w:lang w:val="es-ES"/>
        </w:rPr>
      </w:pPr>
      <w:r>
        <w:rPr>
          <w:rFonts w:eastAsia="Times New Roman"/>
          <w:sz w:val="30"/>
          <w:szCs w:val="30"/>
          <w:lang w:val="es-ES"/>
        </w:rPr>
        <w:t>Art. 7.-</w:t>
      </w:r>
      <w:r>
        <w:rPr>
          <w:rFonts w:eastAsia="Times New Roman"/>
          <w:b/>
          <w:bCs/>
          <w:sz w:val="30"/>
          <w:szCs w:val="30"/>
          <w:lang w:val="es-ES"/>
        </w:rPr>
        <w:t xml:space="preserve"> Costos de inscripción o renovación por servicios administrativos.- </w:t>
      </w:r>
      <w:r>
        <w:rPr>
          <w:rFonts w:eastAsia="Times New Roman"/>
          <w:sz w:val="30"/>
          <w:szCs w:val="30"/>
          <w:lang w:val="es-ES"/>
        </w:rPr>
        <w:t>El costo de inscripción o renovación del registro del centro por servicios administrativos será de USD 100,00 (Cien dólares de lo</w:t>
      </w:r>
      <w:r>
        <w:rPr>
          <w:rFonts w:eastAsia="Times New Roman"/>
          <w:sz w:val="30"/>
          <w:szCs w:val="30"/>
          <w:lang w:val="es-ES"/>
        </w:rPr>
        <w:t>s Estados Unidos de América con cero centavos), valor que será depositado en las cuentas de recaudación que determinen las unidades financieras correspondientes del Consejo de la Judicatura.</w:t>
      </w:r>
      <w:r>
        <w:rPr>
          <w:rFonts w:eastAsia="Times New Roman"/>
          <w:sz w:val="30"/>
          <w:szCs w:val="30"/>
          <w:lang w:val="es-ES"/>
        </w:rPr>
        <w:br/>
      </w:r>
      <w:r>
        <w:rPr>
          <w:rFonts w:eastAsia="Times New Roman"/>
          <w:sz w:val="30"/>
          <w:szCs w:val="30"/>
          <w:lang w:val="es-ES"/>
        </w:rPr>
        <w:br/>
        <w:t xml:space="preserve">Las entidades u organismos que integran el sector público están </w:t>
      </w:r>
      <w:r>
        <w:rPr>
          <w:rFonts w:eastAsia="Times New Roman"/>
          <w:sz w:val="30"/>
          <w:szCs w:val="30"/>
          <w:lang w:val="es-ES"/>
        </w:rPr>
        <w:t>exentos del pago del valor de la inscripción o renovación.</w:t>
      </w:r>
    </w:p>
    <w:p w:rsidR="00000000" w:rsidRDefault="008326E8">
      <w:pPr>
        <w:divId w:val="1564683220"/>
        <w:rPr>
          <w:rFonts w:eastAsia="Times New Roman"/>
          <w:sz w:val="30"/>
          <w:szCs w:val="30"/>
          <w:lang w:val="es-ES"/>
        </w:rPr>
      </w:pPr>
      <w:r>
        <w:rPr>
          <w:rFonts w:eastAsia="Times New Roman"/>
          <w:sz w:val="30"/>
          <w:szCs w:val="30"/>
          <w:lang w:val="es-ES"/>
        </w:rPr>
        <w:t>Art. 8.-</w:t>
      </w:r>
      <w:r>
        <w:rPr>
          <w:rFonts w:eastAsia="Times New Roman"/>
          <w:b/>
          <w:bCs/>
          <w:sz w:val="30"/>
          <w:szCs w:val="30"/>
          <w:lang w:val="es-ES"/>
        </w:rPr>
        <w:t xml:space="preserve"> Informe jurídico.- </w:t>
      </w:r>
      <w:r>
        <w:rPr>
          <w:rFonts w:eastAsia="Times New Roman"/>
          <w:sz w:val="30"/>
          <w:szCs w:val="30"/>
          <w:lang w:val="es-ES"/>
        </w:rPr>
        <w:t>La Dirección Nacional de Asesoría Jurídica del Consejo de la Judicatura analizará la solicitud y los documentos habilitantes en el término de veinticuatro horas desde la</w:t>
      </w:r>
      <w:r>
        <w:rPr>
          <w:rFonts w:eastAsia="Times New Roman"/>
          <w:sz w:val="30"/>
          <w:szCs w:val="30"/>
          <w:lang w:val="es-ES"/>
        </w:rPr>
        <w:t xml:space="preserve"> recepción del material documental en dicha dirección.</w:t>
      </w:r>
      <w:r>
        <w:rPr>
          <w:rFonts w:eastAsia="Times New Roman"/>
          <w:sz w:val="30"/>
          <w:szCs w:val="30"/>
          <w:lang w:val="es-ES"/>
        </w:rPr>
        <w:br/>
      </w:r>
      <w:r>
        <w:rPr>
          <w:rFonts w:eastAsia="Times New Roman"/>
          <w:sz w:val="30"/>
          <w:szCs w:val="30"/>
          <w:lang w:val="es-ES"/>
        </w:rPr>
        <w:br/>
        <w:t>Si la solicitud y los documentos habilitantes son claros y completos, la Dirección Nacional de Asesoría Jurídica solicitará informe técnico a la Subdirección Nacional de Centros de Mediación y Justici</w:t>
      </w:r>
      <w:r>
        <w:rPr>
          <w:rFonts w:eastAsia="Times New Roman"/>
          <w:sz w:val="30"/>
          <w:szCs w:val="30"/>
          <w:lang w:val="es-ES"/>
        </w:rPr>
        <w:t>a de Paz la que lo remitirá en el término de diez días desde la recepción de la documentación en su unidad.</w:t>
      </w:r>
      <w:r>
        <w:rPr>
          <w:rFonts w:eastAsia="Times New Roman"/>
          <w:sz w:val="30"/>
          <w:szCs w:val="30"/>
          <w:lang w:val="es-ES"/>
        </w:rPr>
        <w:br/>
      </w:r>
      <w:r>
        <w:rPr>
          <w:rFonts w:eastAsia="Times New Roman"/>
          <w:sz w:val="30"/>
          <w:szCs w:val="30"/>
          <w:lang w:val="es-ES"/>
        </w:rPr>
        <w:br/>
        <w:t xml:space="preserve">Receptado el informe técnico, la Dirección Nacional de Asesoría Jurídica, emitirá informe jurídico motivado favorable o desfavorable en el término </w:t>
      </w:r>
      <w:r>
        <w:rPr>
          <w:rFonts w:eastAsia="Times New Roman"/>
          <w:sz w:val="30"/>
          <w:szCs w:val="30"/>
          <w:lang w:val="es-ES"/>
        </w:rPr>
        <w:t>de veinte días desde la recepción de la documentación.</w:t>
      </w:r>
      <w:r>
        <w:rPr>
          <w:rFonts w:eastAsia="Times New Roman"/>
          <w:sz w:val="30"/>
          <w:szCs w:val="30"/>
          <w:lang w:val="es-ES"/>
        </w:rPr>
        <w:br/>
      </w:r>
      <w:r>
        <w:rPr>
          <w:rFonts w:eastAsia="Times New Roman"/>
          <w:sz w:val="30"/>
          <w:szCs w:val="30"/>
          <w:lang w:val="es-ES"/>
        </w:rPr>
        <w:br/>
        <w:t>Si la solicitud y los documentos habilitantes no son claros y completos la Dirección Nacional de Asesoría Jurídica requerirá a la o el peticionario que los aclare o complete indicando con precisión lo</w:t>
      </w:r>
      <w:r>
        <w:rPr>
          <w:rFonts w:eastAsia="Times New Roman"/>
          <w:sz w:val="30"/>
          <w:szCs w:val="30"/>
          <w:lang w:val="es-ES"/>
        </w:rPr>
        <w:t>s documentos faltantes para su respectiva corrección, en el término de tres días desde la notificación. Si no se completa la información en el tiempo señalado la Dirección Nacional de Asesoría Jurídica se abstendrá de tramitarla y ordenará devolver la docu</w:t>
      </w:r>
      <w:r>
        <w:rPr>
          <w:rFonts w:eastAsia="Times New Roman"/>
          <w:sz w:val="30"/>
          <w:szCs w:val="30"/>
          <w:lang w:val="es-ES"/>
        </w:rPr>
        <w:t xml:space="preserve">mentación </w:t>
      </w:r>
      <w:r>
        <w:rPr>
          <w:rFonts w:eastAsia="Times New Roman"/>
          <w:sz w:val="30"/>
          <w:szCs w:val="30"/>
          <w:lang w:val="es-ES"/>
        </w:rPr>
        <w:lastRenderedPageBreak/>
        <w:t>presentada, caso contrario se procederá conforme las reglas precedentes.</w:t>
      </w:r>
      <w:r>
        <w:rPr>
          <w:rFonts w:eastAsia="Times New Roman"/>
          <w:sz w:val="30"/>
          <w:szCs w:val="30"/>
          <w:lang w:val="es-ES"/>
        </w:rPr>
        <w:br/>
      </w:r>
      <w:r>
        <w:rPr>
          <w:rFonts w:eastAsia="Times New Roman"/>
          <w:sz w:val="30"/>
          <w:szCs w:val="30"/>
          <w:lang w:val="es-ES"/>
        </w:rPr>
        <w:br/>
        <w:t>No obstante, el centro de mediación podrá volver a solicitar la inscripción, cuando complete la documentación prevista en la ley y este instructivo, pero tendrá que pagar n</w:t>
      </w:r>
      <w:r>
        <w:rPr>
          <w:rFonts w:eastAsia="Times New Roman"/>
          <w:sz w:val="30"/>
          <w:szCs w:val="30"/>
          <w:lang w:val="es-ES"/>
        </w:rPr>
        <w:t>uevamente la tasa administrativa por concepto de registro.</w:t>
      </w:r>
    </w:p>
    <w:p w:rsidR="00000000" w:rsidRDefault="008326E8">
      <w:pPr>
        <w:divId w:val="82727486"/>
        <w:rPr>
          <w:rFonts w:eastAsia="Times New Roman"/>
          <w:sz w:val="30"/>
          <w:szCs w:val="30"/>
          <w:lang w:val="es-ES"/>
        </w:rPr>
      </w:pPr>
      <w:r>
        <w:rPr>
          <w:rFonts w:eastAsia="Times New Roman"/>
          <w:sz w:val="30"/>
          <w:szCs w:val="30"/>
          <w:lang w:val="es-ES"/>
        </w:rPr>
        <w:t>Art. 9.-</w:t>
      </w:r>
      <w:r>
        <w:rPr>
          <w:rFonts w:eastAsia="Times New Roman"/>
          <w:b/>
          <w:bCs/>
          <w:sz w:val="30"/>
          <w:szCs w:val="30"/>
          <w:lang w:val="es-ES"/>
        </w:rPr>
        <w:t xml:space="preserve"> Informe técnico.- </w:t>
      </w:r>
      <w:r>
        <w:rPr>
          <w:rFonts w:eastAsia="Times New Roman"/>
          <w:sz w:val="30"/>
          <w:szCs w:val="30"/>
          <w:lang w:val="es-ES"/>
        </w:rPr>
        <w:t>La Subdirección Nacional de Centros de Mediación y Justicia de Paz emitirá el informe técnico sobre el plan de desarrollo, condiciones de las instalaciones y elementos té</w:t>
      </w:r>
      <w:r>
        <w:rPr>
          <w:rFonts w:eastAsia="Times New Roman"/>
          <w:sz w:val="30"/>
          <w:szCs w:val="30"/>
          <w:lang w:val="es-ES"/>
        </w:rPr>
        <w:t>cnicos administrativos con que cuenta el centro a registrarse.</w:t>
      </w:r>
    </w:p>
    <w:p w:rsidR="00000000" w:rsidRDefault="008326E8">
      <w:pPr>
        <w:divId w:val="898706553"/>
        <w:rPr>
          <w:rFonts w:eastAsia="Times New Roman"/>
          <w:sz w:val="30"/>
          <w:szCs w:val="30"/>
          <w:lang w:val="es-ES"/>
        </w:rPr>
      </w:pPr>
      <w:r>
        <w:rPr>
          <w:rFonts w:eastAsia="Times New Roman"/>
          <w:sz w:val="30"/>
          <w:szCs w:val="30"/>
          <w:lang w:val="es-ES"/>
        </w:rPr>
        <w:t>Art. 10.-</w:t>
      </w:r>
      <w:r>
        <w:rPr>
          <w:rFonts w:eastAsia="Times New Roman"/>
          <w:b/>
          <w:bCs/>
          <w:sz w:val="30"/>
          <w:szCs w:val="30"/>
          <w:lang w:val="es-ES"/>
        </w:rPr>
        <w:t xml:space="preserve"> Autorización de registro.- </w:t>
      </w:r>
      <w:r>
        <w:rPr>
          <w:rFonts w:eastAsia="Times New Roman"/>
          <w:sz w:val="30"/>
          <w:szCs w:val="30"/>
          <w:lang w:val="es-ES"/>
        </w:rPr>
        <w:t>La Dirección Nacional de Asesoría Jurídica remitirá su informe motivado favorable o desfavorable y la documentación a la Secretaría General, quien la pondrá</w:t>
      </w:r>
      <w:r>
        <w:rPr>
          <w:rFonts w:eastAsia="Times New Roman"/>
          <w:sz w:val="30"/>
          <w:szCs w:val="30"/>
          <w:lang w:val="es-ES"/>
        </w:rPr>
        <w:t xml:space="preserve"> a conocimiento del Pleno del Consejo de la Judicatura, para la autorización o no de la inscripción del respectivo centro de mediación.</w:t>
      </w:r>
      <w:r>
        <w:rPr>
          <w:rFonts w:eastAsia="Times New Roman"/>
          <w:sz w:val="30"/>
          <w:szCs w:val="30"/>
          <w:lang w:val="es-ES"/>
        </w:rPr>
        <w:br/>
      </w:r>
      <w:r>
        <w:rPr>
          <w:rFonts w:eastAsia="Times New Roman"/>
          <w:sz w:val="30"/>
          <w:szCs w:val="30"/>
          <w:lang w:val="es-ES"/>
        </w:rPr>
        <w:br/>
        <w:t>El Pleno del Consejo de la Judicatura podrá solicitar un alcance al informe presentado por la Dirección Nacional de Ase</w:t>
      </w:r>
      <w:r>
        <w:rPr>
          <w:rFonts w:eastAsia="Times New Roman"/>
          <w:sz w:val="30"/>
          <w:szCs w:val="30"/>
          <w:lang w:val="es-ES"/>
        </w:rPr>
        <w:t>soría Jurídica con el fin de aclarar o completar su sentido, previo a la autorización o no de la inscripción.</w:t>
      </w:r>
    </w:p>
    <w:p w:rsidR="00000000" w:rsidRDefault="008326E8">
      <w:pPr>
        <w:divId w:val="1009602499"/>
        <w:rPr>
          <w:rFonts w:eastAsia="Times New Roman"/>
          <w:sz w:val="30"/>
          <w:szCs w:val="30"/>
          <w:lang w:val="es-ES"/>
        </w:rPr>
      </w:pPr>
      <w:r>
        <w:rPr>
          <w:rFonts w:eastAsia="Times New Roman"/>
          <w:sz w:val="30"/>
          <w:szCs w:val="30"/>
          <w:lang w:val="es-ES"/>
        </w:rPr>
        <w:t>Art. 11.-</w:t>
      </w:r>
      <w:r>
        <w:rPr>
          <w:rFonts w:eastAsia="Times New Roman"/>
          <w:b/>
          <w:bCs/>
          <w:sz w:val="30"/>
          <w:szCs w:val="30"/>
          <w:lang w:val="es-ES"/>
        </w:rPr>
        <w:t xml:space="preserve"> Libro de registro de centros de mediación.-</w:t>
      </w:r>
      <w:r>
        <w:rPr>
          <w:rFonts w:eastAsia="Times New Roman"/>
          <w:sz w:val="30"/>
          <w:szCs w:val="30"/>
          <w:lang w:val="es-ES"/>
        </w:rPr>
        <w:t xml:space="preserve"> Autorizado el registro por parte del Pleno del Consejo de la Judicatura, la Secretaría Gener</w:t>
      </w:r>
      <w:r>
        <w:rPr>
          <w:rFonts w:eastAsia="Times New Roman"/>
          <w:sz w:val="30"/>
          <w:szCs w:val="30"/>
          <w:lang w:val="es-ES"/>
        </w:rPr>
        <w:t>al incorporará el nuevo centro en el Libro de Registro de Centros de Mediación a su cargo y archivará la documentación presentada, con el acta correspondiente de sesión del Pleno y el comprobante de pago de la tasa por concepto de registro, conforme con el</w:t>
      </w:r>
      <w:r>
        <w:rPr>
          <w:rFonts w:eastAsia="Times New Roman"/>
          <w:sz w:val="30"/>
          <w:szCs w:val="30"/>
          <w:lang w:val="es-ES"/>
        </w:rPr>
        <w:t xml:space="preserve"> anexo 3.</w:t>
      </w:r>
      <w:r>
        <w:rPr>
          <w:rFonts w:eastAsia="Times New Roman"/>
          <w:sz w:val="30"/>
          <w:szCs w:val="30"/>
          <w:lang w:val="es-ES"/>
        </w:rPr>
        <w:br/>
      </w:r>
      <w:r>
        <w:rPr>
          <w:rFonts w:eastAsia="Times New Roman"/>
          <w:sz w:val="30"/>
          <w:szCs w:val="30"/>
          <w:lang w:val="es-ES"/>
        </w:rPr>
        <w:br/>
        <w:t>El registro otorgado será válido por dos años, renovable cada vez que se cumpla dicho período y será intransferible.</w:t>
      </w:r>
    </w:p>
    <w:p w:rsidR="00000000" w:rsidRDefault="008326E8">
      <w:pPr>
        <w:divId w:val="2134131710"/>
        <w:rPr>
          <w:rFonts w:eastAsia="Times New Roman"/>
          <w:sz w:val="30"/>
          <w:szCs w:val="30"/>
          <w:lang w:val="es-ES"/>
        </w:rPr>
      </w:pPr>
      <w:r>
        <w:rPr>
          <w:rFonts w:eastAsia="Times New Roman"/>
          <w:sz w:val="30"/>
          <w:szCs w:val="30"/>
          <w:lang w:val="es-ES"/>
        </w:rPr>
        <w:t>Art. 12.-</w:t>
      </w:r>
      <w:r>
        <w:rPr>
          <w:rFonts w:eastAsia="Times New Roman"/>
          <w:b/>
          <w:bCs/>
          <w:sz w:val="30"/>
          <w:szCs w:val="30"/>
          <w:lang w:val="es-ES"/>
        </w:rPr>
        <w:t xml:space="preserve"> Devolución de documentación.- </w:t>
      </w:r>
      <w:r>
        <w:rPr>
          <w:rFonts w:eastAsia="Times New Roman"/>
          <w:sz w:val="30"/>
          <w:szCs w:val="30"/>
          <w:lang w:val="es-ES"/>
        </w:rPr>
        <w:t>En caso que el Pleno del Consejo de la Judicatura no autorice el registro, la Secretaría</w:t>
      </w:r>
      <w:r>
        <w:rPr>
          <w:rFonts w:eastAsia="Times New Roman"/>
          <w:sz w:val="30"/>
          <w:szCs w:val="30"/>
          <w:lang w:val="es-ES"/>
        </w:rPr>
        <w:t xml:space="preserve"> General notificará la decisión a la o el peticionario y devolverá la documentación presentada, consignando las respectivas copias certificadas o compulsas para sus archivos.</w:t>
      </w:r>
    </w:p>
    <w:p w:rsidR="00000000" w:rsidRDefault="008326E8">
      <w:pPr>
        <w:divId w:val="257718836"/>
        <w:rPr>
          <w:rFonts w:eastAsia="Times New Roman"/>
          <w:sz w:val="30"/>
          <w:szCs w:val="30"/>
          <w:lang w:val="es-ES"/>
        </w:rPr>
      </w:pPr>
      <w:r>
        <w:rPr>
          <w:rFonts w:eastAsia="Times New Roman"/>
          <w:sz w:val="30"/>
          <w:szCs w:val="30"/>
          <w:lang w:val="es-ES"/>
        </w:rPr>
        <w:t>Art. 13.-</w:t>
      </w:r>
      <w:r>
        <w:rPr>
          <w:rFonts w:eastAsia="Times New Roman"/>
          <w:b/>
          <w:bCs/>
          <w:sz w:val="30"/>
          <w:szCs w:val="30"/>
          <w:lang w:val="es-ES"/>
        </w:rPr>
        <w:t xml:space="preserve"> Número de registro del centro.- </w:t>
      </w:r>
      <w:r>
        <w:rPr>
          <w:rFonts w:eastAsia="Times New Roman"/>
          <w:sz w:val="30"/>
          <w:szCs w:val="30"/>
          <w:lang w:val="es-ES"/>
        </w:rPr>
        <w:t>La Secretaría General del Consejo de la Judicatura proporcionará al centro de mediación un número de registro que lo identificará y que constará en el encabezado de todo documento que suscriba.</w:t>
      </w:r>
    </w:p>
    <w:p w:rsidR="00000000" w:rsidRDefault="008326E8">
      <w:pPr>
        <w:divId w:val="1359282882"/>
        <w:rPr>
          <w:rFonts w:eastAsia="Times New Roman"/>
          <w:sz w:val="30"/>
          <w:szCs w:val="30"/>
          <w:lang w:val="es-ES"/>
        </w:rPr>
      </w:pPr>
      <w:r>
        <w:rPr>
          <w:rFonts w:eastAsia="Times New Roman"/>
          <w:sz w:val="30"/>
          <w:szCs w:val="30"/>
          <w:lang w:val="es-ES"/>
        </w:rPr>
        <w:lastRenderedPageBreak/>
        <w:t>Art. 14.-</w:t>
      </w:r>
      <w:r>
        <w:rPr>
          <w:rFonts w:eastAsia="Times New Roman"/>
          <w:b/>
          <w:bCs/>
          <w:sz w:val="30"/>
          <w:szCs w:val="30"/>
          <w:lang w:val="es-ES"/>
        </w:rPr>
        <w:t xml:space="preserve"> Renovación y requisitos.</w:t>
      </w:r>
      <w:r>
        <w:rPr>
          <w:rFonts w:eastAsia="Times New Roman"/>
          <w:sz w:val="30"/>
          <w:szCs w:val="30"/>
          <w:lang w:val="es-ES"/>
        </w:rPr>
        <w:t>- Para obtener la renovación</w:t>
      </w:r>
      <w:r>
        <w:rPr>
          <w:rFonts w:eastAsia="Times New Roman"/>
          <w:sz w:val="30"/>
          <w:szCs w:val="30"/>
          <w:lang w:val="es-ES"/>
        </w:rPr>
        <w:t xml:space="preserve"> del registro de un centro de mediación se deberá ingresar una solicitud dirigida a quien ejerza la representación legal del Consejo de la Judicatura, conforme con el anexo 1, treinta días antes del vencimiento del registro o la renovación, según el caso, </w:t>
      </w:r>
      <w:r>
        <w:rPr>
          <w:rFonts w:eastAsia="Times New Roman"/>
          <w:sz w:val="30"/>
          <w:szCs w:val="30"/>
          <w:lang w:val="es-ES"/>
        </w:rPr>
        <w:t>adjuntando, de forma obligatoria, los documentos señalados en los numerales 3, 4, 5, 6 y 7 del artículo 5 de este instructivo, requisitos sin los cuales no se procederá a la renovación.</w:t>
      </w:r>
    </w:p>
    <w:p w:rsidR="00000000" w:rsidRDefault="008326E8">
      <w:pPr>
        <w:divId w:val="1140801519"/>
        <w:rPr>
          <w:rFonts w:eastAsia="Times New Roman"/>
          <w:sz w:val="30"/>
          <w:szCs w:val="30"/>
          <w:lang w:val="es-ES"/>
        </w:rPr>
      </w:pPr>
      <w:r>
        <w:rPr>
          <w:rFonts w:eastAsia="Times New Roman"/>
          <w:sz w:val="30"/>
          <w:szCs w:val="30"/>
          <w:lang w:val="es-ES"/>
        </w:rPr>
        <w:t>Art. 15.-</w:t>
      </w:r>
      <w:r>
        <w:rPr>
          <w:rFonts w:eastAsia="Times New Roman"/>
          <w:b/>
          <w:bCs/>
          <w:sz w:val="30"/>
          <w:szCs w:val="30"/>
          <w:lang w:val="es-ES"/>
        </w:rPr>
        <w:t xml:space="preserve"> Creación de oficinas de mediación.- </w:t>
      </w:r>
      <w:r>
        <w:rPr>
          <w:rFonts w:eastAsia="Times New Roman"/>
          <w:sz w:val="30"/>
          <w:szCs w:val="30"/>
          <w:lang w:val="es-ES"/>
        </w:rPr>
        <w:t>Si por la demanda del se</w:t>
      </w:r>
      <w:r>
        <w:rPr>
          <w:rFonts w:eastAsia="Times New Roman"/>
          <w:sz w:val="30"/>
          <w:szCs w:val="30"/>
          <w:lang w:val="es-ES"/>
        </w:rPr>
        <w:t xml:space="preserve">rvicio, los centros de mediación requieren crear oficinas de mediación en otras ciudades o regiones, se procederá con su apertura como dependencias del centro de mediación principal con el mismo número de registro, con una variable de identificación de la </w:t>
      </w:r>
      <w:r>
        <w:rPr>
          <w:rFonts w:eastAsia="Times New Roman"/>
          <w:sz w:val="30"/>
          <w:szCs w:val="30"/>
          <w:lang w:val="es-ES"/>
        </w:rPr>
        <w:t>oficina como subregistro.</w:t>
      </w:r>
      <w:r>
        <w:rPr>
          <w:rFonts w:eastAsia="Times New Roman"/>
          <w:sz w:val="30"/>
          <w:szCs w:val="30"/>
          <w:lang w:val="es-ES"/>
        </w:rPr>
        <w:br/>
      </w:r>
      <w:r>
        <w:rPr>
          <w:rFonts w:eastAsia="Times New Roman"/>
          <w:sz w:val="30"/>
          <w:szCs w:val="30"/>
          <w:lang w:val="es-ES"/>
        </w:rPr>
        <w:br/>
        <w:t>Para el registro de oficinas adicionales se deberá adjuntar tanto la solicitud de registro conforme con el anexo 1 como los documentos señalados en los numerales 3, 4, 5, 6 y 7 del artículo 5 de este instructivo.</w:t>
      </w:r>
    </w:p>
    <w:p w:rsidR="00000000" w:rsidRDefault="008326E8">
      <w:pPr>
        <w:divId w:val="1545556245"/>
        <w:rPr>
          <w:rFonts w:eastAsia="Times New Roman"/>
          <w:sz w:val="30"/>
          <w:szCs w:val="30"/>
          <w:lang w:val="es-ES"/>
        </w:rPr>
      </w:pPr>
      <w:r>
        <w:rPr>
          <w:rFonts w:eastAsia="Times New Roman"/>
          <w:sz w:val="30"/>
          <w:szCs w:val="30"/>
          <w:lang w:val="es-ES"/>
        </w:rPr>
        <w:t>Art. 16.-</w:t>
      </w:r>
      <w:r>
        <w:rPr>
          <w:rFonts w:eastAsia="Times New Roman"/>
          <w:b/>
          <w:bCs/>
          <w:sz w:val="30"/>
          <w:szCs w:val="30"/>
          <w:lang w:val="es-ES"/>
        </w:rPr>
        <w:t xml:space="preserve"> Regist</w:t>
      </w:r>
      <w:r>
        <w:rPr>
          <w:rFonts w:eastAsia="Times New Roman"/>
          <w:b/>
          <w:bCs/>
          <w:sz w:val="30"/>
          <w:szCs w:val="30"/>
          <w:lang w:val="es-ES"/>
        </w:rPr>
        <w:t>ro nacional de centros de mediación.-</w:t>
      </w:r>
      <w:r>
        <w:rPr>
          <w:rFonts w:eastAsia="Times New Roman"/>
          <w:sz w:val="30"/>
          <w:szCs w:val="30"/>
          <w:lang w:val="es-ES"/>
        </w:rPr>
        <w:t xml:space="preserve"> La Secretaría General del Consejo de la Judicatura contará con un registro nacional de centros de mediación, en soporte físico sin perjuicio de transferir la información a formato digitalizado.</w:t>
      </w:r>
    </w:p>
    <w:p w:rsidR="00000000" w:rsidRDefault="008326E8">
      <w:pPr>
        <w:divId w:val="1157916620"/>
        <w:rPr>
          <w:rFonts w:eastAsia="Times New Roman"/>
          <w:sz w:val="30"/>
          <w:szCs w:val="30"/>
          <w:lang w:val="es-ES"/>
        </w:rPr>
      </w:pPr>
      <w:r>
        <w:rPr>
          <w:rFonts w:eastAsia="Times New Roman"/>
          <w:sz w:val="30"/>
          <w:szCs w:val="30"/>
          <w:lang w:val="es-ES"/>
        </w:rPr>
        <w:t>Art. 17.-</w:t>
      </w:r>
      <w:r>
        <w:rPr>
          <w:rFonts w:eastAsia="Times New Roman"/>
          <w:b/>
          <w:bCs/>
          <w:sz w:val="30"/>
          <w:szCs w:val="30"/>
          <w:lang w:val="es-ES"/>
        </w:rPr>
        <w:t xml:space="preserve"> Certificado de</w:t>
      </w:r>
      <w:r>
        <w:rPr>
          <w:rFonts w:eastAsia="Times New Roman"/>
          <w:b/>
          <w:bCs/>
          <w:sz w:val="30"/>
          <w:szCs w:val="30"/>
          <w:lang w:val="es-ES"/>
        </w:rPr>
        <w:t xml:space="preserve"> registro previo inicio de funciones.- </w:t>
      </w:r>
      <w:r>
        <w:rPr>
          <w:rFonts w:eastAsia="Times New Roman"/>
          <w:sz w:val="30"/>
          <w:szCs w:val="30"/>
          <w:lang w:val="es-ES"/>
        </w:rPr>
        <w:t xml:space="preserve">Los centros de mediación, deberán contar con la certificación de registro emitida por la Secretaría General del Consejo de la Judicatura, previo al inicio de sus funciones, documento que deberán exhibirlo en un lugar </w:t>
      </w:r>
      <w:r>
        <w:rPr>
          <w:rFonts w:eastAsia="Times New Roman"/>
          <w:sz w:val="30"/>
          <w:szCs w:val="30"/>
          <w:lang w:val="es-ES"/>
        </w:rPr>
        <w:t>visible.</w:t>
      </w:r>
    </w:p>
    <w:p w:rsidR="00000000" w:rsidRDefault="008326E8">
      <w:pPr>
        <w:divId w:val="549459808"/>
        <w:rPr>
          <w:rFonts w:eastAsia="Times New Roman"/>
          <w:sz w:val="30"/>
          <w:szCs w:val="30"/>
          <w:lang w:val="es-ES"/>
        </w:rPr>
      </w:pPr>
      <w:r>
        <w:rPr>
          <w:rFonts w:eastAsia="Times New Roman"/>
          <w:sz w:val="30"/>
          <w:szCs w:val="30"/>
          <w:lang w:val="es-ES"/>
        </w:rPr>
        <w:t>Art. 18.-</w:t>
      </w:r>
      <w:r>
        <w:rPr>
          <w:rFonts w:eastAsia="Times New Roman"/>
          <w:b/>
          <w:bCs/>
          <w:sz w:val="30"/>
          <w:szCs w:val="30"/>
          <w:lang w:val="es-ES"/>
        </w:rPr>
        <w:t xml:space="preserve"> Prohibición de registro de centro de mediación con denominaciones, requisitos o datos similares.- </w:t>
      </w:r>
      <w:r>
        <w:rPr>
          <w:rFonts w:eastAsia="Times New Roman"/>
          <w:sz w:val="30"/>
          <w:szCs w:val="30"/>
          <w:lang w:val="es-ES"/>
        </w:rPr>
        <w:t>Se prohíbe registrar a un centro de mediación cuya denominación o razón social, requisitos o datos de ubicación guarden identidad o similit</w:t>
      </w:r>
      <w:r>
        <w:rPr>
          <w:rFonts w:eastAsia="Times New Roman"/>
          <w:sz w:val="30"/>
          <w:szCs w:val="30"/>
          <w:lang w:val="es-ES"/>
        </w:rPr>
        <w:t>ud con otro previamente registrado. En caso de haberse concedido un registro que tenga similitud o identidad entre sí, de oficio o a petición de parte interesada, se anulará el último registro.</w:t>
      </w:r>
    </w:p>
    <w:p w:rsidR="00000000" w:rsidRDefault="008326E8">
      <w:pPr>
        <w:divId w:val="1577787352"/>
        <w:rPr>
          <w:rFonts w:eastAsia="Times New Roman"/>
          <w:sz w:val="30"/>
          <w:szCs w:val="30"/>
          <w:lang w:val="es-ES"/>
        </w:rPr>
      </w:pPr>
      <w:r>
        <w:rPr>
          <w:rFonts w:eastAsia="Times New Roman"/>
          <w:sz w:val="30"/>
          <w:szCs w:val="30"/>
          <w:lang w:val="es-ES"/>
        </w:rPr>
        <w:t>Art. 19.-</w:t>
      </w:r>
      <w:r>
        <w:rPr>
          <w:rFonts w:eastAsia="Times New Roman"/>
          <w:b/>
          <w:bCs/>
          <w:sz w:val="30"/>
          <w:szCs w:val="30"/>
          <w:lang w:val="es-ES"/>
        </w:rPr>
        <w:t xml:space="preserve"> Cese de actividades.- </w:t>
      </w:r>
      <w:r>
        <w:rPr>
          <w:rFonts w:eastAsia="Times New Roman"/>
          <w:sz w:val="30"/>
          <w:szCs w:val="30"/>
          <w:lang w:val="es-ES"/>
        </w:rPr>
        <w:t>A petición del centro, podrá e</w:t>
      </w:r>
      <w:r>
        <w:rPr>
          <w:rFonts w:eastAsia="Times New Roman"/>
          <w:sz w:val="30"/>
          <w:szCs w:val="30"/>
          <w:lang w:val="es-ES"/>
        </w:rPr>
        <w:t>liminarse su registro correspondiente por cese de actividades. Para ello, la o el director a cargo de este deberá notificar el particular, a la Secretaría General del Consejo de la Judicatura, con treinta días de anticipación, adjuntando para efectos de co</w:t>
      </w:r>
      <w:r>
        <w:rPr>
          <w:rFonts w:eastAsia="Times New Roman"/>
          <w:sz w:val="30"/>
          <w:szCs w:val="30"/>
          <w:lang w:val="es-ES"/>
        </w:rPr>
        <w:t xml:space="preserve">ntrol, custodia y </w:t>
      </w:r>
      <w:r>
        <w:rPr>
          <w:rFonts w:eastAsia="Times New Roman"/>
          <w:sz w:val="30"/>
          <w:szCs w:val="30"/>
          <w:lang w:val="es-ES"/>
        </w:rPr>
        <w:lastRenderedPageBreak/>
        <w:t>certificación un archivo inventariado, físico y digital de los acuerdos de mediación suscritos por el centro durante todo el tiempo de sus funciones, con sus respectivas actas auténticas y numeradas, sean actas de acuerdo total o parcial,</w:t>
      </w:r>
      <w:r>
        <w:rPr>
          <w:rFonts w:eastAsia="Times New Roman"/>
          <w:sz w:val="30"/>
          <w:szCs w:val="30"/>
          <w:lang w:val="es-ES"/>
        </w:rPr>
        <w:t xml:space="preserve"> de constancia de imposibilidad de mediación o las razones respectivas en caso de que los procesos de mediación no se enmarquen en las figuras antes señaladas. La Secretaría General del Consejo de la Judicatura observará el principio de confidencialidad co</w:t>
      </w:r>
      <w:r>
        <w:rPr>
          <w:rFonts w:eastAsia="Times New Roman"/>
          <w:sz w:val="30"/>
          <w:szCs w:val="30"/>
          <w:lang w:val="es-ES"/>
        </w:rPr>
        <w:t>n la información entregada.</w:t>
      </w:r>
    </w:p>
    <w:p w:rsidR="00000000" w:rsidRDefault="008326E8">
      <w:pPr>
        <w:divId w:val="856843650"/>
        <w:rPr>
          <w:rFonts w:eastAsia="Times New Roman"/>
          <w:sz w:val="30"/>
          <w:szCs w:val="30"/>
          <w:lang w:val="es-ES"/>
        </w:rPr>
      </w:pPr>
      <w:r>
        <w:rPr>
          <w:rFonts w:eastAsia="Times New Roman"/>
          <w:sz w:val="30"/>
          <w:szCs w:val="30"/>
          <w:lang w:val="es-ES"/>
        </w:rPr>
        <w:t>Art. 20.-</w:t>
      </w:r>
      <w:r>
        <w:rPr>
          <w:rFonts w:eastAsia="Times New Roman"/>
          <w:b/>
          <w:bCs/>
          <w:sz w:val="30"/>
          <w:szCs w:val="30"/>
          <w:lang w:val="es-ES"/>
        </w:rPr>
        <w:t xml:space="preserve"> Cancelación del registro.- </w:t>
      </w:r>
      <w:r>
        <w:rPr>
          <w:rFonts w:eastAsia="Times New Roman"/>
          <w:sz w:val="30"/>
          <w:szCs w:val="30"/>
          <w:lang w:val="es-ES"/>
        </w:rPr>
        <w:t>La Subdirección Nacional de Centros de Mediación y Justicia de Paz verificará al menos una vez al año que los centros de mediación cumplan con los requisitos previstos en la ley y este instructivo o que se encuentren en funcionamiento, y presentarán un inf</w:t>
      </w:r>
      <w:r>
        <w:rPr>
          <w:rFonts w:eastAsia="Times New Roman"/>
          <w:sz w:val="30"/>
          <w:szCs w:val="30"/>
          <w:lang w:val="es-ES"/>
        </w:rPr>
        <w:t>orme técnico motivado a la Secretaría General del Consejo de la Judicatura, en el que se detalle el alcance del incumplimiento. La Secretaría General remitirá el informe motivado a la Dirección Nacional de Asesoría Jurídica para que emita su informe corres</w:t>
      </w:r>
      <w:r>
        <w:rPr>
          <w:rFonts w:eastAsia="Times New Roman"/>
          <w:sz w:val="30"/>
          <w:szCs w:val="30"/>
          <w:lang w:val="es-ES"/>
        </w:rPr>
        <w:t>pondiente en el término de treinta días. Estos informes servirán de base para resolver sobre la cancelación del registro de un centro de mediación.</w:t>
      </w:r>
      <w:r>
        <w:rPr>
          <w:rFonts w:eastAsia="Times New Roman"/>
          <w:sz w:val="30"/>
          <w:szCs w:val="30"/>
          <w:lang w:val="es-ES"/>
        </w:rPr>
        <w:br/>
      </w:r>
      <w:r>
        <w:rPr>
          <w:rFonts w:eastAsia="Times New Roman"/>
          <w:sz w:val="30"/>
          <w:szCs w:val="30"/>
          <w:lang w:val="es-ES"/>
        </w:rPr>
        <w:br/>
        <w:t>Previo a resolver sobre la cancelación del registro de un centro de mediación, la Dirección Nacional de Ase</w:t>
      </w:r>
      <w:r>
        <w:rPr>
          <w:rFonts w:eastAsia="Times New Roman"/>
          <w:sz w:val="30"/>
          <w:szCs w:val="30"/>
          <w:lang w:val="es-ES"/>
        </w:rPr>
        <w:t>soría Jurídica otorgará un término para que el centro justifique o desvirtúe documentadamente el incumplimiento.</w:t>
      </w:r>
      <w:r>
        <w:rPr>
          <w:rFonts w:eastAsia="Times New Roman"/>
          <w:sz w:val="30"/>
          <w:szCs w:val="30"/>
          <w:lang w:val="es-ES"/>
        </w:rPr>
        <w:br/>
      </w:r>
      <w:r>
        <w:rPr>
          <w:rFonts w:eastAsia="Times New Roman"/>
          <w:sz w:val="30"/>
          <w:szCs w:val="30"/>
          <w:lang w:val="es-ES"/>
        </w:rPr>
        <w:br/>
        <w:t>Transcurrido el término de treinta días, la Dirección Nacional de Asesoría Jurídica remitirá su informe motivado favorable o desfavorable y la</w:t>
      </w:r>
      <w:r>
        <w:rPr>
          <w:rFonts w:eastAsia="Times New Roman"/>
          <w:sz w:val="30"/>
          <w:szCs w:val="30"/>
          <w:lang w:val="es-ES"/>
        </w:rPr>
        <w:t xml:space="preserve"> documentación a la Secretaría General, que la pondrá a conocimiento del Pleno del Consejo de la Judicatura.</w:t>
      </w:r>
      <w:r>
        <w:rPr>
          <w:rFonts w:eastAsia="Times New Roman"/>
          <w:sz w:val="30"/>
          <w:szCs w:val="30"/>
          <w:lang w:val="es-ES"/>
        </w:rPr>
        <w:br/>
      </w:r>
      <w:r>
        <w:rPr>
          <w:rFonts w:eastAsia="Times New Roman"/>
          <w:sz w:val="30"/>
          <w:szCs w:val="30"/>
          <w:lang w:val="es-ES"/>
        </w:rPr>
        <w:br/>
        <w:t>El Pleno del Consejo de la Judicatura cancelará el registro de un centro de mediación y prohibirá su funcionamiento en el caso de verificarse el i</w:t>
      </w:r>
      <w:r>
        <w:rPr>
          <w:rFonts w:eastAsia="Times New Roman"/>
          <w:sz w:val="30"/>
          <w:szCs w:val="30"/>
          <w:lang w:val="es-ES"/>
        </w:rPr>
        <w:t>ncumplimiento de las disposiciones contenidas en este instructivo y la normativa jurídica conexa.</w:t>
      </w:r>
    </w:p>
    <w:p w:rsidR="00000000" w:rsidRDefault="008326E8">
      <w:pPr>
        <w:divId w:val="1539664463"/>
        <w:rPr>
          <w:rFonts w:eastAsia="Times New Roman"/>
          <w:sz w:val="30"/>
          <w:szCs w:val="30"/>
          <w:lang w:val="es-ES"/>
        </w:rPr>
      </w:pPr>
      <w:r>
        <w:rPr>
          <w:rFonts w:eastAsia="Times New Roman"/>
          <w:sz w:val="30"/>
          <w:szCs w:val="30"/>
          <w:lang w:val="es-ES"/>
        </w:rPr>
        <w:t>Art. 21.-</w:t>
      </w:r>
      <w:r>
        <w:rPr>
          <w:rFonts w:eastAsia="Times New Roman"/>
          <w:b/>
          <w:bCs/>
          <w:sz w:val="30"/>
          <w:szCs w:val="30"/>
          <w:lang w:val="es-ES"/>
        </w:rPr>
        <w:t xml:space="preserve"> Envío de información por cancelación de registro.- </w:t>
      </w:r>
      <w:r>
        <w:rPr>
          <w:rFonts w:eastAsia="Times New Roman"/>
          <w:sz w:val="30"/>
          <w:szCs w:val="30"/>
          <w:lang w:val="es-ES"/>
        </w:rPr>
        <w:t>En caso que el centro de mediación deje de brindar sus servicios por cancelación de registro, deb</w:t>
      </w:r>
      <w:r>
        <w:rPr>
          <w:rFonts w:eastAsia="Times New Roman"/>
          <w:sz w:val="30"/>
          <w:szCs w:val="30"/>
          <w:lang w:val="es-ES"/>
        </w:rPr>
        <w:t xml:space="preserve">erá remitir a la Secretaría General, en el término de quince días desde la notificación de la cancelación, un archivo inventariado, físico y digital, de los acuerdos de mediación suscritos por el centro durante todo el tiempo de sus funciones, con </w:t>
      </w:r>
      <w:r>
        <w:rPr>
          <w:rFonts w:eastAsia="Times New Roman"/>
          <w:sz w:val="30"/>
          <w:szCs w:val="30"/>
          <w:lang w:val="es-ES"/>
        </w:rPr>
        <w:lastRenderedPageBreak/>
        <w:t>sus resp</w:t>
      </w:r>
      <w:r>
        <w:rPr>
          <w:rFonts w:eastAsia="Times New Roman"/>
          <w:sz w:val="30"/>
          <w:szCs w:val="30"/>
          <w:lang w:val="es-ES"/>
        </w:rPr>
        <w:t>ectivas actas auténticas y numeradas, sean actas de acuerdo total o parcial, de constancia de imposibilidad de mediación o las razones respectivas en caso de que los procesos de mediación no se enmarquen en las figuras antes señaladas. La Secretaría Genera</w:t>
      </w:r>
      <w:r>
        <w:rPr>
          <w:rFonts w:eastAsia="Times New Roman"/>
          <w:sz w:val="30"/>
          <w:szCs w:val="30"/>
          <w:lang w:val="es-ES"/>
        </w:rPr>
        <w:t>l del Consejo de la Judicatura observará el principio de confidencialidad con la información entregada.</w:t>
      </w:r>
    </w:p>
    <w:p w:rsidR="00000000" w:rsidRDefault="008326E8">
      <w:pPr>
        <w:divId w:val="213347959"/>
        <w:rPr>
          <w:rFonts w:eastAsia="Times New Roman"/>
          <w:sz w:val="30"/>
          <w:szCs w:val="30"/>
          <w:lang w:val="es-ES"/>
        </w:rPr>
      </w:pPr>
      <w:r>
        <w:rPr>
          <w:rFonts w:eastAsia="Times New Roman"/>
          <w:sz w:val="30"/>
          <w:szCs w:val="30"/>
          <w:lang w:val="es-ES"/>
        </w:rPr>
        <w:t>Art. 22.-</w:t>
      </w:r>
      <w:r>
        <w:rPr>
          <w:rFonts w:eastAsia="Times New Roman"/>
          <w:b/>
          <w:bCs/>
          <w:sz w:val="30"/>
          <w:szCs w:val="30"/>
          <w:lang w:val="es-ES"/>
        </w:rPr>
        <w:t xml:space="preserve"> Comunicación de cambios del centro.</w:t>
      </w:r>
      <w:r>
        <w:rPr>
          <w:rFonts w:eastAsia="Times New Roman"/>
          <w:sz w:val="30"/>
          <w:szCs w:val="30"/>
          <w:lang w:val="es-ES"/>
        </w:rPr>
        <w:t>- El centro de mediación comunicará a la Secretaría General del Consejo de la Judicatura cualquier cambio q</w:t>
      </w:r>
      <w:r>
        <w:rPr>
          <w:rFonts w:eastAsia="Times New Roman"/>
          <w:sz w:val="30"/>
          <w:szCs w:val="30"/>
          <w:lang w:val="es-ES"/>
        </w:rPr>
        <w:t>ue se produzca en el centro, dentro del término de diez días posteriores al hecho. El incumplimiento de esta disposición dará lugar a la negación de la emisión del certificado de registro.</w:t>
      </w:r>
      <w:r>
        <w:rPr>
          <w:rFonts w:eastAsia="Times New Roman"/>
          <w:sz w:val="30"/>
          <w:szCs w:val="30"/>
          <w:lang w:val="es-ES"/>
        </w:rPr>
        <w:br/>
      </w:r>
      <w:r>
        <w:rPr>
          <w:rFonts w:eastAsia="Times New Roman"/>
          <w:sz w:val="30"/>
          <w:szCs w:val="30"/>
          <w:lang w:val="es-ES"/>
        </w:rPr>
        <w:br/>
        <w:t>Los cambios de denominación de los centros de mediación con los re</w:t>
      </w:r>
      <w:r>
        <w:rPr>
          <w:rFonts w:eastAsia="Times New Roman"/>
          <w:sz w:val="30"/>
          <w:szCs w:val="30"/>
          <w:lang w:val="es-ES"/>
        </w:rPr>
        <w:t>spectivos documentos de justificación o respaldo deberán contar con el informe jurídico de respaldo emitido por la Dirección Nacional de Asesoría Jurídica, en el término de diez días desde la recepción de la documentación.</w:t>
      </w:r>
      <w:r>
        <w:rPr>
          <w:rFonts w:eastAsia="Times New Roman"/>
          <w:sz w:val="30"/>
          <w:szCs w:val="30"/>
          <w:lang w:val="es-ES"/>
        </w:rPr>
        <w:br/>
      </w:r>
      <w:r>
        <w:rPr>
          <w:rFonts w:eastAsia="Times New Roman"/>
          <w:sz w:val="30"/>
          <w:szCs w:val="30"/>
          <w:lang w:val="es-ES"/>
        </w:rPr>
        <w:br/>
        <w:t>Para el caso de cambio de domici</w:t>
      </w:r>
      <w:r>
        <w:rPr>
          <w:rFonts w:eastAsia="Times New Roman"/>
          <w:sz w:val="30"/>
          <w:szCs w:val="30"/>
          <w:lang w:val="es-ES"/>
        </w:rPr>
        <w:t xml:space="preserve">lio se deberá solicitar autorización al Consejo de la Judicatura, con la finalidad de que la Subdirección Nacional de Centros de Mediación y Justicia de Paz realice la inspección y emita el informe técnico correspondiente, en el término de diez días desde </w:t>
      </w:r>
      <w:r>
        <w:rPr>
          <w:rFonts w:eastAsia="Times New Roman"/>
          <w:sz w:val="30"/>
          <w:szCs w:val="30"/>
          <w:lang w:val="es-ES"/>
        </w:rPr>
        <w:t>la recepción de la documentación, que se entregará a la Secretaría General del Consejo de la Judicatura.</w:t>
      </w:r>
    </w:p>
    <w:p w:rsidR="00000000" w:rsidRDefault="008326E8">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DEL REGISTRO NACIONAL DE CENTROS DE MEDIACIÓN CON AVAL ACADÉMICO</w:t>
      </w:r>
    </w:p>
    <w:p w:rsidR="00000000" w:rsidRDefault="008326E8">
      <w:pPr>
        <w:divId w:val="1899246489"/>
        <w:rPr>
          <w:rFonts w:eastAsia="Times New Roman"/>
          <w:sz w:val="30"/>
          <w:szCs w:val="30"/>
          <w:lang w:val="es-ES"/>
        </w:rPr>
      </w:pPr>
      <w:r>
        <w:rPr>
          <w:rFonts w:eastAsia="Times New Roman"/>
          <w:sz w:val="30"/>
          <w:szCs w:val="30"/>
          <w:lang w:val="es-ES"/>
        </w:rPr>
        <w:t>Art. 23.-</w:t>
      </w:r>
      <w:r>
        <w:rPr>
          <w:rFonts w:eastAsia="Times New Roman"/>
          <w:b/>
          <w:bCs/>
          <w:sz w:val="30"/>
          <w:szCs w:val="30"/>
          <w:lang w:val="es-ES"/>
        </w:rPr>
        <w:t xml:space="preserve"> Entrega de aval académico.- </w:t>
      </w:r>
      <w:r>
        <w:rPr>
          <w:rFonts w:eastAsia="Times New Roman"/>
          <w:sz w:val="30"/>
          <w:szCs w:val="30"/>
          <w:lang w:val="es-ES"/>
        </w:rPr>
        <w:t>Las o los directores de los centro</w:t>
      </w:r>
      <w:r>
        <w:rPr>
          <w:rFonts w:eastAsia="Times New Roman"/>
          <w:sz w:val="30"/>
          <w:szCs w:val="30"/>
          <w:lang w:val="es-ES"/>
        </w:rPr>
        <w:t>s de mediación que desarrollen actividades de capacitación en procedimientos alternativos de solución de conflictos deberán entregar al Consejo de la Judicatura copia notariada del documento que acredite que el centro tiene aval académico de una institució</w:t>
      </w:r>
      <w:r>
        <w:rPr>
          <w:rFonts w:eastAsia="Times New Roman"/>
          <w:sz w:val="30"/>
          <w:szCs w:val="30"/>
          <w:lang w:val="es-ES"/>
        </w:rPr>
        <w:t>n universitaria debidamente registrada por la SENESCYT, en el que se deberá especificar la malla curricular y los datos personales de los capacitadores.</w:t>
      </w:r>
    </w:p>
    <w:p w:rsidR="00000000" w:rsidRDefault="008326E8">
      <w:pPr>
        <w:divId w:val="2133791516"/>
        <w:rPr>
          <w:rFonts w:eastAsia="Times New Roman"/>
          <w:sz w:val="30"/>
          <w:szCs w:val="30"/>
          <w:lang w:val="es-ES"/>
        </w:rPr>
      </w:pPr>
      <w:r>
        <w:rPr>
          <w:rFonts w:eastAsia="Times New Roman"/>
          <w:sz w:val="30"/>
          <w:szCs w:val="30"/>
          <w:lang w:val="es-ES"/>
        </w:rPr>
        <w:t>Art. 24.-</w:t>
      </w:r>
      <w:r>
        <w:rPr>
          <w:rFonts w:eastAsia="Times New Roman"/>
          <w:b/>
          <w:bCs/>
          <w:sz w:val="30"/>
          <w:szCs w:val="30"/>
          <w:lang w:val="es-ES"/>
        </w:rPr>
        <w:t xml:space="preserve"> Registro de entidades formadoras.- </w:t>
      </w:r>
      <w:r>
        <w:rPr>
          <w:rFonts w:eastAsia="Times New Roman"/>
          <w:sz w:val="30"/>
          <w:szCs w:val="30"/>
          <w:lang w:val="es-ES"/>
        </w:rPr>
        <w:t xml:space="preserve">La Secretaría General del Consejo de la Judicatura tendrá </w:t>
      </w:r>
      <w:r>
        <w:rPr>
          <w:rFonts w:eastAsia="Times New Roman"/>
          <w:sz w:val="30"/>
          <w:szCs w:val="30"/>
          <w:lang w:val="es-ES"/>
        </w:rPr>
        <w:t xml:space="preserve">a su cargo el registro actualizado </w:t>
      </w:r>
      <w:r>
        <w:rPr>
          <w:rFonts w:eastAsia="Times New Roman"/>
          <w:sz w:val="30"/>
          <w:szCs w:val="30"/>
          <w:lang w:val="es-ES"/>
        </w:rPr>
        <w:lastRenderedPageBreak/>
        <w:t>de centros de mediación que acrediten tener aval académico de un centro de educación superior debidamente registrado por la SENESCYT, con el fin de desarrollar actividades de formación y capacitación en procedimientos alt</w:t>
      </w:r>
      <w:r>
        <w:rPr>
          <w:rFonts w:eastAsia="Times New Roman"/>
          <w:sz w:val="30"/>
          <w:szCs w:val="30"/>
          <w:lang w:val="es-ES"/>
        </w:rPr>
        <w:t>ernativos de solución de conflictos, conforme con el anexo 4.</w:t>
      </w:r>
    </w:p>
    <w:p w:rsidR="00000000" w:rsidRDefault="008326E8">
      <w:pPr>
        <w:divId w:val="361638559"/>
        <w:rPr>
          <w:rFonts w:eastAsia="Times New Roman"/>
          <w:sz w:val="30"/>
          <w:szCs w:val="30"/>
          <w:lang w:val="es-ES"/>
        </w:rPr>
      </w:pPr>
      <w:r>
        <w:rPr>
          <w:rFonts w:eastAsia="Times New Roman"/>
          <w:sz w:val="30"/>
          <w:szCs w:val="30"/>
          <w:lang w:val="es-ES"/>
        </w:rPr>
        <w:t>Art. 25.-</w:t>
      </w:r>
      <w:r>
        <w:rPr>
          <w:rFonts w:eastAsia="Times New Roman"/>
          <w:b/>
          <w:bCs/>
          <w:sz w:val="30"/>
          <w:szCs w:val="30"/>
          <w:lang w:val="es-ES"/>
        </w:rPr>
        <w:t xml:space="preserve"> Cancelación de registro por falta de aval académico.- </w:t>
      </w:r>
      <w:r>
        <w:rPr>
          <w:rFonts w:eastAsia="Times New Roman"/>
          <w:sz w:val="30"/>
          <w:szCs w:val="30"/>
          <w:lang w:val="es-ES"/>
        </w:rPr>
        <w:t>La Subdirección Nacional de Centros de Mediación y Justicia de Paz verificará, semestralmente, que los centros de mediación que de</w:t>
      </w:r>
      <w:r>
        <w:rPr>
          <w:rFonts w:eastAsia="Times New Roman"/>
          <w:sz w:val="30"/>
          <w:szCs w:val="30"/>
          <w:lang w:val="es-ES"/>
        </w:rPr>
        <w:t>sarrollen actividades de formación y capacitación tengan aval académico actualizado de un centro de educación superior debidamente registrado y, en caso de incumplimiento se procederá conforme el procedimiento previsto en el artículo 20 de este instructivo</w:t>
      </w:r>
      <w:r>
        <w:rPr>
          <w:rFonts w:eastAsia="Times New Roman"/>
          <w:sz w:val="30"/>
          <w:szCs w:val="30"/>
          <w:lang w:val="es-ES"/>
        </w:rPr>
        <w:t>.</w:t>
      </w:r>
    </w:p>
    <w:p w:rsidR="00000000" w:rsidRDefault="008326E8">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DEL REGISTRO DE LAS O LOS DIRECTORES</w:t>
      </w:r>
    </w:p>
    <w:p w:rsidR="00000000" w:rsidRDefault="008326E8">
      <w:pPr>
        <w:divId w:val="914244368"/>
        <w:rPr>
          <w:rFonts w:eastAsia="Times New Roman"/>
          <w:sz w:val="30"/>
          <w:szCs w:val="30"/>
          <w:lang w:val="es-ES"/>
        </w:rPr>
      </w:pPr>
      <w:r>
        <w:rPr>
          <w:rFonts w:eastAsia="Times New Roman"/>
          <w:sz w:val="30"/>
          <w:szCs w:val="30"/>
          <w:lang w:val="es-ES"/>
        </w:rPr>
        <w:t>Art. 26.-</w:t>
      </w:r>
      <w:r>
        <w:rPr>
          <w:rFonts w:eastAsia="Times New Roman"/>
          <w:b/>
          <w:bCs/>
          <w:sz w:val="30"/>
          <w:szCs w:val="30"/>
          <w:lang w:val="es-ES"/>
        </w:rPr>
        <w:t xml:space="preserve"> Registro de la o el director del centro de mediación.</w:t>
      </w:r>
      <w:r>
        <w:rPr>
          <w:rFonts w:eastAsia="Times New Roman"/>
          <w:sz w:val="30"/>
          <w:szCs w:val="30"/>
          <w:lang w:val="es-ES"/>
        </w:rPr>
        <w:t>- La Secretaría General del Consejo de la Judicatura tendrá a su cargo un registro actualizado de las o los directores de cada centro de medi</w:t>
      </w:r>
      <w:r>
        <w:rPr>
          <w:rFonts w:eastAsia="Times New Roman"/>
          <w:sz w:val="30"/>
          <w:szCs w:val="30"/>
          <w:lang w:val="es-ES"/>
        </w:rPr>
        <w:t>ación, conforme con el anexo 5.</w:t>
      </w:r>
    </w:p>
    <w:p w:rsidR="00000000" w:rsidRDefault="008326E8">
      <w:pPr>
        <w:divId w:val="1767071532"/>
        <w:rPr>
          <w:rFonts w:eastAsia="Times New Roman"/>
          <w:sz w:val="30"/>
          <w:szCs w:val="30"/>
          <w:lang w:val="es-ES"/>
        </w:rPr>
      </w:pPr>
      <w:r>
        <w:rPr>
          <w:rFonts w:eastAsia="Times New Roman"/>
          <w:sz w:val="30"/>
          <w:szCs w:val="30"/>
          <w:lang w:val="es-ES"/>
        </w:rPr>
        <w:t>Art. 27.-</w:t>
      </w:r>
      <w:r>
        <w:rPr>
          <w:rFonts w:eastAsia="Times New Roman"/>
          <w:b/>
          <w:bCs/>
          <w:sz w:val="30"/>
          <w:szCs w:val="30"/>
          <w:lang w:val="es-ES"/>
        </w:rPr>
        <w:t xml:space="preserve"> Comunicación de cambios de directivas.-</w:t>
      </w:r>
      <w:r>
        <w:rPr>
          <w:rFonts w:eastAsia="Times New Roman"/>
          <w:sz w:val="30"/>
          <w:szCs w:val="30"/>
          <w:lang w:val="es-ES"/>
        </w:rPr>
        <w:t xml:space="preserve"> Cualquier cambio en la directiva de los centros será comunicado a la Secretaría General del Consejo de la Judicatura dentro del término de diez días posteriores al hecho, a e</w:t>
      </w:r>
      <w:r>
        <w:rPr>
          <w:rFonts w:eastAsia="Times New Roman"/>
          <w:sz w:val="30"/>
          <w:szCs w:val="30"/>
          <w:lang w:val="es-ES"/>
        </w:rPr>
        <w:t>fectos de actualización del registro. El incumplimiento de esta disposición dará lugar a la negación de la emisión del certificado de registro.</w:t>
      </w:r>
    </w:p>
    <w:p w:rsidR="00000000" w:rsidRDefault="008326E8">
      <w:pPr>
        <w:jc w:val="center"/>
        <w:rPr>
          <w:rFonts w:eastAsia="Times New Roman"/>
          <w:sz w:val="36"/>
          <w:szCs w:val="36"/>
          <w:lang w:val="es-ES"/>
        </w:rPr>
      </w:pPr>
      <w:r>
        <w:rPr>
          <w:rFonts w:eastAsia="Times New Roman"/>
          <w:b/>
          <w:bCs/>
          <w:sz w:val="36"/>
          <w:szCs w:val="36"/>
          <w:lang w:val="es-ES"/>
        </w:rPr>
        <w:br/>
        <w:t xml:space="preserve">Capítulo V </w:t>
      </w:r>
      <w:r>
        <w:rPr>
          <w:rFonts w:eastAsia="Times New Roman"/>
          <w:b/>
          <w:bCs/>
          <w:sz w:val="36"/>
          <w:szCs w:val="36"/>
          <w:lang w:val="es-ES"/>
        </w:rPr>
        <w:br/>
        <w:t>DEL REGISTRO DE LAS O LOS MEDIADORES</w:t>
      </w:r>
    </w:p>
    <w:p w:rsidR="00000000" w:rsidRDefault="008326E8">
      <w:pPr>
        <w:divId w:val="1099956277"/>
        <w:rPr>
          <w:rFonts w:eastAsia="Times New Roman"/>
          <w:sz w:val="30"/>
          <w:szCs w:val="30"/>
          <w:lang w:val="es-ES"/>
        </w:rPr>
      </w:pPr>
      <w:r>
        <w:rPr>
          <w:rFonts w:eastAsia="Times New Roman"/>
          <w:sz w:val="30"/>
          <w:szCs w:val="30"/>
          <w:lang w:val="es-ES"/>
        </w:rPr>
        <w:t>Art. 28.-</w:t>
      </w:r>
      <w:r>
        <w:rPr>
          <w:rFonts w:eastAsia="Times New Roman"/>
          <w:b/>
          <w:bCs/>
          <w:sz w:val="30"/>
          <w:szCs w:val="30"/>
          <w:lang w:val="es-ES"/>
        </w:rPr>
        <w:t xml:space="preserve"> Habilitación.- </w:t>
      </w:r>
      <w:r>
        <w:rPr>
          <w:rFonts w:eastAsia="Times New Roman"/>
          <w:sz w:val="30"/>
          <w:szCs w:val="30"/>
          <w:lang w:val="es-ES"/>
        </w:rPr>
        <w:t xml:space="preserve">Para estar habilitado como mediadora </w:t>
      </w:r>
      <w:r>
        <w:rPr>
          <w:rFonts w:eastAsia="Times New Roman"/>
          <w:sz w:val="30"/>
          <w:szCs w:val="30"/>
          <w:lang w:val="es-ES"/>
        </w:rPr>
        <w:t>o mediador de un centro se deberá obtener la autorización escrita de un centro de mediación.</w:t>
      </w:r>
    </w:p>
    <w:p w:rsidR="00000000" w:rsidRDefault="008326E8">
      <w:pPr>
        <w:divId w:val="2108186760"/>
        <w:rPr>
          <w:rFonts w:eastAsia="Times New Roman"/>
          <w:sz w:val="30"/>
          <w:szCs w:val="30"/>
          <w:lang w:val="es-ES"/>
        </w:rPr>
      </w:pPr>
      <w:r>
        <w:rPr>
          <w:rFonts w:eastAsia="Times New Roman"/>
          <w:sz w:val="30"/>
          <w:szCs w:val="30"/>
          <w:lang w:val="es-ES"/>
        </w:rPr>
        <w:t>Art. 29.-</w:t>
      </w:r>
      <w:r>
        <w:rPr>
          <w:rFonts w:eastAsia="Times New Roman"/>
          <w:b/>
          <w:bCs/>
          <w:sz w:val="30"/>
          <w:szCs w:val="30"/>
          <w:lang w:val="es-ES"/>
        </w:rPr>
        <w:t xml:space="preserve"> Contenido del certificado de habilitación.</w:t>
      </w:r>
      <w:r>
        <w:rPr>
          <w:rFonts w:eastAsia="Times New Roman"/>
          <w:sz w:val="30"/>
          <w:szCs w:val="30"/>
          <w:lang w:val="es-ES"/>
        </w:rPr>
        <w:t>- (Sustituido por el Art. 1 de la Res. 098-2015, R.O. 509, 27-V-2015).- El certificado de habilitación del cent</w:t>
      </w:r>
      <w:r>
        <w:rPr>
          <w:rFonts w:eastAsia="Times New Roman"/>
          <w:sz w:val="30"/>
          <w:szCs w:val="30"/>
          <w:lang w:val="es-ES"/>
        </w:rPr>
        <w:t>ro de mediación deberá contener el nombramiento correspondiente, con los datos personales de la o el mediador que constan en la solicitud de habilitación y demás documentos habilitantes.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habilitación se fundamentará en la formación y capacitación teóri</w:t>
      </w:r>
      <w:r>
        <w:rPr>
          <w:rFonts w:eastAsia="Times New Roman"/>
          <w:sz w:val="30"/>
          <w:szCs w:val="30"/>
          <w:lang w:val="es-ES"/>
        </w:rPr>
        <w:t>co práctica que impartan los centros de formación de mediadores, los cuales deberán responder a criterios mínimos propuestos por el Pleno del Consejo de la Judicatura con una duración de al menos 80 horas, de las cuales el 30% de la carga horaria será de t</w:t>
      </w:r>
      <w:r>
        <w:rPr>
          <w:rFonts w:eastAsia="Times New Roman"/>
          <w:sz w:val="30"/>
          <w:szCs w:val="30"/>
          <w:lang w:val="es-ES"/>
        </w:rPr>
        <w:t>emas teóricos y el 70% estará destinado al abordaje práctico de la mediación con actividades como, simulaciones de casos, juegos de roles, taller de preguntas, estrategias comunicacionales y en general desarrollo de habilidades. Adicionalmente se deberá as</w:t>
      </w:r>
      <w:r>
        <w:rPr>
          <w:rFonts w:eastAsia="Times New Roman"/>
          <w:sz w:val="30"/>
          <w:szCs w:val="30"/>
          <w:lang w:val="es-ES"/>
        </w:rPr>
        <w:t>egurar la observación de al menos cinco casos reales.</w:t>
      </w:r>
    </w:p>
    <w:p w:rsidR="00000000" w:rsidRDefault="008326E8">
      <w:pPr>
        <w:divId w:val="1847477026"/>
        <w:rPr>
          <w:rFonts w:eastAsia="Times New Roman"/>
          <w:sz w:val="30"/>
          <w:szCs w:val="30"/>
          <w:lang w:val="es-ES"/>
        </w:rPr>
      </w:pPr>
      <w:r>
        <w:rPr>
          <w:rFonts w:eastAsia="Times New Roman"/>
          <w:sz w:val="30"/>
          <w:szCs w:val="30"/>
          <w:lang w:val="es-ES"/>
        </w:rPr>
        <w:t>Art. 30.-</w:t>
      </w:r>
      <w:r>
        <w:rPr>
          <w:rFonts w:eastAsia="Times New Roman"/>
          <w:b/>
          <w:bCs/>
          <w:sz w:val="30"/>
          <w:szCs w:val="30"/>
          <w:lang w:val="es-ES"/>
        </w:rPr>
        <w:t xml:space="preserve"> Mediadores autorizados.- </w:t>
      </w:r>
      <w:r>
        <w:rPr>
          <w:rFonts w:eastAsia="Times New Roman"/>
          <w:sz w:val="30"/>
          <w:szCs w:val="30"/>
          <w:lang w:val="es-ES"/>
        </w:rPr>
        <w:t xml:space="preserve">La o el director de cada centro de mediación remitirá a la Secretaría General del Consejo de la Judicatura la lista de las o los mediadores autorizados, dentro de los </w:t>
      </w:r>
      <w:r>
        <w:rPr>
          <w:rFonts w:eastAsia="Times New Roman"/>
          <w:sz w:val="30"/>
          <w:szCs w:val="30"/>
          <w:lang w:val="es-ES"/>
        </w:rPr>
        <w:t>primeros quince días de los meses de enero y agosto de cada año, o cuando ésta sea modificada, sin perjuicio de cumplir con las demás disposiciones normativas señaladas para el efecto. Para este último caso, adjuntará copia certificada de la solicitud de h</w:t>
      </w:r>
      <w:r>
        <w:rPr>
          <w:rFonts w:eastAsia="Times New Roman"/>
          <w:sz w:val="30"/>
          <w:szCs w:val="30"/>
          <w:lang w:val="es-ES"/>
        </w:rPr>
        <w:t>abilitación conforme consta en el anexo 6 y la autorización escrita de habilitación debidamente motivada otorgada por el centro.</w:t>
      </w:r>
    </w:p>
    <w:p w:rsidR="00000000" w:rsidRDefault="008326E8">
      <w:pPr>
        <w:divId w:val="390268873"/>
        <w:rPr>
          <w:rFonts w:eastAsia="Times New Roman"/>
          <w:sz w:val="30"/>
          <w:szCs w:val="30"/>
          <w:lang w:val="es-ES"/>
        </w:rPr>
      </w:pPr>
      <w:r>
        <w:rPr>
          <w:rFonts w:eastAsia="Times New Roman"/>
          <w:sz w:val="30"/>
          <w:szCs w:val="30"/>
          <w:lang w:val="es-ES"/>
        </w:rPr>
        <w:t>Art. 31.-</w:t>
      </w:r>
      <w:r>
        <w:rPr>
          <w:rFonts w:eastAsia="Times New Roman"/>
          <w:b/>
          <w:bCs/>
          <w:sz w:val="30"/>
          <w:szCs w:val="30"/>
          <w:lang w:val="es-ES"/>
        </w:rPr>
        <w:t xml:space="preserve"> Registro de las o los mediadores.- </w:t>
      </w:r>
      <w:r>
        <w:rPr>
          <w:rFonts w:eastAsia="Times New Roman"/>
          <w:sz w:val="30"/>
          <w:szCs w:val="30"/>
          <w:lang w:val="es-ES"/>
        </w:rPr>
        <w:t>La Secretaría General del Consejo de la Judicatura llevará un registro de las o lo</w:t>
      </w:r>
      <w:r>
        <w:rPr>
          <w:rFonts w:eastAsia="Times New Roman"/>
          <w:sz w:val="30"/>
          <w:szCs w:val="30"/>
          <w:lang w:val="es-ES"/>
        </w:rPr>
        <w:t>s mediadores autorizados por los centros de mediación, conforme con el anexo 7.</w:t>
      </w:r>
      <w:r>
        <w:rPr>
          <w:rFonts w:eastAsia="Times New Roman"/>
          <w:sz w:val="30"/>
          <w:szCs w:val="30"/>
          <w:lang w:val="es-ES"/>
        </w:rPr>
        <w:br/>
      </w:r>
      <w:r>
        <w:rPr>
          <w:rFonts w:eastAsia="Times New Roman"/>
          <w:sz w:val="30"/>
          <w:szCs w:val="30"/>
          <w:lang w:val="es-ES"/>
        </w:rPr>
        <w:br/>
        <w:t>Las o los mediadores habilitados no podrán pertenecer a más de un centro de mediación para efectos de registro.</w:t>
      </w:r>
    </w:p>
    <w:p w:rsidR="00000000" w:rsidRDefault="008326E8">
      <w:pPr>
        <w:divId w:val="710617979"/>
        <w:rPr>
          <w:rFonts w:eastAsia="Times New Roman"/>
          <w:sz w:val="30"/>
          <w:szCs w:val="30"/>
          <w:lang w:val="es-ES"/>
        </w:rPr>
      </w:pPr>
      <w:r>
        <w:rPr>
          <w:rFonts w:eastAsia="Times New Roman"/>
          <w:sz w:val="30"/>
          <w:szCs w:val="30"/>
          <w:lang w:val="es-ES"/>
        </w:rPr>
        <w:t>Art. 32.-</w:t>
      </w:r>
      <w:r>
        <w:rPr>
          <w:rFonts w:eastAsia="Times New Roman"/>
          <w:b/>
          <w:bCs/>
          <w:sz w:val="30"/>
          <w:szCs w:val="30"/>
          <w:lang w:val="es-ES"/>
        </w:rPr>
        <w:t xml:space="preserve"> Comunicación de inclusiones y exclusiones de las o lo</w:t>
      </w:r>
      <w:r>
        <w:rPr>
          <w:rFonts w:eastAsia="Times New Roman"/>
          <w:b/>
          <w:bCs/>
          <w:sz w:val="30"/>
          <w:szCs w:val="30"/>
          <w:lang w:val="es-ES"/>
        </w:rPr>
        <w:t xml:space="preserve">s mediadores.- </w:t>
      </w:r>
      <w:r>
        <w:rPr>
          <w:rFonts w:eastAsia="Times New Roman"/>
          <w:sz w:val="30"/>
          <w:szCs w:val="30"/>
          <w:lang w:val="es-ES"/>
        </w:rPr>
        <w:t>Las inclusiones o exclusiones de las o los mediadores autorizados del centro de mediación serán comunicadas a la Secretaría General del Consejo de la Judicatura dentro del término de diez días posteriores al hecho, a efectos de actualización</w:t>
      </w:r>
      <w:r>
        <w:rPr>
          <w:rFonts w:eastAsia="Times New Roman"/>
          <w:sz w:val="30"/>
          <w:szCs w:val="30"/>
          <w:lang w:val="es-ES"/>
        </w:rPr>
        <w:t xml:space="preserve"> del registro. El incumplimiento de esta disposición dará lugar a la negación de la emisión del certificado de registro.</w:t>
      </w:r>
    </w:p>
    <w:p w:rsidR="00000000" w:rsidRDefault="008326E8">
      <w:pPr>
        <w:divId w:val="357439479"/>
        <w:rPr>
          <w:rFonts w:eastAsia="Times New Roman"/>
          <w:sz w:val="30"/>
          <w:szCs w:val="30"/>
          <w:lang w:val="es-ES"/>
        </w:rPr>
      </w:pPr>
      <w:r>
        <w:rPr>
          <w:rFonts w:eastAsia="Times New Roman"/>
          <w:sz w:val="30"/>
          <w:szCs w:val="30"/>
          <w:lang w:val="es-ES"/>
        </w:rPr>
        <w:t>Art. 33.-</w:t>
      </w:r>
      <w:r>
        <w:rPr>
          <w:rFonts w:eastAsia="Times New Roman"/>
          <w:b/>
          <w:bCs/>
          <w:sz w:val="30"/>
          <w:szCs w:val="30"/>
          <w:lang w:val="es-ES"/>
        </w:rPr>
        <w:t xml:space="preserve"> Precedencia.</w:t>
      </w:r>
      <w:r>
        <w:rPr>
          <w:rFonts w:eastAsia="Times New Roman"/>
          <w:sz w:val="30"/>
          <w:szCs w:val="30"/>
          <w:lang w:val="es-ES"/>
        </w:rPr>
        <w:t>- El último certificado de registro de un centro de mediación, de entidades formadoras, de mediadoras o mediadore</w:t>
      </w:r>
      <w:r>
        <w:rPr>
          <w:rFonts w:eastAsia="Times New Roman"/>
          <w:sz w:val="30"/>
          <w:szCs w:val="30"/>
          <w:lang w:val="es-ES"/>
        </w:rPr>
        <w:t>s habilitados o de los directivos de los centros, prevalece sobre los anteriores o sobre otros datos no registrados, con las excepciones previstas en el ordenamiento jurídico vigente.</w:t>
      </w:r>
    </w:p>
    <w:p w:rsidR="00000000" w:rsidRDefault="008326E8">
      <w:pPr>
        <w:jc w:val="center"/>
        <w:rPr>
          <w:rFonts w:eastAsia="Times New Roman"/>
          <w:sz w:val="36"/>
          <w:szCs w:val="36"/>
          <w:lang w:val="es-ES"/>
        </w:rPr>
      </w:pPr>
      <w:r>
        <w:rPr>
          <w:rFonts w:eastAsia="Times New Roman"/>
          <w:b/>
          <w:bCs/>
          <w:sz w:val="36"/>
          <w:szCs w:val="36"/>
          <w:lang w:val="es-ES"/>
        </w:rPr>
        <w:lastRenderedPageBreak/>
        <w:br/>
        <w:t>Capítulo VI</w:t>
      </w:r>
      <w:r>
        <w:rPr>
          <w:rFonts w:eastAsia="Times New Roman"/>
          <w:b/>
          <w:bCs/>
          <w:sz w:val="36"/>
          <w:szCs w:val="36"/>
          <w:lang w:val="es-ES"/>
        </w:rPr>
        <w:br/>
        <w:t>DE LOS INFORMES</w:t>
      </w:r>
    </w:p>
    <w:p w:rsidR="00000000" w:rsidRDefault="008326E8">
      <w:pPr>
        <w:divId w:val="1562398530"/>
        <w:rPr>
          <w:rFonts w:eastAsia="Times New Roman"/>
          <w:sz w:val="30"/>
          <w:szCs w:val="30"/>
          <w:lang w:val="es-ES"/>
        </w:rPr>
      </w:pPr>
      <w:r>
        <w:rPr>
          <w:rFonts w:eastAsia="Times New Roman"/>
          <w:sz w:val="30"/>
          <w:szCs w:val="30"/>
          <w:lang w:val="es-ES"/>
        </w:rPr>
        <w:t>Art. 34.-</w:t>
      </w:r>
      <w:r>
        <w:rPr>
          <w:rFonts w:eastAsia="Times New Roman"/>
          <w:b/>
          <w:bCs/>
          <w:sz w:val="30"/>
          <w:szCs w:val="30"/>
          <w:lang w:val="es-ES"/>
        </w:rPr>
        <w:t xml:space="preserve"> Informe anual actualizado.- </w:t>
      </w:r>
      <w:r>
        <w:rPr>
          <w:rFonts w:eastAsia="Times New Roman"/>
          <w:sz w:val="30"/>
          <w:szCs w:val="30"/>
          <w:lang w:val="es-ES"/>
        </w:rPr>
        <w:t>Los c</w:t>
      </w:r>
      <w:r>
        <w:rPr>
          <w:rFonts w:eastAsia="Times New Roman"/>
          <w:sz w:val="30"/>
          <w:szCs w:val="30"/>
          <w:lang w:val="es-ES"/>
        </w:rPr>
        <w:t>entros de mediación deberán elaborar un informe anual que contendrá, al menos: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Un reporte anual estadístico de los casos atendidos y sus resultados;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Información actualizada sobre la capacitación brindada y recibida;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w:t>
      </w:r>
      <w:r>
        <w:rPr>
          <w:rFonts w:eastAsia="Times New Roman"/>
          <w:sz w:val="30"/>
          <w:szCs w:val="30"/>
          <w:lang w:val="es-ES"/>
        </w:rPr>
        <w:t>Nómina de la directiva, m</w:t>
      </w:r>
      <w:r>
        <w:rPr>
          <w:rFonts w:eastAsia="Times New Roman"/>
          <w:sz w:val="30"/>
          <w:szCs w:val="30"/>
          <w:lang w:val="es-ES"/>
        </w:rPr>
        <w:t>ediadoras o mediadores autorizados y personal administrativo a cargo del centro, con sus respectivos números telefónicos y direcciones domiciliarias y electrónicas.</w:t>
      </w:r>
      <w:r>
        <w:rPr>
          <w:rFonts w:eastAsia="Times New Roman"/>
          <w:sz w:val="30"/>
          <w:szCs w:val="30"/>
          <w:lang w:val="es-ES"/>
        </w:rPr>
        <w:br/>
      </w:r>
      <w:r>
        <w:rPr>
          <w:rFonts w:eastAsia="Times New Roman"/>
          <w:sz w:val="30"/>
          <w:szCs w:val="30"/>
          <w:lang w:val="es-ES"/>
        </w:rPr>
        <w:br/>
        <w:t xml:space="preserve">El informe deberá ser remitido a la Secretaría General del Consejo de la Judicatura hasta </w:t>
      </w:r>
      <w:r>
        <w:rPr>
          <w:rFonts w:eastAsia="Times New Roman"/>
          <w:sz w:val="30"/>
          <w:szCs w:val="30"/>
          <w:lang w:val="es-ES"/>
        </w:rPr>
        <w:t>el 30 de enero de cada año. El incumplimiento de esta disposición dará lugar a la negación de la emisión del certificado de registro.</w:t>
      </w:r>
    </w:p>
    <w:p w:rsidR="00000000" w:rsidRDefault="008326E8">
      <w:pPr>
        <w:divId w:val="1060403161"/>
        <w:rPr>
          <w:rFonts w:eastAsia="Times New Roman"/>
          <w:sz w:val="30"/>
          <w:szCs w:val="30"/>
          <w:lang w:val="es-ES"/>
        </w:rPr>
      </w:pPr>
      <w:r>
        <w:rPr>
          <w:rFonts w:eastAsia="Times New Roman"/>
          <w:sz w:val="30"/>
          <w:szCs w:val="30"/>
          <w:lang w:val="es-ES"/>
        </w:rPr>
        <w:t>Art. 35.-</w:t>
      </w:r>
      <w:r>
        <w:rPr>
          <w:rFonts w:eastAsia="Times New Roman"/>
          <w:b/>
          <w:bCs/>
          <w:sz w:val="30"/>
          <w:szCs w:val="30"/>
          <w:lang w:val="es-ES"/>
        </w:rPr>
        <w:t xml:space="preserve"> Reporte de causas.- </w:t>
      </w:r>
      <w:r>
        <w:rPr>
          <w:rFonts w:eastAsia="Times New Roman"/>
          <w:sz w:val="30"/>
          <w:szCs w:val="30"/>
          <w:lang w:val="es-ES"/>
        </w:rPr>
        <w:t>Los centros de mediación y las o los mediadores remitirán, a la Secretaría General del Conse</w:t>
      </w:r>
      <w:r>
        <w:rPr>
          <w:rFonts w:eastAsia="Times New Roman"/>
          <w:sz w:val="30"/>
          <w:szCs w:val="30"/>
          <w:lang w:val="es-ES"/>
        </w:rPr>
        <w:t>jo de la Judicatura, para efectos de control y supervisión, dentro de los primeros quince días de los meses de enero y agosto de cada año, un informe detallado de las casos atendidos, especificando la materia y los acuerdos suscritos, sean estos de acuerdo</w:t>
      </w:r>
      <w:r>
        <w:rPr>
          <w:rFonts w:eastAsia="Times New Roman"/>
          <w:sz w:val="30"/>
          <w:szCs w:val="30"/>
          <w:lang w:val="es-ES"/>
        </w:rPr>
        <w:t xml:space="preserve"> total, acuerdo parcial, las constancias de imposibilidad de mediación o las razones respectivas en caso de que los procesos de mediación no se enmarquen en las figuras antes señaladas, sin perjuicio de transferir la información a formato digitalizado, con</w:t>
      </w:r>
      <w:r>
        <w:rPr>
          <w:rFonts w:eastAsia="Times New Roman"/>
          <w:sz w:val="30"/>
          <w:szCs w:val="30"/>
          <w:lang w:val="es-ES"/>
        </w:rPr>
        <w:t>forme con el anexo 8.</w:t>
      </w:r>
    </w:p>
    <w:p w:rsidR="00000000" w:rsidRDefault="008326E8">
      <w:pPr>
        <w:divId w:val="1988240375"/>
        <w:rPr>
          <w:rFonts w:eastAsia="Times New Roman"/>
          <w:sz w:val="30"/>
          <w:szCs w:val="30"/>
          <w:lang w:val="es-ES"/>
        </w:rPr>
      </w:pPr>
      <w:r>
        <w:rPr>
          <w:rFonts w:eastAsia="Times New Roman"/>
          <w:sz w:val="30"/>
          <w:szCs w:val="30"/>
          <w:lang w:val="es-ES"/>
        </w:rPr>
        <w:t>Art. 36.-</w:t>
      </w:r>
      <w:r>
        <w:rPr>
          <w:rFonts w:eastAsia="Times New Roman"/>
          <w:b/>
          <w:bCs/>
          <w:sz w:val="30"/>
          <w:szCs w:val="30"/>
          <w:lang w:val="es-ES"/>
        </w:rPr>
        <w:t xml:space="preserve"> Control y supervisión.- </w:t>
      </w:r>
      <w:r>
        <w:rPr>
          <w:rFonts w:eastAsia="Times New Roman"/>
          <w:sz w:val="30"/>
          <w:szCs w:val="30"/>
          <w:lang w:val="es-ES"/>
        </w:rPr>
        <w:t>La Subdirección Nacional de Centros de Mediación y Justicia de Paz, realizará una constatación al menos una vez al año del funcionamiento de los centros de mediación y de las o los mediadores autoriza</w:t>
      </w:r>
      <w:r>
        <w:rPr>
          <w:rFonts w:eastAsia="Times New Roman"/>
          <w:sz w:val="30"/>
          <w:szCs w:val="30"/>
          <w:lang w:val="es-ES"/>
        </w:rPr>
        <w:t>dos, sujetándose a lo dispuesto en este instructivo y demás normativa legal conexa y remitirá el informe correspondiente a la Secretaría General del Consejo de la Judicatura.</w:t>
      </w:r>
    </w:p>
    <w:p w:rsidR="00000000" w:rsidRDefault="008326E8">
      <w:pPr>
        <w:divId w:val="1425491759"/>
        <w:rPr>
          <w:rFonts w:eastAsia="Times New Roman"/>
          <w:sz w:val="30"/>
          <w:szCs w:val="30"/>
          <w:lang w:val="es-ES"/>
        </w:rPr>
      </w:pPr>
      <w:r>
        <w:rPr>
          <w:rFonts w:eastAsia="Times New Roman"/>
          <w:sz w:val="30"/>
          <w:szCs w:val="30"/>
          <w:lang w:val="es-ES"/>
        </w:rPr>
        <w:t>Art. 37.-</w:t>
      </w:r>
      <w:r>
        <w:rPr>
          <w:rFonts w:eastAsia="Times New Roman"/>
          <w:b/>
          <w:bCs/>
          <w:sz w:val="30"/>
          <w:szCs w:val="30"/>
          <w:lang w:val="es-ES"/>
        </w:rPr>
        <w:t xml:space="preserve"> Colaboración con la Secretaría General.-</w:t>
      </w:r>
      <w:r>
        <w:rPr>
          <w:rFonts w:eastAsia="Times New Roman"/>
          <w:sz w:val="30"/>
          <w:szCs w:val="30"/>
          <w:lang w:val="es-ES"/>
        </w:rPr>
        <w:t xml:space="preserve"> Las y los operadores del siste</w:t>
      </w:r>
      <w:r>
        <w:rPr>
          <w:rFonts w:eastAsia="Times New Roman"/>
          <w:sz w:val="30"/>
          <w:szCs w:val="30"/>
          <w:lang w:val="es-ES"/>
        </w:rPr>
        <w:t xml:space="preserve">ma nacional de mediación, las y los servidores de la Función Judicial, y demás servidores públicos, están obligados a </w:t>
      </w:r>
      <w:r>
        <w:rPr>
          <w:rFonts w:eastAsia="Times New Roman"/>
          <w:sz w:val="30"/>
          <w:szCs w:val="30"/>
          <w:lang w:val="es-ES"/>
        </w:rPr>
        <w:lastRenderedPageBreak/>
        <w:t>colaborar con la Secretaría General del Consejo de la Judicatura en todos los asuntos relacionados con el registro de mediación a su cargo</w:t>
      </w:r>
      <w:r>
        <w:rPr>
          <w:rFonts w:eastAsia="Times New Roman"/>
          <w:sz w:val="30"/>
          <w:szCs w:val="30"/>
          <w:lang w:val="es-ES"/>
        </w:rPr>
        <w:t>.</w:t>
      </w:r>
    </w:p>
    <w:p w:rsidR="00000000" w:rsidRDefault="008326E8">
      <w:pPr>
        <w:jc w:val="center"/>
        <w:rPr>
          <w:rFonts w:eastAsia="Times New Roman"/>
          <w:sz w:val="36"/>
          <w:szCs w:val="36"/>
          <w:lang w:val="es-ES"/>
        </w:rPr>
      </w:pPr>
      <w:r>
        <w:rPr>
          <w:rFonts w:eastAsia="Times New Roman"/>
          <w:b/>
          <w:bCs/>
          <w:sz w:val="36"/>
          <w:szCs w:val="36"/>
          <w:lang w:val="es-ES"/>
        </w:rPr>
        <w:br/>
        <w:t>DISPOSICIONES GENERALES</w:t>
      </w:r>
    </w:p>
    <w:p w:rsidR="00000000" w:rsidRDefault="008326E8">
      <w:pPr>
        <w:divId w:val="45226633"/>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Los registros a cargo de la Secretaría General del Consejo de la Judicatura serán intransferibles y llevarán la información en soporte físico y sistematizado, sin perjuicio del levantamiento de la información de modo di</w:t>
      </w:r>
      <w:r>
        <w:rPr>
          <w:rFonts w:eastAsia="Times New Roman"/>
          <w:sz w:val="30"/>
          <w:szCs w:val="30"/>
          <w:lang w:val="es-ES"/>
        </w:rPr>
        <w:t>gitalizado, en la forma prevista por las normas jurídicas pertinentes.</w:t>
      </w:r>
    </w:p>
    <w:p w:rsidR="00000000" w:rsidRDefault="008326E8">
      <w:pPr>
        <w:divId w:val="7758844"/>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Los datos públicos registrales expedidos por la o el Secretario General del Consejo de la Judicatura se ajustarán a lo dispuesto en el ordenamiento jurídico y serán suministra</w:t>
      </w:r>
      <w:r>
        <w:rPr>
          <w:rFonts w:eastAsia="Times New Roman"/>
          <w:sz w:val="30"/>
          <w:szCs w:val="30"/>
          <w:lang w:val="es-ES"/>
        </w:rPr>
        <w:t>dos por escrito o por medios electrónicos, en lo pertinente.</w:t>
      </w:r>
    </w:p>
    <w:p w:rsidR="00000000" w:rsidRDefault="008326E8">
      <w:pPr>
        <w:divId w:val="1865631759"/>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Los datos registrales a cargo de la Secretaría General serán susceptibles de actualización, rectificación o supresión en los casos y con los requisitos que se establezcan para el efecto</w:t>
      </w:r>
      <w:r>
        <w:rPr>
          <w:rFonts w:eastAsia="Times New Roman"/>
          <w:sz w:val="30"/>
          <w:szCs w:val="30"/>
          <w:lang w:val="es-ES"/>
        </w:rPr>
        <w:t>. La responsabilidad sobre la veracidad y autenticidad de los datos registrados, es exclusiva de la o el declarante cuando éste sea el que remita toda la información.</w:t>
      </w:r>
    </w:p>
    <w:p w:rsidR="00000000" w:rsidRDefault="008326E8">
      <w:pPr>
        <w:jc w:val="center"/>
        <w:rPr>
          <w:rFonts w:eastAsia="Times New Roman"/>
          <w:sz w:val="36"/>
          <w:szCs w:val="36"/>
          <w:lang w:val="es-ES"/>
        </w:rPr>
      </w:pPr>
      <w:r>
        <w:rPr>
          <w:rFonts w:eastAsia="Times New Roman"/>
          <w:b/>
          <w:bCs/>
          <w:sz w:val="36"/>
          <w:szCs w:val="36"/>
          <w:lang w:val="es-ES"/>
        </w:rPr>
        <w:br/>
        <w:t>DISPOSICIONES TRANSITORIAS</w:t>
      </w:r>
    </w:p>
    <w:p w:rsidR="00000000" w:rsidRDefault="008326E8">
      <w:pPr>
        <w:divId w:val="172693618"/>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Los centros de mediación inscritos en el Consejo de</w:t>
      </w:r>
      <w:r>
        <w:rPr>
          <w:rFonts w:eastAsia="Times New Roman"/>
          <w:sz w:val="30"/>
          <w:szCs w:val="30"/>
          <w:lang w:val="es-ES"/>
        </w:rPr>
        <w:t xml:space="preserve"> la Judicatura, tienen el plazo de cien días para la actualización de la información de los requisitos previstos en este instructivo. Este plazo se contará a partir de la publicación de un extracto de esta disposición en los principales diarios de circulac</w:t>
      </w:r>
      <w:r>
        <w:rPr>
          <w:rFonts w:eastAsia="Times New Roman"/>
          <w:sz w:val="30"/>
          <w:szCs w:val="30"/>
          <w:lang w:val="es-ES"/>
        </w:rPr>
        <w:t>ión nacional y en la página web del Consejo de la Judicatura. Trascurrido este plazo de cien días, el Pleno del Consejo de la Judicatura calificará a los Centros de Mediación en un plazo de sesenta días. De no lograr la calificación, se cancelará el regist</w:t>
      </w:r>
      <w:r>
        <w:rPr>
          <w:rFonts w:eastAsia="Times New Roman"/>
          <w:sz w:val="30"/>
          <w:szCs w:val="30"/>
          <w:lang w:val="es-ES"/>
        </w:rPr>
        <w:t>ro del Centro de Mediación de pleno derecho, lo que provocará la prohibición de funcionamiento, tal como lo establece la Ley de Arbitraje y Mediación.</w:t>
      </w:r>
    </w:p>
    <w:p w:rsidR="00000000" w:rsidRDefault="008326E8">
      <w:pPr>
        <w:divId w:val="1685549509"/>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La Dirección General del Consejo de la Judicatura, en coordinación con la Secretaría General, diseñará un sistema informático descentralizado para el registro de centros de mediación y de mediadoras o mediadores, a través de la página institucional del Con</w:t>
      </w:r>
      <w:r>
        <w:rPr>
          <w:rFonts w:eastAsia="Times New Roman"/>
          <w:sz w:val="30"/>
          <w:szCs w:val="30"/>
          <w:lang w:val="es-ES"/>
        </w:rPr>
        <w:t>sejo de la Judicatura, que incluirá recepción de peticiones a través de cada una de las Direcciones Provinciales.</w:t>
      </w:r>
    </w:p>
    <w:p w:rsidR="00000000" w:rsidRDefault="008326E8">
      <w:pPr>
        <w:jc w:val="center"/>
        <w:rPr>
          <w:rFonts w:eastAsia="Times New Roman"/>
          <w:sz w:val="36"/>
          <w:szCs w:val="36"/>
          <w:lang w:val="es-ES"/>
        </w:rPr>
      </w:pPr>
      <w:r>
        <w:rPr>
          <w:rFonts w:eastAsia="Times New Roman"/>
          <w:b/>
          <w:bCs/>
          <w:sz w:val="36"/>
          <w:szCs w:val="36"/>
          <w:lang w:val="es-ES"/>
        </w:rPr>
        <w:lastRenderedPageBreak/>
        <w:br/>
        <w:t>DISPOSICIONES DEROGATORIAS</w:t>
      </w:r>
    </w:p>
    <w:p w:rsidR="00000000" w:rsidRDefault="008326E8">
      <w:pPr>
        <w:divId w:val="1238595678"/>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Deróguese el Instructivo para el Registro de Centros de Mediación, expedido por el Consejo Nacional de la Judicatura, el 29 de junio de 1999.</w:t>
      </w:r>
    </w:p>
    <w:p w:rsidR="00000000" w:rsidRDefault="008326E8">
      <w:pPr>
        <w:divId w:val="1296643560"/>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Deróguese el artículo 12 del Instructivo para la Derivación de Causas a Centros de Mediación, expedido p</w:t>
      </w:r>
      <w:r>
        <w:rPr>
          <w:rFonts w:eastAsia="Times New Roman"/>
          <w:sz w:val="30"/>
          <w:szCs w:val="30"/>
          <w:lang w:val="es-ES"/>
        </w:rPr>
        <w:t>or el Consejo Nacional de la Judicatura, el 10 de julio de 2007 y publicado en el Registro Oficial No. 139 de 1 de agosto de 2007.</w:t>
      </w:r>
    </w:p>
    <w:p w:rsidR="00000000" w:rsidRDefault="008326E8">
      <w:pPr>
        <w:jc w:val="center"/>
        <w:rPr>
          <w:rFonts w:eastAsia="Times New Roman"/>
          <w:sz w:val="36"/>
          <w:szCs w:val="36"/>
          <w:lang w:val="es-ES"/>
        </w:rPr>
      </w:pPr>
      <w:r>
        <w:rPr>
          <w:rFonts w:eastAsia="Times New Roman"/>
          <w:b/>
          <w:bCs/>
          <w:sz w:val="36"/>
          <w:szCs w:val="36"/>
          <w:lang w:val="es-ES"/>
        </w:rPr>
        <w:br/>
        <w:t>DISPOSICIÓN FINAL</w:t>
      </w:r>
    </w:p>
    <w:p w:rsidR="00000000" w:rsidRDefault="008326E8">
      <w:pPr>
        <w:divId w:val="302852209"/>
        <w:rPr>
          <w:rFonts w:eastAsia="Times New Roman"/>
          <w:sz w:val="30"/>
          <w:szCs w:val="30"/>
          <w:lang w:val="es-ES"/>
        </w:rPr>
      </w:pPr>
      <w:r>
        <w:rPr>
          <w:rFonts w:eastAsia="Times New Roman"/>
          <w:b/>
          <w:bCs/>
          <w:sz w:val="30"/>
          <w:szCs w:val="30"/>
          <w:lang w:val="es-ES"/>
        </w:rPr>
        <w:t xml:space="preserve">Única.- </w:t>
      </w:r>
      <w:r>
        <w:rPr>
          <w:rFonts w:eastAsia="Times New Roman"/>
          <w:sz w:val="30"/>
          <w:szCs w:val="30"/>
          <w:lang w:val="es-ES"/>
        </w:rPr>
        <w:t>Esta resolución con sus respectivos anexos entrarán en vigencia a partir de su publicación en el R</w:t>
      </w:r>
      <w:r>
        <w:rPr>
          <w:rFonts w:eastAsia="Times New Roman"/>
          <w:sz w:val="30"/>
          <w:szCs w:val="30"/>
          <w:lang w:val="es-ES"/>
        </w:rPr>
        <w:t>egistro Oficial.</w:t>
      </w:r>
      <w:r>
        <w:rPr>
          <w:rFonts w:eastAsia="Times New Roman"/>
          <w:sz w:val="30"/>
          <w:szCs w:val="30"/>
          <w:lang w:val="es-ES"/>
        </w:rPr>
        <w:br/>
      </w:r>
      <w:r>
        <w:rPr>
          <w:rFonts w:eastAsia="Times New Roman"/>
          <w:sz w:val="30"/>
          <w:szCs w:val="30"/>
          <w:lang w:val="es-ES"/>
        </w:rPr>
        <w:br/>
        <w:t>Dado en el Distrito Metropolitano de Quito, en la sala de sesiones del Consejo de la Judicatura, a los veinte y siete días del mes de diciembre del año dos mil trece.</w:t>
      </w:r>
    </w:p>
    <w:p w:rsidR="00000000" w:rsidRDefault="008326E8">
      <w:pPr>
        <w:jc w:val="center"/>
        <w:rPr>
          <w:rFonts w:eastAsia="Times New Roman"/>
          <w:sz w:val="30"/>
          <w:szCs w:val="30"/>
          <w:lang w:val="es-ES"/>
        </w:rPr>
      </w:pPr>
      <w:r>
        <w:rPr>
          <w:rFonts w:eastAsia="Times New Roman"/>
          <w:noProof/>
          <w:sz w:val="30"/>
          <w:szCs w:val="30"/>
        </w:rPr>
        <w:lastRenderedPageBreak/>
        <w:drawing>
          <wp:inline distT="0" distB="0" distL="0" distR="0">
            <wp:extent cx="5838825" cy="7658100"/>
            <wp:effectExtent l="0" t="0" r="9525" b="0"/>
            <wp:docPr id="1" name="Imagen 1" descr="https://www.fielweb.com/App_Themes/Infobases/ImagenesGeneral/img27052015171919_1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elweb.com/App_Themes/Infobases/ImagenesGeneral/img27052015171919_106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838825" cy="7658100"/>
                    </a:xfrm>
                    <a:prstGeom prst="rect">
                      <a:avLst/>
                    </a:prstGeom>
                    <a:noFill/>
                    <a:ln>
                      <a:noFill/>
                    </a:ln>
                  </pic:spPr>
                </pic:pic>
              </a:graphicData>
            </a:graphic>
          </wp:inline>
        </w:drawing>
      </w:r>
    </w:p>
    <w:p w:rsidR="00000000" w:rsidRDefault="008326E8">
      <w:pPr>
        <w:jc w:val="center"/>
        <w:rPr>
          <w:rFonts w:eastAsia="Times New Roman"/>
          <w:sz w:val="30"/>
          <w:szCs w:val="30"/>
          <w:lang w:val="es-ES"/>
        </w:rPr>
      </w:pPr>
      <w:r>
        <w:rPr>
          <w:rFonts w:eastAsia="Times New Roman"/>
          <w:noProof/>
          <w:sz w:val="30"/>
          <w:szCs w:val="30"/>
        </w:rPr>
        <w:lastRenderedPageBreak/>
        <w:drawing>
          <wp:inline distT="0" distB="0" distL="0" distR="0">
            <wp:extent cx="5610225" cy="7905750"/>
            <wp:effectExtent l="0" t="0" r="9525" b="0"/>
            <wp:docPr id="2" name="Imagen 2" descr="https://www.fielweb.com/App_Themes/Infobases/ImagenesGeneral/img27052015171919_12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ielweb.com/App_Themes/Infobases/ImagenesGeneral/img27052015171919_12142.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610225" cy="7905750"/>
                    </a:xfrm>
                    <a:prstGeom prst="rect">
                      <a:avLst/>
                    </a:prstGeom>
                    <a:noFill/>
                    <a:ln>
                      <a:noFill/>
                    </a:ln>
                  </pic:spPr>
                </pic:pic>
              </a:graphicData>
            </a:graphic>
          </wp:inline>
        </w:drawing>
      </w:r>
    </w:p>
    <w:p w:rsidR="00000000" w:rsidRDefault="008326E8">
      <w:pPr>
        <w:jc w:val="center"/>
        <w:rPr>
          <w:rFonts w:eastAsia="Times New Roman"/>
          <w:sz w:val="30"/>
          <w:szCs w:val="30"/>
          <w:lang w:val="es-ES"/>
        </w:rPr>
      </w:pPr>
      <w:r>
        <w:rPr>
          <w:rFonts w:eastAsia="Times New Roman"/>
          <w:noProof/>
          <w:sz w:val="30"/>
          <w:szCs w:val="30"/>
        </w:rPr>
        <w:lastRenderedPageBreak/>
        <w:drawing>
          <wp:inline distT="0" distB="0" distL="0" distR="0">
            <wp:extent cx="5876925" cy="8210550"/>
            <wp:effectExtent l="0" t="0" r="9525" b="0"/>
            <wp:docPr id="3" name="Imagen 3" descr="https://www.fielweb.com/App_Themes/Infobases/ImagenesGeneral/img27052015171919_8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ielweb.com/App_Themes/Infobases/ImagenesGeneral/img27052015171919_8873.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876925" cy="8210550"/>
                    </a:xfrm>
                    <a:prstGeom prst="rect">
                      <a:avLst/>
                    </a:prstGeom>
                    <a:noFill/>
                    <a:ln>
                      <a:noFill/>
                    </a:ln>
                  </pic:spPr>
                </pic:pic>
              </a:graphicData>
            </a:graphic>
          </wp:inline>
        </w:drawing>
      </w:r>
    </w:p>
    <w:p w:rsidR="00000000" w:rsidRDefault="008326E8">
      <w:pPr>
        <w:jc w:val="center"/>
        <w:rPr>
          <w:rFonts w:eastAsia="Times New Roman"/>
          <w:sz w:val="30"/>
          <w:szCs w:val="30"/>
          <w:lang w:val="es-ES"/>
        </w:rPr>
      </w:pPr>
      <w:r>
        <w:rPr>
          <w:rFonts w:eastAsia="Times New Roman"/>
          <w:noProof/>
          <w:sz w:val="30"/>
          <w:szCs w:val="30"/>
        </w:rPr>
        <w:lastRenderedPageBreak/>
        <w:drawing>
          <wp:inline distT="0" distB="0" distL="0" distR="0">
            <wp:extent cx="5838825" cy="8458200"/>
            <wp:effectExtent l="0" t="0" r="9525" b="0"/>
            <wp:docPr id="4" name="Imagen 4" descr="https://www.fielweb.com/App_Themes/Infobases/ImagenesGeneral/img27052015171919_16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ielweb.com/App_Themes/Infobases/ImagenesGeneral/img27052015171919_16054.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838825" cy="8458200"/>
                    </a:xfrm>
                    <a:prstGeom prst="rect">
                      <a:avLst/>
                    </a:prstGeom>
                    <a:noFill/>
                    <a:ln>
                      <a:noFill/>
                    </a:ln>
                  </pic:spPr>
                </pic:pic>
              </a:graphicData>
            </a:graphic>
          </wp:inline>
        </w:drawing>
      </w:r>
    </w:p>
    <w:p w:rsidR="00000000" w:rsidRDefault="008326E8">
      <w:pPr>
        <w:jc w:val="center"/>
        <w:rPr>
          <w:rFonts w:eastAsia="Times New Roman"/>
          <w:sz w:val="30"/>
          <w:szCs w:val="30"/>
          <w:lang w:val="es-ES"/>
        </w:rPr>
      </w:pPr>
      <w:r>
        <w:rPr>
          <w:rFonts w:eastAsia="Times New Roman"/>
          <w:noProof/>
          <w:sz w:val="30"/>
          <w:szCs w:val="30"/>
        </w:rPr>
        <w:lastRenderedPageBreak/>
        <w:drawing>
          <wp:inline distT="0" distB="0" distL="0" distR="0">
            <wp:extent cx="5867400" cy="8543925"/>
            <wp:effectExtent l="0" t="0" r="0" b="9525"/>
            <wp:docPr id="5" name="Imagen 5" descr="https://www.fielweb.com/App_Themes/Infobases/ImagenesGeneral/img27052015171919_3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ielweb.com/App_Themes/Infobases/ImagenesGeneral/img27052015171919_3225.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867400" cy="8543925"/>
                    </a:xfrm>
                    <a:prstGeom prst="rect">
                      <a:avLst/>
                    </a:prstGeom>
                    <a:noFill/>
                    <a:ln>
                      <a:noFill/>
                    </a:ln>
                  </pic:spPr>
                </pic:pic>
              </a:graphicData>
            </a:graphic>
          </wp:inline>
        </w:drawing>
      </w:r>
    </w:p>
    <w:p w:rsidR="00000000" w:rsidRDefault="008326E8">
      <w:pPr>
        <w:jc w:val="center"/>
        <w:rPr>
          <w:rFonts w:eastAsia="Times New Roman"/>
          <w:sz w:val="30"/>
          <w:szCs w:val="30"/>
          <w:lang w:val="es-ES"/>
        </w:rPr>
      </w:pPr>
      <w:r>
        <w:rPr>
          <w:rFonts w:eastAsia="Times New Roman"/>
          <w:noProof/>
          <w:sz w:val="30"/>
          <w:szCs w:val="30"/>
        </w:rPr>
        <w:lastRenderedPageBreak/>
        <w:drawing>
          <wp:inline distT="0" distB="0" distL="0" distR="0">
            <wp:extent cx="5724525" cy="5372100"/>
            <wp:effectExtent l="0" t="0" r="9525" b="0"/>
            <wp:docPr id="6" name="Imagen 6" descr="https://www.fielweb.com/App_Themes/Infobases/ImagenesGeneral/img27052015171919_19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ielweb.com/App_Themes/Infobases/ImagenesGeneral/img27052015171919_19956.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724525" cy="5372100"/>
                    </a:xfrm>
                    <a:prstGeom prst="rect">
                      <a:avLst/>
                    </a:prstGeom>
                    <a:noFill/>
                    <a:ln>
                      <a:noFill/>
                    </a:ln>
                  </pic:spPr>
                </pic:pic>
              </a:graphicData>
            </a:graphic>
          </wp:inline>
        </w:drawing>
      </w:r>
    </w:p>
    <w:p w:rsidR="00000000" w:rsidRDefault="008326E8">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INSTRUCTIVO DE REGISTRO DE CENTROS DE MEDIACIÓN DE LA FUNCIÓN JUDICIAL</w:t>
      </w:r>
    </w:p>
    <w:p w:rsidR="008326E8" w:rsidRDefault="008326E8">
      <w:pPr>
        <w:divId w:val="449666671"/>
        <w:rPr>
          <w:rFonts w:eastAsia="Times New Roman"/>
          <w:sz w:val="30"/>
          <w:szCs w:val="30"/>
          <w:lang w:val="es-ES"/>
        </w:rPr>
      </w:pPr>
      <w:r>
        <w:rPr>
          <w:rFonts w:eastAsia="Times New Roman"/>
          <w:sz w:val="30"/>
          <w:szCs w:val="30"/>
          <w:lang w:val="es-ES"/>
        </w:rPr>
        <w:br/>
      </w:r>
      <w:r>
        <w:rPr>
          <w:rFonts w:eastAsia="Times New Roman"/>
          <w:sz w:val="30"/>
          <w:szCs w:val="30"/>
          <w:lang w:val="es-ES"/>
        </w:rPr>
        <w:br/>
        <w:t xml:space="preserve">1.- Resolución 208-2013 (Segundo Suplemento del Registro Oficial </w:t>
      </w:r>
      <w:r>
        <w:rPr>
          <w:rFonts w:eastAsia="Times New Roman"/>
          <w:sz w:val="30"/>
          <w:szCs w:val="30"/>
          <w:lang w:val="es-ES"/>
        </w:rPr>
        <w:t>165, 20-I-2014)</w:t>
      </w:r>
      <w:r>
        <w:rPr>
          <w:rFonts w:eastAsia="Times New Roman"/>
          <w:sz w:val="30"/>
          <w:szCs w:val="30"/>
          <w:lang w:val="es-ES"/>
        </w:rPr>
        <w:br/>
      </w:r>
      <w:r>
        <w:rPr>
          <w:rFonts w:eastAsia="Times New Roman"/>
          <w:sz w:val="30"/>
          <w:szCs w:val="30"/>
          <w:lang w:val="es-ES"/>
        </w:rPr>
        <w:br/>
        <w:t>2.- Resolución 098-2015 (Registro Oficial 509, 27-V-2015).</w:t>
      </w:r>
    </w:p>
    <w:sectPr w:rsidR="008326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2702C"/>
    <w:rsid w:val="0072702C"/>
    <w:rsid w:val="008326E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0EEF1B-B934-4307-B99B-B96FA09F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8844">
      <w:marLeft w:val="0"/>
      <w:marRight w:val="0"/>
      <w:marTop w:val="0"/>
      <w:marBottom w:val="0"/>
      <w:divBdr>
        <w:top w:val="none" w:sz="0" w:space="0" w:color="auto"/>
        <w:left w:val="none" w:sz="0" w:space="0" w:color="auto"/>
        <w:bottom w:val="none" w:sz="0" w:space="0" w:color="auto"/>
        <w:right w:val="none" w:sz="0" w:space="0" w:color="auto"/>
      </w:divBdr>
    </w:div>
    <w:div w:id="45226633">
      <w:marLeft w:val="0"/>
      <w:marRight w:val="0"/>
      <w:marTop w:val="0"/>
      <w:marBottom w:val="0"/>
      <w:divBdr>
        <w:top w:val="none" w:sz="0" w:space="0" w:color="auto"/>
        <w:left w:val="none" w:sz="0" w:space="0" w:color="auto"/>
        <w:bottom w:val="none" w:sz="0" w:space="0" w:color="auto"/>
        <w:right w:val="none" w:sz="0" w:space="0" w:color="auto"/>
      </w:divBdr>
    </w:div>
    <w:div w:id="82727486">
      <w:marLeft w:val="0"/>
      <w:marRight w:val="0"/>
      <w:marTop w:val="0"/>
      <w:marBottom w:val="0"/>
      <w:divBdr>
        <w:top w:val="none" w:sz="0" w:space="0" w:color="auto"/>
        <w:left w:val="none" w:sz="0" w:space="0" w:color="auto"/>
        <w:bottom w:val="none" w:sz="0" w:space="0" w:color="auto"/>
        <w:right w:val="none" w:sz="0" w:space="0" w:color="auto"/>
      </w:divBdr>
    </w:div>
    <w:div w:id="172693618">
      <w:marLeft w:val="0"/>
      <w:marRight w:val="0"/>
      <w:marTop w:val="0"/>
      <w:marBottom w:val="0"/>
      <w:divBdr>
        <w:top w:val="none" w:sz="0" w:space="0" w:color="auto"/>
        <w:left w:val="none" w:sz="0" w:space="0" w:color="auto"/>
        <w:bottom w:val="none" w:sz="0" w:space="0" w:color="auto"/>
        <w:right w:val="none" w:sz="0" w:space="0" w:color="auto"/>
      </w:divBdr>
    </w:div>
    <w:div w:id="213347959">
      <w:marLeft w:val="0"/>
      <w:marRight w:val="0"/>
      <w:marTop w:val="0"/>
      <w:marBottom w:val="0"/>
      <w:divBdr>
        <w:top w:val="none" w:sz="0" w:space="0" w:color="auto"/>
        <w:left w:val="none" w:sz="0" w:space="0" w:color="auto"/>
        <w:bottom w:val="none" w:sz="0" w:space="0" w:color="auto"/>
        <w:right w:val="none" w:sz="0" w:space="0" w:color="auto"/>
      </w:divBdr>
    </w:div>
    <w:div w:id="247425730">
      <w:marLeft w:val="0"/>
      <w:marRight w:val="0"/>
      <w:marTop w:val="0"/>
      <w:marBottom w:val="0"/>
      <w:divBdr>
        <w:top w:val="none" w:sz="0" w:space="0" w:color="auto"/>
        <w:left w:val="none" w:sz="0" w:space="0" w:color="auto"/>
        <w:bottom w:val="none" w:sz="0" w:space="0" w:color="auto"/>
        <w:right w:val="none" w:sz="0" w:space="0" w:color="auto"/>
      </w:divBdr>
    </w:div>
    <w:div w:id="257718836">
      <w:marLeft w:val="0"/>
      <w:marRight w:val="0"/>
      <w:marTop w:val="0"/>
      <w:marBottom w:val="0"/>
      <w:divBdr>
        <w:top w:val="none" w:sz="0" w:space="0" w:color="auto"/>
        <w:left w:val="none" w:sz="0" w:space="0" w:color="auto"/>
        <w:bottom w:val="none" w:sz="0" w:space="0" w:color="auto"/>
        <w:right w:val="none" w:sz="0" w:space="0" w:color="auto"/>
      </w:divBdr>
    </w:div>
    <w:div w:id="302852209">
      <w:marLeft w:val="0"/>
      <w:marRight w:val="0"/>
      <w:marTop w:val="0"/>
      <w:marBottom w:val="0"/>
      <w:divBdr>
        <w:top w:val="none" w:sz="0" w:space="0" w:color="auto"/>
        <w:left w:val="none" w:sz="0" w:space="0" w:color="auto"/>
        <w:bottom w:val="none" w:sz="0" w:space="0" w:color="auto"/>
        <w:right w:val="none" w:sz="0" w:space="0" w:color="auto"/>
      </w:divBdr>
    </w:div>
    <w:div w:id="357439479">
      <w:marLeft w:val="0"/>
      <w:marRight w:val="0"/>
      <w:marTop w:val="0"/>
      <w:marBottom w:val="0"/>
      <w:divBdr>
        <w:top w:val="none" w:sz="0" w:space="0" w:color="auto"/>
        <w:left w:val="none" w:sz="0" w:space="0" w:color="auto"/>
        <w:bottom w:val="none" w:sz="0" w:space="0" w:color="auto"/>
        <w:right w:val="none" w:sz="0" w:space="0" w:color="auto"/>
      </w:divBdr>
    </w:div>
    <w:div w:id="361638559">
      <w:marLeft w:val="0"/>
      <w:marRight w:val="0"/>
      <w:marTop w:val="0"/>
      <w:marBottom w:val="0"/>
      <w:divBdr>
        <w:top w:val="none" w:sz="0" w:space="0" w:color="auto"/>
        <w:left w:val="none" w:sz="0" w:space="0" w:color="auto"/>
        <w:bottom w:val="none" w:sz="0" w:space="0" w:color="auto"/>
        <w:right w:val="none" w:sz="0" w:space="0" w:color="auto"/>
      </w:divBdr>
    </w:div>
    <w:div w:id="390268873">
      <w:marLeft w:val="0"/>
      <w:marRight w:val="0"/>
      <w:marTop w:val="0"/>
      <w:marBottom w:val="0"/>
      <w:divBdr>
        <w:top w:val="none" w:sz="0" w:space="0" w:color="auto"/>
        <w:left w:val="none" w:sz="0" w:space="0" w:color="auto"/>
        <w:bottom w:val="none" w:sz="0" w:space="0" w:color="auto"/>
        <w:right w:val="none" w:sz="0" w:space="0" w:color="auto"/>
      </w:divBdr>
    </w:div>
    <w:div w:id="449666671">
      <w:marLeft w:val="0"/>
      <w:marRight w:val="0"/>
      <w:marTop w:val="0"/>
      <w:marBottom w:val="0"/>
      <w:divBdr>
        <w:top w:val="none" w:sz="0" w:space="0" w:color="auto"/>
        <w:left w:val="none" w:sz="0" w:space="0" w:color="auto"/>
        <w:bottom w:val="none" w:sz="0" w:space="0" w:color="auto"/>
        <w:right w:val="none" w:sz="0" w:space="0" w:color="auto"/>
      </w:divBdr>
    </w:div>
    <w:div w:id="526454543">
      <w:marLeft w:val="0"/>
      <w:marRight w:val="0"/>
      <w:marTop w:val="0"/>
      <w:marBottom w:val="0"/>
      <w:divBdr>
        <w:top w:val="none" w:sz="0" w:space="0" w:color="auto"/>
        <w:left w:val="none" w:sz="0" w:space="0" w:color="auto"/>
        <w:bottom w:val="none" w:sz="0" w:space="0" w:color="auto"/>
        <w:right w:val="none" w:sz="0" w:space="0" w:color="auto"/>
      </w:divBdr>
    </w:div>
    <w:div w:id="549459808">
      <w:marLeft w:val="0"/>
      <w:marRight w:val="0"/>
      <w:marTop w:val="0"/>
      <w:marBottom w:val="0"/>
      <w:divBdr>
        <w:top w:val="none" w:sz="0" w:space="0" w:color="auto"/>
        <w:left w:val="none" w:sz="0" w:space="0" w:color="auto"/>
        <w:bottom w:val="none" w:sz="0" w:space="0" w:color="auto"/>
        <w:right w:val="none" w:sz="0" w:space="0" w:color="auto"/>
      </w:divBdr>
    </w:div>
    <w:div w:id="609779448">
      <w:marLeft w:val="0"/>
      <w:marRight w:val="0"/>
      <w:marTop w:val="0"/>
      <w:marBottom w:val="0"/>
      <w:divBdr>
        <w:top w:val="none" w:sz="0" w:space="0" w:color="auto"/>
        <w:left w:val="none" w:sz="0" w:space="0" w:color="auto"/>
        <w:bottom w:val="none" w:sz="0" w:space="0" w:color="auto"/>
        <w:right w:val="none" w:sz="0" w:space="0" w:color="auto"/>
      </w:divBdr>
    </w:div>
    <w:div w:id="710617979">
      <w:marLeft w:val="0"/>
      <w:marRight w:val="0"/>
      <w:marTop w:val="0"/>
      <w:marBottom w:val="0"/>
      <w:divBdr>
        <w:top w:val="none" w:sz="0" w:space="0" w:color="auto"/>
        <w:left w:val="none" w:sz="0" w:space="0" w:color="auto"/>
        <w:bottom w:val="none" w:sz="0" w:space="0" w:color="auto"/>
        <w:right w:val="none" w:sz="0" w:space="0" w:color="auto"/>
      </w:divBdr>
    </w:div>
    <w:div w:id="842822196">
      <w:marLeft w:val="0"/>
      <w:marRight w:val="0"/>
      <w:marTop w:val="0"/>
      <w:marBottom w:val="0"/>
      <w:divBdr>
        <w:top w:val="none" w:sz="0" w:space="0" w:color="auto"/>
        <w:left w:val="none" w:sz="0" w:space="0" w:color="auto"/>
        <w:bottom w:val="none" w:sz="0" w:space="0" w:color="auto"/>
        <w:right w:val="none" w:sz="0" w:space="0" w:color="auto"/>
      </w:divBdr>
    </w:div>
    <w:div w:id="856843650">
      <w:marLeft w:val="0"/>
      <w:marRight w:val="0"/>
      <w:marTop w:val="0"/>
      <w:marBottom w:val="0"/>
      <w:divBdr>
        <w:top w:val="none" w:sz="0" w:space="0" w:color="auto"/>
        <w:left w:val="none" w:sz="0" w:space="0" w:color="auto"/>
        <w:bottom w:val="none" w:sz="0" w:space="0" w:color="auto"/>
        <w:right w:val="none" w:sz="0" w:space="0" w:color="auto"/>
      </w:divBdr>
    </w:div>
    <w:div w:id="898706553">
      <w:marLeft w:val="0"/>
      <w:marRight w:val="0"/>
      <w:marTop w:val="0"/>
      <w:marBottom w:val="0"/>
      <w:divBdr>
        <w:top w:val="none" w:sz="0" w:space="0" w:color="auto"/>
        <w:left w:val="none" w:sz="0" w:space="0" w:color="auto"/>
        <w:bottom w:val="none" w:sz="0" w:space="0" w:color="auto"/>
        <w:right w:val="none" w:sz="0" w:space="0" w:color="auto"/>
      </w:divBdr>
    </w:div>
    <w:div w:id="914244368">
      <w:marLeft w:val="0"/>
      <w:marRight w:val="0"/>
      <w:marTop w:val="0"/>
      <w:marBottom w:val="0"/>
      <w:divBdr>
        <w:top w:val="none" w:sz="0" w:space="0" w:color="auto"/>
        <w:left w:val="none" w:sz="0" w:space="0" w:color="auto"/>
        <w:bottom w:val="none" w:sz="0" w:space="0" w:color="auto"/>
        <w:right w:val="none" w:sz="0" w:space="0" w:color="auto"/>
      </w:divBdr>
    </w:div>
    <w:div w:id="1009602499">
      <w:marLeft w:val="0"/>
      <w:marRight w:val="0"/>
      <w:marTop w:val="0"/>
      <w:marBottom w:val="0"/>
      <w:divBdr>
        <w:top w:val="none" w:sz="0" w:space="0" w:color="auto"/>
        <w:left w:val="none" w:sz="0" w:space="0" w:color="auto"/>
        <w:bottom w:val="none" w:sz="0" w:space="0" w:color="auto"/>
        <w:right w:val="none" w:sz="0" w:space="0" w:color="auto"/>
      </w:divBdr>
    </w:div>
    <w:div w:id="1060403161">
      <w:marLeft w:val="0"/>
      <w:marRight w:val="0"/>
      <w:marTop w:val="0"/>
      <w:marBottom w:val="0"/>
      <w:divBdr>
        <w:top w:val="none" w:sz="0" w:space="0" w:color="auto"/>
        <w:left w:val="none" w:sz="0" w:space="0" w:color="auto"/>
        <w:bottom w:val="none" w:sz="0" w:space="0" w:color="auto"/>
        <w:right w:val="none" w:sz="0" w:space="0" w:color="auto"/>
      </w:divBdr>
    </w:div>
    <w:div w:id="1099956277">
      <w:marLeft w:val="0"/>
      <w:marRight w:val="0"/>
      <w:marTop w:val="0"/>
      <w:marBottom w:val="0"/>
      <w:divBdr>
        <w:top w:val="none" w:sz="0" w:space="0" w:color="auto"/>
        <w:left w:val="none" w:sz="0" w:space="0" w:color="auto"/>
        <w:bottom w:val="none" w:sz="0" w:space="0" w:color="auto"/>
        <w:right w:val="none" w:sz="0" w:space="0" w:color="auto"/>
      </w:divBdr>
    </w:div>
    <w:div w:id="1140801519">
      <w:marLeft w:val="0"/>
      <w:marRight w:val="0"/>
      <w:marTop w:val="0"/>
      <w:marBottom w:val="0"/>
      <w:divBdr>
        <w:top w:val="none" w:sz="0" w:space="0" w:color="auto"/>
        <w:left w:val="none" w:sz="0" w:space="0" w:color="auto"/>
        <w:bottom w:val="none" w:sz="0" w:space="0" w:color="auto"/>
        <w:right w:val="none" w:sz="0" w:space="0" w:color="auto"/>
      </w:divBdr>
    </w:div>
    <w:div w:id="1157916620">
      <w:marLeft w:val="0"/>
      <w:marRight w:val="0"/>
      <w:marTop w:val="0"/>
      <w:marBottom w:val="0"/>
      <w:divBdr>
        <w:top w:val="none" w:sz="0" w:space="0" w:color="auto"/>
        <w:left w:val="none" w:sz="0" w:space="0" w:color="auto"/>
        <w:bottom w:val="none" w:sz="0" w:space="0" w:color="auto"/>
        <w:right w:val="none" w:sz="0" w:space="0" w:color="auto"/>
      </w:divBdr>
    </w:div>
    <w:div w:id="1238595678">
      <w:marLeft w:val="0"/>
      <w:marRight w:val="0"/>
      <w:marTop w:val="0"/>
      <w:marBottom w:val="0"/>
      <w:divBdr>
        <w:top w:val="none" w:sz="0" w:space="0" w:color="auto"/>
        <w:left w:val="none" w:sz="0" w:space="0" w:color="auto"/>
        <w:bottom w:val="none" w:sz="0" w:space="0" w:color="auto"/>
        <w:right w:val="none" w:sz="0" w:space="0" w:color="auto"/>
      </w:divBdr>
    </w:div>
    <w:div w:id="1296643560">
      <w:marLeft w:val="0"/>
      <w:marRight w:val="0"/>
      <w:marTop w:val="0"/>
      <w:marBottom w:val="0"/>
      <w:divBdr>
        <w:top w:val="none" w:sz="0" w:space="0" w:color="auto"/>
        <w:left w:val="none" w:sz="0" w:space="0" w:color="auto"/>
        <w:bottom w:val="none" w:sz="0" w:space="0" w:color="auto"/>
        <w:right w:val="none" w:sz="0" w:space="0" w:color="auto"/>
      </w:divBdr>
    </w:div>
    <w:div w:id="1322351595">
      <w:marLeft w:val="0"/>
      <w:marRight w:val="0"/>
      <w:marTop w:val="0"/>
      <w:marBottom w:val="0"/>
      <w:divBdr>
        <w:top w:val="none" w:sz="0" w:space="0" w:color="auto"/>
        <w:left w:val="none" w:sz="0" w:space="0" w:color="auto"/>
        <w:bottom w:val="none" w:sz="0" w:space="0" w:color="auto"/>
        <w:right w:val="none" w:sz="0" w:space="0" w:color="auto"/>
      </w:divBdr>
    </w:div>
    <w:div w:id="1327784043">
      <w:marLeft w:val="0"/>
      <w:marRight w:val="0"/>
      <w:marTop w:val="0"/>
      <w:marBottom w:val="0"/>
      <w:divBdr>
        <w:top w:val="none" w:sz="0" w:space="0" w:color="auto"/>
        <w:left w:val="none" w:sz="0" w:space="0" w:color="auto"/>
        <w:bottom w:val="none" w:sz="0" w:space="0" w:color="auto"/>
        <w:right w:val="none" w:sz="0" w:space="0" w:color="auto"/>
      </w:divBdr>
    </w:div>
    <w:div w:id="1359282882">
      <w:marLeft w:val="0"/>
      <w:marRight w:val="0"/>
      <w:marTop w:val="0"/>
      <w:marBottom w:val="0"/>
      <w:divBdr>
        <w:top w:val="none" w:sz="0" w:space="0" w:color="auto"/>
        <w:left w:val="none" w:sz="0" w:space="0" w:color="auto"/>
        <w:bottom w:val="none" w:sz="0" w:space="0" w:color="auto"/>
        <w:right w:val="none" w:sz="0" w:space="0" w:color="auto"/>
      </w:divBdr>
    </w:div>
    <w:div w:id="1425491759">
      <w:marLeft w:val="0"/>
      <w:marRight w:val="0"/>
      <w:marTop w:val="0"/>
      <w:marBottom w:val="0"/>
      <w:divBdr>
        <w:top w:val="none" w:sz="0" w:space="0" w:color="auto"/>
        <w:left w:val="none" w:sz="0" w:space="0" w:color="auto"/>
        <w:bottom w:val="none" w:sz="0" w:space="0" w:color="auto"/>
        <w:right w:val="none" w:sz="0" w:space="0" w:color="auto"/>
      </w:divBdr>
    </w:div>
    <w:div w:id="1539664463">
      <w:marLeft w:val="0"/>
      <w:marRight w:val="0"/>
      <w:marTop w:val="0"/>
      <w:marBottom w:val="0"/>
      <w:divBdr>
        <w:top w:val="none" w:sz="0" w:space="0" w:color="auto"/>
        <w:left w:val="none" w:sz="0" w:space="0" w:color="auto"/>
        <w:bottom w:val="none" w:sz="0" w:space="0" w:color="auto"/>
        <w:right w:val="none" w:sz="0" w:space="0" w:color="auto"/>
      </w:divBdr>
    </w:div>
    <w:div w:id="1545556245">
      <w:marLeft w:val="0"/>
      <w:marRight w:val="0"/>
      <w:marTop w:val="0"/>
      <w:marBottom w:val="0"/>
      <w:divBdr>
        <w:top w:val="none" w:sz="0" w:space="0" w:color="auto"/>
        <w:left w:val="none" w:sz="0" w:space="0" w:color="auto"/>
        <w:bottom w:val="none" w:sz="0" w:space="0" w:color="auto"/>
        <w:right w:val="none" w:sz="0" w:space="0" w:color="auto"/>
      </w:divBdr>
    </w:div>
    <w:div w:id="1562398530">
      <w:marLeft w:val="0"/>
      <w:marRight w:val="0"/>
      <w:marTop w:val="0"/>
      <w:marBottom w:val="0"/>
      <w:divBdr>
        <w:top w:val="none" w:sz="0" w:space="0" w:color="auto"/>
        <w:left w:val="none" w:sz="0" w:space="0" w:color="auto"/>
        <w:bottom w:val="none" w:sz="0" w:space="0" w:color="auto"/>
        <w:right w:val="none" w:sz="0" w:space="0" w:color="auto"/>
      </w:divBdr>
    </w:div>
    <w:div w:id="1564683220">
      <w:marLeft w:val="0"/>
      <w:marRight w:val="0"/>
      <w:marTop w:val="0"/>
      <w:marBottom w:val="0"/>
      <w:divBdr>
        <w:top w:val="none" w:sz="0" w:space="0" w:color="auto"/>
        <w:left w:val="none" w:sz="0" w:space="0" w:color="auto"/>
        <w:bottom w:val="none" w:sz="0" w:space="0" w:color="auto"/>
        <w:right w:val="none" w:sz="0" w:space="0" w:color="auto"/>
      </w:divBdr>
    </w:div>
    <w:div w:id="1577787352">
      <w:marLeft w:val="0"/>
      <w:marRight w:val="0"/>
      <w:marTop w:val="0"/>
      <w:marBottom w:val="0"/>
      <w:divBdr>
        <w:top w:val="none" w:sz="0" w:space="0" w:color="auto"/>
        <w:left w:val="none" w:sz="0" w:space="0" w:color="auto"/>
        <w:bottom w:val="none" w:sz="0" w:space="0" w:color="auto"/>
        <w:right w:val="none" w:sz="0" w:space="0" w:color="auto"/>
      </w:divBdr>
    </w:div>
    <w:div w:id="1658076680">
      <w:marLeft w:val="0"/>
      <w:marRight w:val="0"/>
      <w:marTop w:val="0"/>
      <w:marBottom w:val="0"/>
      <w:divBdr>
        <w:top w:val="none" w:sz="0" w:space="0" w:color="auto"/>
        <w:left w:val="none" w:sz="0" w:space="0" w:color="auto"/>
        <w:bottom w:val="none" w:sz="0" w:space="0" w:color="auto"/>
        <w:right w:val="none" w:sz="0" w:space="0" w:color="auto"/>
      </w:divBdr>
    </w:div>
    <w:div w:id="1685549509">
      <w:marLeft w:val="0"/>
      <w:marRight w:val="0"/>
      <w:marTop w:val="0"/>
      <w:marBottom w:val="0"/>
      <w:divBdr>
        <w:top w:val="none" w:sz="0" w:space="0" w:color="auto"/>
        <w:left w:val="none" w:sz="0" w:space="0" w:color="auto"/>
        <w:bottom w:val="none" w:sz="0" w:space="0" w:color="auto"/>
        <w:right w:val="none" w:sz="0" w:space="0" w:color="auto"/>
      </w:divBdr>
    </w:div>
    <w:div w:id="1767071532">
      <w:marLeft w:val="0"/>
      <w:marRight w:val="0"/>
      <w:marTop w:val="0"/>
      <w:marBottom w:val="0"/>
      <w:divBdr>
        <w:top w:val="none" w:sz="0" w:space="0" w:color="auto"/>
        <w:left w:val="none" w:sz="0" w:space="0" w:color="auto"/>
        <w:bottom w:val="none" w:sz="0" w:space="0" w:color="auto"/>
        <w:right w:val="none" w:sz="0" w:space="0" w:color="auto"/>
      </w:divBdr>
    </w:div>
    <w:div w:id="1847477026">
      <w:marLeft w:val="0"/>
      <w:marRight w:val="0"/>
      <w:marTop w:val="0"/>
      <w:marBottom w:val="0"/>
      <w:divBdr>
        <w:top w:val="none" w:sz="0" w:space="0" w:color="auto"/>
        <w:left w:val="none" w:sz="0" w:space="0" w:color="auto"/>
        <w:bottom w:val="none" w:sz="0" w:space="0" w:color="auto"/>
        <w:right w:val="none" w:sz="0" w:space="0" w:color="auto"/>
      </w:divBdr>
    </w:div>
    <w:div w:id="1865631759">
      <w:marLeft w:val="0"/>
      <w:marRight w:val="0"/>
      <w:marTop w:val="0"/>
      <w:marBottom w:val="0"/>
      <w:divBdr>
        <w:top w:val="none" w:sz="0" w:space="0" w:color="auto"/>
        <w:left w:val="none" w:sz="0" w:space="0" w:color="auto"/>
        <w:bottom w:val="none" w:sz="0" w:space="0" w:color="auto"/>
        <w:right w:val="none" w:sz="0" w:space="0" w:color="auto"/>
      </w:divBdr>
    </w:div>
    <w:div w:id="1899246489">
      <w:marLeft w:val="0"/>
      <w:marRight w:val="0"/>
      <w:marTop w:val="0"/>
      <w:marBottom w:val="0"/>
      <w:divBdr>
        <w:top w:val="none" w:sz="0" w:space="0" w:color="auto"/>
        <w:left w:val="none" w:sz="0" w:space="0" w:color="auto"/>
        <w:bottom w:val="none" w:sz="0" w:space="0" w:color="auto"/>
        <w:right w:val="none" w:sz="0" w:space="0" w:color="auto"/>
      </w:divBdr>
    </w:div>
    <w:div w:id="1988240375">
      <w:marLeft w:val="0"/>
      <w:marRight w:val="0"/>
      <w:marTop w:val="0"/>
      <w:marBottom w:val="0"/>
      <w:divBdr>
        <w:top w:val="none" w:sz="0" w:space="0" w:color="auto"/>
        <w:left w:val="none" w:sz="0" w:space="0" w:color="auto"/>
        <w:bottom w:val="none" w:sz="0" w:space="0" w:color="auto"/>
        <w:right w:val="none" w:sz="0" w:space="0" w:color="auto"/>
      </w:divBdr>
    </w:div>
    <w:div w:id="2069841256">
      <w:marLeft w:val="0"/>
      <w:marRight w:val="0"/>
      <w:marTop w:val="0"/>
      <w:marBottom w:val="0"/>
      <w:divBdr>
        <w:top w:val="none" w:sz="0" w:space="0" w:color="auto"/>
        <w:left w:val="none" w:sz="0" w:space="0" w:color="auto"/>
        <w:bottom w:val="none" w:sz="0" w:space="0" w:color="auto"/>
        <w:right w:val="none" w:sz="0" w:space="0" w:color="auto"/>
      </w:divBdr>
    </w:div>
    <w:div w:id="2108186760">
      <w:marLeft w:val="0"/>
      <w:marRight w:val="0"/>
      <w:marTop w:val="0"/>
      <w:marBottom w:val="0"/>
      <w:divBdr>
        <w:top w:val="none" w:sz="0" w:space="0" w:color="auto"/>
        <w:left w:val="none" w:sz="0" w:space="0" w:color="auto"/>
        <w:bottom w:val="none" w:sz="0" w:space="0" w:color="auto"/>
        <w:right w:val="none" w:sz="0" w:space="0" w:color="auto"/>
      </w:divBdr>
    </w:div>
    <w:div w:id="2133791516">
      <w:marLeft w:val="0"/>
      <w:marRight w:val="0"/>
      <w:marTop w:val="0"/>
      <w:marBottom w:val="0"/>
      <w:divBdr>
        <w:top w:val="none" w:sz="0" w:space="0" w:color="auto"/>
        <w:left w:val="none" w:sz="0" w:space="0" w:color="auto"/>
        <w:bottom w:val="none" w:sz="0" w:space="0" w:color="auto"/>
        <w:right w:val="none" w:sz="0" w:space="0" w:color="auto"/>
      </w:divBdr>
    </w:div>
    <w:div w:id="213413171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fielweb.com/App_Themes/Infobases/ImagenesGeneral/img27052015171919_3225.jpg" TargetMode="External"/><Relationship Id="rId3" Type="http://schemas.openxmlformats.org/officeDocument/2006/relationships/webSettings" Target="webSettings.xml"/><Relationship Id="rId7" Type="http://schemas.openxmlformats.org/officeDocument/2006/relationships/image" Target="https://www.fielweb.com/App_Themes/Infobases/ImagenesGeneral/img27052015171919_16054.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fielweb.com/App_Themes/Infobases/ImagenesGeneral/img27052015171919_8873.jpg" TargetMode="External"/><Relationship Id="rId11" Type="http://schemas.openxmlformats.org/officeDocument/2006/relationships/theme" Target="theme/theme1.xml"/><Relationship Id="rId5" Type="http://schemas.openxmlformats.org/officeDocument/2006/relationships/image" Target="https://www.fielweb.com/App_Themes/Infobases/ImagenesGeneral/img27052015171919_12142.jpg" TargetMode="External"/><Relationship Id="rId10" Type="http://schemas.openxmlformats.org/officeDocument/2006/relationships/fontTable" Target="fontTable.xml"/><Relationship Id="rId4" Type="http://schemas.openxmlformats.org/officeDocument/2006/relationships/image" Target="https://www.fielweb.com/App_Themes/Infobases/ImagenesGeneral/img27052015171919_1061.jpg" TargetMode="External"/><Relationship Id="rId9" Type="http://schemas.openxmlformats.org/officeDocument/2006/relationships/image" Target="https://www.fielweb.com/App_Themes/Infobases/ImagenesGeneral/img27052015171919_19956.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4253</Words>
  <Characters>23394</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2017-12-15T19:14:00Z</dcterms:created>
  <dcterms:modified xsi:type="dcterms:W3CDTF">2017-12-15T19:14:00Z</dcterms:modified>
</cp:coreProperties>
</file>