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BB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CONTRA LA VIOLENCIA A LA MUJER Y LA FAMILIA</w:t>
      </w:r>
    </w:p>
    <w:p w:rsidR="00000000" w:rsidRDefault="00653BBE">
      <w:pPr>
        <w:jc w:val="center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(Ley No. 103)</w:t>
      </w:r>
    </w:p>
    <w:p w:rsidR="00000000" w:rsidRDefault="00653BB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LEY CONTRA LA VIOLENCIA A LA MUJER Y LA FAMILIA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Preliminar</w:t>
      </w:r>
    </w:p>
    <w:p w:rsidR="00000000" w:rsidRDefault="00653BBE">
      <w:pPr>
        <w:rPr>
          <w:rFonts w:eastAsia="Times New Roman"/>
          <w:lang w:val="es-ES"/>
        </w:rPr>
      </w:pPr>
      <w:hyperlink r:id="rId4" w:history="1">
        <w:r>
          <w:rPr>
            <w:rStyle w:val="Hipervnculo"/>
            <w:rFonts w:eastAsia="Times New Roman"/>
            <w:b/>
            <w:bCs/>
            <w:lang w:val="es-ES"/>
          </w:rPr>
          <w:t>Art. 1.-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Fines de la Ley</w:t>
      </w:r>
      <w:r>
        <w:rPr>
          <w:rFonts w:eastAsia="Times New Roman"/>
          <w:lang w:val="es-ES"/>
        </w:rPr>
        <w:t>.- La presente Ley tiene por objeto proteger la integridad física, psíquica y la libertad sexual de la mujer y los miembr</w:t>
      </w:r>
      <w:r>
        <w:rPr>
          <w:rFonts w:eastAsia="Times New Roman"/>
          <w:lang w:val="es-ES"/>
        </w:rPr>
        <w:t>os de su familia, mediante la prevención y la sanción de la violencia intrafamiliar y los demás atentados contra sus derechos y los de su familia.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Sus normas deben orientar las políticas del Estado y la comunidad sobre la materia.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>Violencia intra</w:t>
      </w:r>
      <w:r>
        <w:rPr>
          <w:rFonts w:eastAsia="Times New Roman"/>
          <w:b/>
          <w:bCs/>
          <w:lang w:val="es-ES"/>
        </w:rPr>
        <w:t>familiar</w:t>
      </w:r>
      <w:r>
        <w:rPr>
          <w:rFonts w:eastAsia="Times New Roman"/>
          <w:lang w:val="es-ES"/>
        </w:rPr>
        <w:t>.- Se considera violencia intrafamiliar toda acción u omisión que consista en maltrato físico, psicológico o sexual, ejecutado por un miembro de la familia en contra de la mujer o demás integrantes del núcleo familiar.</w:t>
      </w:r>
    </w:p>
    <w:p w:rsidR="00000000" w:rsidRDefault="00653BBE">
      <w:pPr>
        <w:rPr>
          <w:rFonts w:eastAsia="Times New Roman"/>
          <w:lang w:val="es-ES"/>
        </w:rPr>
      </w:pPr>
      <w:hyperlink r:id="rId5" w:history="1">
        <w:r>
          <w:rPr>
            <w:rStyle w:val="Hipervnculo"/>
            <w:rFonts w:eastAsia="Times New Roman"/>
            <w:b/>
            <w:bCs/>
            <w:lang w:val="es-ES"/>
          </w:rPr>
          <w:t>Art. 3.-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Ámbito de aplicación</w:t>
      </w:r>
      <w:r>
        <w:rPr>
          <w:rFonts w:eastAsia="Times New Roman"/>
          <w:lang w:val="es-ES"/>
        </w:rPr>
        <w:t>.- Para los efectos de esta Ley se consideran miembros del núcleo familiar a los cónyuges, ascendientes, descendientes, hermanos y sus parientes hasta el segundo grado de afinidad.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protección de esta Ley se h</w:t>
      </w:r>
      <w:r>
        <w:rPr>
          <w:rFonts w:eastAsia="Times New Roman"/>
          <w:lang w:val="es-ES"/>
        </w:rPr>
        <w:t>ará extensiva a los ex-cónyuges, convivientes, ex-convivientes, a las personas con quienes se mantenga o se haya mantenido una relación consensual de pareja, así como a quienes comparten el hogar del agresor o del agredido.</w:t>
      </w:r>
    </w:p>
    <w:p w:rsidR="00000000" w:rsidRDefault="00653BBE">
      <w:pPr>
        <w:rPr>
          <w:rFonts w:eastAsia="Times New Roman"/>
          <w:lang w:val="es-ES"/>
        </w:rPr>
      </w:pPr>
      <w:hyperlink r:id="rId6" w:history="1">
        <w:r>
          <w:rPr>
            <w:rStyle w:val="Hipervnculo"/>
            <w:rFonts w:eastAsia="Times New Roman"/>
            <w:b/>
            <w:bCs/>
            <w:lang w:val="es-ES"/>
          </w:rPr>
          <w:t>Art. 4.-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Formas de violencia intrafamiliar</w:t>
      </w:r>
      <w:r>
        <w:rPr>
          <w:rFonts w:eastAsia="Times New Roman"/>
          <w:lang w:val="es-ES"/>
        </w:rPr>
        <w:t>.- Para los efectos de esta Ley, se considera: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a) </w:t>
      </w:r>
      <w:r>
        <w:rPr>
          <w:rFonts w:eastAsia="Times New Roman"/>
          <w:b/>
          <w:bCs/>
          <w:lang w:val="es-ES"/>
        </w:rPr>
        <w:t>Violencia Física</w:t>
      </w:r>
      <w:r>
        <w:rPr>
          <w:rFonts w:eastAsia="Times New Roman"/>
          <w:lang w:val="es-ES"/>
        </w:rPr>
        <w:t xml:space="preserve">.- Todo acto de fuerza que cause daño, dolor o sufrimiento físico en las personas agredidas cualquiera que sea el medio empleado y sus </w:t>
      </w:r>
      <w:r>
        <w:rPr>
          <w:rFonts w:eastAsia="Times New Roman"/>
          <w:lang w:val="es-ES"/>
        </w:rPr>
        <w:t>consecuencias, sin considerarse el tiempo que se requiera para su recuperación;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</w:t>
      </w:r>
      <w:r>
        <w:rPr>
          <w:rFonts w:eastAsia="Times New Roman"/>
          <w:b/>
          <w:bCs/>
          <w:lang w:val="es-ES"/>
        </w:rPr>
        <w:t>Violencia Psicológica</w:t>
      </w:r>
      <w:r>
        <w:rPr>
          <w:rFonts w:eastAsia="Times New Roman"/>
          <w:lang w:val="es-ES"/>
        </w:rPr>
        <w:t xml:space="preserve">.- Constituye toda acción u omisión que cause daño, dolor, perturbación emocional, alteración psicológica o disminución de la autoestima de la mujer o </w:t>
      </w:r>
      <w:r>
        <w:rPr>
          <w:rFonts w:eastAsia="Times New Roman"/>
          <w:lang w:val="es-ES"/>
        </w:rPr>
        <w:t xml:space="preserve">el familiar agredido. Es también la intimidación o amenaza mediante la utilización de apremio moral sobre otro miembro de familia infundiendo miedo o temor a sufrir un mal grave e inminente en su persona o en la de sus ascendientes, descendientes o afines </w:t>
      </w:r>
      <w:r>
        <w:rPr>
          <w:rFonts w:eastAsia="Times New Roman"/>
          <w:lang w:val="es-ES"/>
        </w:rPr>
        <w:t>hasta el segundo grado;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</w:t>
      </w:r>
      <w:r>
        <w:rPr>
          <w:rFonts w:eastAsia="Times New Roman"/>
          <w:b/>
          <w:bCs/>
          <w:lang w:val="es-ES"/>
        </w:rPr>
        <w:t>Violencia Sexual</w:t>
      </w:r>
      <w:r>
        <w:rPr>
          <w:rFonts w:eastAsia="Times New Roman"/>
          <w:lang w:val="es-ES"/>
        </w:rPr>
        <w:t>.- Sin perjuicio de los casos de violación y otros delitos contra la libertad sexual, se considera violencia sexual todo maltrato que constituya imposición en el ejercicio de la sexualidad de una persona, y que l</w:t>
      </w:r>
      <w:r>
        <w:rPr>
          <w:rFonts w:eastAsia="Times New Roman"/>
          <w:lang w:val="es-ES"/>
        </w:rPr>
        <w:t>a obligue a tener relaciones u otras prácticas sexuales con el agresor o con terceros, mediante el uso de fuerza física, intimidación, amenazas o cualquier otro medio coercitivo.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>Supremacía de las normas de protección contra la violencia</w:t>
      </w:r>
      <w:r>
        <w:rPr>
          <w:rFonts w:eastAsia="Times New Roman"/>
          <w:lang w:val="es-ES"/>
        </w:rPr>
        <w:t>.- Las dis</w:t>
      </w:r>
      <w:r>
        <w:rPr>
          <w:rFonts w:eastAsia="Times New Roman"/>
          <w:lang w:val="es-ES"/>
        </w:rPr>
        <w:t>posiciones de esta Ley prevalecerán sobre otras normas generales o especiales que se las opongan. Los derechos que se consagran en esta Ley son irrenunciables.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>Instrumentos internacionales</w:t>
      </w:r>
      <w:r>
        <w:rPr>
          <w:rFonts w:eastAsia="Times New Roman"/>
          <w:lang w:val="es-ES"/>
        </w:rPr>
        <w:t>.- Las normas relativas a la prevención y sanción de la vio</w:t>
      </w:r>
      <w:r>
        <w:rPr>
          <w:rFonts w:eastAsia="Times New Roman"/>
          <w:lang w:val="es-ES"/>
        </w:rPr>
        <w:t>lencia en contra de la mujer y la familia contenidas en instrumentos internacionales, ratificados por el Ecuador, tienen fuerza de Ley.</w:t>
      </w:r>
    </w:p>
    <w:p w:rsidR="00000000" w:rsidRDefault="00653BBE">
      <w:pPr>
        <w:rPr>
          <w:rFonts w:eastAsia="Times New Roman"/>
          <w:lang w:val="es-ES"/>
        </w:rPr>
      </w:pPr>
      <w:hyperlink r:id="rId7" w:history="1">
        <w:r>
          <w:rPr>
            <w:rStyle w:val="Hipervnculo"/>
            <w:rFonts w:eastAsia="Times New Roman"/>
            <w:b/>
            <w:bCs/>
            <w:lang w:val="es-ES"/>
          </w:rPr>
          <w:t>Art. 7.-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Principios básicos procesales</w:t>
      </w:r>
      <w:r>
        <w:rPr>
          <w:rFonts w:eastAsia="Times New Roman"/>
          <w:lang w:val="es-ES"/>
        </w:rPr>
        <w:t xml:space="preserve">.- En los trámites para la aplicación </w:t>
      </w:r>
      <w:r>
        <w:rPr>
          <w:rFonts w:eastAsia="Times New Roman"/>
          <w:lang w:val="es-ES"/>
        </w:rPr>
        <w:t>de esta Ley regirán los principios de gratuidad, inmediación obligatoria, celeridad y reserva.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Salvo en los procesos a cargo de los jueces y tribunales de lo Penal, no se requerirá patrocinio de abogado, excepto en los casos en que la autoridad lo conside</w:t>
      </w:r>
      <w:r>
        <w:rPr>
          <w:rFonts w:eastAsia="Times New Roman"/>
          <w:lang w:val="es-ES"/>
        </w:rPr>
        <w:t>re necesario. En este caso llamará a intervenir a un defensor público.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COMPETENCIA Y JURISDICCIÓN</w:t>
      </w:r>
    </w:p>
    <w:p w:rsidR="00000000" w:rsidRDefault="00653BBE">
      <w:pPr>
        <w:rPr>
          <w:rFonts w:eastAsia="Times New Roman"/>
          <w:lang w:val="es-ES"/>
        </w:rPr>
      </w:pPr>
      <w:hyperlink r:id="rId8" w:history="1">
        <w:r>
          <w:rPr>
            <w:rStyle w:val="Hipervnculo"/>
            <w:rFonts w:eastAsia="Times New Roman"/>
            <w:b/>
            <w:bCs/>
            <w:lang w:val="es-ES"/>
          </w:rPr>
          <w:t>Art. 8.-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De la Jurisdicción y Competencia</w:t>
      </w:r>
      <w:r>
        <w:rPr>
          <w:rFonts w:eastAsia="Times New Roman"/>
          <w:lang w:val="es-ES"/>
        </w:rPr>
        <w:t xml:space="preserve">.- </w:t>
      </w:r>
      <w:r>
        <w:rPr>
          <w:rFonts w:eastAsia="Times New Roman"/>
          <w:lang w:val="es-ES"/>
        </w:rPr>
        <w:t>El juzgamiento por las infracciones previstas en esta Ley corresponderá 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 Los jueces de familia;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2. (Derogado por la Disposición Reformatoria Décimo Sexta, num. 1, de la Ley s/n, R.O. 544-S, 9-III-2009).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3. (Derogado por la Disposición Reformatoria </w:t>
      </w:r>
      <w:r>
        <w:rPr>
          <w:rFonts w:eastAsia="Times New Roman"/>
          <w:lang w:val="es-ES"/>
        </w:rPr>
        <w:t>Décimo Sexta, num. 1, de la Ley s/n, R.O. 544-S, 9-III-2009).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4. Los jueces y tribunales de lo Penal.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... (Agregado por la Disposición Reformatoria Décimo Sexta, num. 2, de la Ley s/n, R.O. 544-S, 9-III-2009) Los jueces de contravenciones en materia de v</w:t>
      </w:r>
      <w:r>
        <w:rPr>
          <w:rFonts w:eastAsia="Times New Roman"/>
          <w:lang w:val="es-ES"/>
        </w:rPr>
        <w:t>iolencia intrafamiliar.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Competencia estará determinada por el lugar de comisión de la infracción o el domicilio de la víctima, sin perjuicio de las normas generales sobre la materia.</w:t>
      </w:r>
    </w:p>
    <w:p w:rsidR="00000000" w:rsidRDefault="00653BBE">
      <w:pPr>
        <w:rPr>
          <w:rFonts w:eastAsia="Times New Roman"/>
          <w:lang w:val="es-ES"/>
        </w:rPr>
      </w:pPr>
      <w:hyperlink r:id="rId9" w:history="1">
        <w:r>
          <w:rPr>
            <w:rStyle w:val="Hipervnculo"/>
            <w:rFonts w:eastAsia="Times New Roman"/>
            <w:b/>
            <w:bCs/>
            <w:lang w:val="es-ES"/>
          </w:rPr>
          <w:t>Art. 9.-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 xml:space="preserve">De las personas </w:t>
      </w:r>
      <w:r>
        <w:rPr>
          <w:rFonts w:eastAsia="Times New Roman"/>
          <w:b/>
          <w:bCs/>
          <w:lang w:val="es-ES"/>
        </w:rPr>
        <w:t>que pueden ejercer la acción</w:t>
      </w:r>
      <w:r>
        <w:rPr>
          <w:rFonts w:eastAsia="Times New Roman"/>
          <w:lang w:val="es-ES"/>
        </w:rPr>
        <w:t>.- Sin perjuicio de la legitimación de la persona agraviada, cualquier persona natural o jurídica, que conozca de los hechos, podrá proponer las acciones contempladas en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infracciones previstas en esta Ley son pesq</w:t>
      </w:r>
      <w:r>
        <w:rPr>
          <w:rFonts w:eastAsia="Times New Roman"/>
          <w:lang w:val="es-ES"/>
        </w:rPr>
        <w:t>uisables de oficio, sin perjuicio de admitirse acusación particular.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>Los que deben denunciar</w:t>
      </w:r>
      <w:r>
        <w:rPr>
          <w:rFonts w:eastAsia="Times New Roman"/>
          <w:lang w:val="es-ES"/>
        </w:rPr>
        <w:t>.- Estarán obligados a denunciar los hechos punibles de violencia intrafamiliar, en un plazo máximo de cuarenta y ocho horas de haber llegado a su conocim</w:t>
      </w:r>
      <w:r>
        <w:rPr>
          <w:rFonts w:eastAsia="Times New Roman"/>
          <w:lang w:val="es-ES"/>
        </w:rPr>
        <w:t>iento, bajo pena de encubrimiento: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 Los agentes de la Policía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2. El Ministerio Público;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3. Los profesionales de la salud, pertenecientes a instituciones hospitalarias o casas de salud públicas o privadas, que tuvieren conocimiento de los </w:t>
      </w:r>
      <w:r>
        <w:rPr>
          <w:rFonts w:eastAsia="Times New Roman"/>
          <w:lang w:val="es-ES"/>
        </w:rPr>
        <w:t>casos de agresión.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>De los jueces competentes.</w:t>
      </w:r>
      <w:r>
        <w:rPr>
          <w:rFonts w:eastAsia="Times New Roman"/>
          <w:lang w:val="es-ES"/>
        </w:rPr>
        <w:t>- (Sustituido por la Disposición Reformatoria Décimo Sexta, num. 3, de la Ley s/n, R.O. 544-S, 9-III-2009).- Los jueces de contravenciones, y los jueces de violencia contra la mujer y la familia conoce</w:t>
      </w:r>
      <w:r>
        <w:rPr>
          <w:rFonts w:eastAsia="Times New Roman"/>
          <w:lang w:val="es-ES"/>
        </w:rPr>
        <w:t>rán los casos de violencia física, psicológica o sexual que no constituyan delitos, de conformidad con lo dispuesto en la presente ley y en el Código de Procedimiento Penal.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12.- </w:t>
      </w:r>
      <w:r>
        <w:rPr>
          <w:rFonts w:eastAsia="Times New Roman"/>
          <w:b/>
          <w:bCs/>
          <w:lang w:val="es-ES"/>
        </w:rPr>
        <w:t>Envío de la causa a otra Jurisdicción</w:t>
      </w:r>
      <w:r>
        <w:rPr>
          <w:rFonts w:eastAsia="Times New Roman"/>
          <w:lang w:val="es-ES"/>
        </w:rPr>
        <w:t xml:space="preserve">.- Si los jueces mencionados en el </w:t>
      </w:r>
      <w:r>
        <w:rPr>
          <w:rFonts w:eastAsia="Times New Roman"/>
          <w:lang w:val="es-ES"/>
        </w:rPr>
        <w:t>artículo anterior establecieren que un acto de violencia intrafamiliar sujeto a su conocimiento constituye delito, sin perjuicio de dictar medidas de amparo, se inhibirán de continuar en el conocimiento de la causa, remitiendo de inmediato lo actuado al Ju</w:t>
      </w:r>
      <w:r>
        <w:rPr>
          <w:rFonts w:eastAsia="Times New Roman"/>
          <w:lang w:val="es-ES"/>
        </w:rPr>
        <w:t>ez Penal competente. De igual forma se procederá en caso de otros atentados delictivos contra la propiedad u otros derechos de las personas amparados por esta Ley.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MEDIDAS DE AMPARO</w:t>
      </w:r>
    </w:p>
    <w:p w:rsidR="00000000" w:rsidRDefault="00653BBE">
      <w:pPr>
        <w:rPr>
          <w:rFonts w:eastAsia="Times New Roman"/>
          <w:lang w:val="es-ES"/>
        </w:rPr>
      </w:pPr>
      <w:hyperlink r:id="rId10" w:history="1">
        <w:r>
          <w:rPr>
            <w:rStyle w:val="Hipervnculo"/>
            <w:rFonts w:eastAsia="Times New Roman"/>
            <w:b/>
            <w:bCs/>
            <w:lang w:val="es-ES"/>
          </w:rPr>
          <w:t>Art. 13.-</w:t>
        </w:r>
      </w:hyperlink>
      <w:r>
        <w:rPr>
          <w:rFonts w:eastAsia="Times New Roman"/>
          <w:lang w:val="es-ES"/>
        </w:rPr>
        <w:t xml:space="preserve"> Las aut</w:t>
      </w:r>
      <w:r>
        <w:rPr>
          <w:rFonts w:eastAsia="Times New Roman"/>
          <w:lang w:val="es-ES"/>
        </w:rPr>
        <w:t>oridades señaladas en el artículo 8, cuando de cualquier manera llegare a su conocimiento un caso de violencia intrafamiliar, procederán de inmediato a imponer una o varias de las siguientes medidas de amparo en favor de la persona agredida: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 Conceder l</w:t>
      </w:r>
      <w:r>
        <w:rPr>
          <w:rFonts w:eastAsia="Times New Roman"/>
          <w:lang w:val="es-ES"/>
        </w:rPr>
        <w:t>as boletas de auxilio que fueren necesarias a la mujer o demás miembros del núcleo familiar;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2. Ordenar la salida del agresor de la vivienda, si la convivencia implica un riesgo para la seguridad física, psíquica o la libertad sexual de la familia;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3. Im</w:t>
      </w:r>
      <w:r>
        <w:rPr>
          <w:rFonts w:eastAsia="Times New Roman"/>
          <w:lang w:val="es-ES"/>
        </w:rPr>
        <w:t>poner al agresor la prohibición de acercarse a la agredida en su lugar de trabajo o de estudio;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4. Prohibir o restringir al agresor el acceso a la persona violentada;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5. Evitar que el agresor, por sí mismo o a través de terceras personas, realice actos d</w:t>
      </w:r>
      <w:r>
        <w:rPr>
          <w:rFonts w:eastAsia="Times New Roman"/>
          <w:lang w:val="es-ES"/>
        </w:rPr>
        <w:t>e persecución o de intimidación a la víctima o algún miembro de su familia;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6. Reintegrar al domicilio a la persona agredida disponiendo la salida simultánea del agresor, cuando se tratare de una vivienda común, impidiéndole que retire los enseres de uso </w:t>
      </w:r>
      <w:r>
        <w:rPr>
          <w:rFonts w:eastAsia="Times New Roman"/>
          <w:lang w:val="es-ES"/>
        </w:rPr>
        <w:t>de la familia;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7. Otorgar la custodia de la víctima menor de edad o incapaz a persona idónea siguiendo lo dispuesto en el Artículo No. 107 (108), regla 6a. del Código Civil y las disposiciones del Código de Menores;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8. Ordenar el tratamiento al que de</w:t>
      </w:r>
      <w:r>
        <w:rPr>
          <w:rFonts w:eastAsia="Times New Roman"/>
          <w:lang w:val="es-ES"/>
        </w:rPr>
        <w:t>ben someterse las partes y los hijos menores de edad si fuere del caso.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El Código de Menores (R.O. 995-S, 7-VIII-1992) fue derogado por el Art. 389 del Código de la Niñez y Adolescencia (R. O. 737, 3-I-2003).</w:t>
      </w:r>
    </w:p>
    <w:p w:rsidR="00000000" w:rsidRDefault="00653BBE">
      <w:pPr>
        <w:rPr>
          <w:rFonts w:eastAsia="Times New Roman"/>
          <w:lang w:val="es-ES"/>
        </w:rPr>
      </w:pPr>
      <w:hyperlink r:id="rId11" w:history="1">
        <w:r>
          <w:rPr>
            <w:rStyle w:val="Hipervnculo"/>
            <w:rFonts w:eastAsia="Times New Roman"/>
            <w:b/>
            <w:bCs/>
            <w:lang w:val="es-ES"/>
          </w:rPr>
          <w:t>Art. 14.</w:t>
        </w:r>
        <w:r>
          <w:rPr>
            <w:rStyle w:val="Hipervnculo"/>
            <w:rFonts w:eastAsia="Times New Roman"/>
            <w:b/>
            <w:bCs/>
            <w:lang w:val="es-ES"/>
          </w:rPr>
          <w:t>-</w:t>
        </w:r>
        <w:r>
          <w:rPr>
            <w:rStyle w:val="Hipervnculo"/>
            <w:rFonts w:eastAsia="Times New Roman"/>
            <w:b/>
            <w:bCs/>
            <w:lang w:val="es-ES"/>
          </w:rPr>
          <w:t xml:space="preserve"> </w:t>
        </w:r>
      </w:hyperlink>
      <w:r>
        <w:rPr>
          <w:rFonts w:eastAsia="Times New Roman"/>
          <w:b/>
          <w:bCs/>
          <w:lang w:val="es-ES"/>
        </w:rPr>
        <w:t>Allanamiento</w:t>
      </w:r>
      <w:r>
        <w:rPr>
          <w:rFonts w:eastAsia="Times New Roman"/>
          <w:lang w:val="es-ES"/>
        </w:rPr>
        <w:t xml:space="preserve">.- Si para la aplicación de medidas de amparo solicitadas por la víctima de conformidad a lo previsto en el Código de Procedimiento Penal, la autoridad que conociera el caso lo podrá ordenar mediante oficio, sin que sea necesario </w:t>
      </w:r>
      <w:r>
        <w:rPr>
          <w:rFonts w:eastAsia="Times New Roman"/>
          <w:lang w:val="es-ES"/>
        </w:rPr>
        <w:t>dictar providencia en los siguientes casos: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 Cuando deba recuperarse a la agredida o a familiares y el agresor los mantenga intimidados;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2. Para sacar al agresor de la vivienda. Igualmente cuando éste se encuentre armado o bajo los efectos del alcoh</w:t>
      </w:r>
      <w:r>
        <w:rPr>
          <w:rFonts w:eastAsia="Times New Roman"/>
          <w:lang w:val="es-ES"/>
        </w:rPr>
        <w:t>ol, de sustancias estupefacientes o drogas psicotrópicas, cuando esté agrediendo a la mujer o poniendo en riesgo la integridad física, psicológica o sexual de la familia de la víctima.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15.- </w:t>
      </w:r>
      <w:r>
        <w:rPr>
          <w:rFonts w:eastAsia="Times New Roman"/>
          <w:b/>
          <w:bCs/>
          <w:lang w:val="es-ES"/>
        </w:rPr>
        <w:t>Colaboración de la Policía Nacional.</w:t>
      </w:r>
      <w:r>
        <w:rPr>
          <w:rFonts w:eastAsia="Times New Roman"/>
          <w:lang w:val="es-ES"/>
        </w:rPr>
        <w:t>- Todo agente del orden e</w:t>
      </w:r>
      <w:r>
        <w:rPr>
          <w:rFonts w:eastAsia="Times New Roman"/>
          <w:lang w:val="es-ES"/>
        </w:rPr>
        <w:t>stá obligado a dispensar auxilio, proteger y transportar a la mujer y más víctimas de la violencia intrafamiliar; y, a elaborar obligatoriamente un parte informativo del caso en el que intervino, que se presentará en cuarenta y ocho horas al juez o autorid</w:t>
      </w:r>
      <w:r>
        <w:rPr>
          <w:rFonts w:eastAsia="Times New Roman"/>
          <w:lang w:val="es-ES"/>
        </w:rPr>
        <w:t>ad competente.</w:t>
      </w:r>
    </w:p>
    <w:p w:rsidR="00000000" w:rsidRDefault="00653BBE">
      <w:pPr>
        <w:rPr>
          <w:rFonts w:eastAsia="Times New Roman"/>
          <w:lang w:val="es-ES"/>
        </w:rPr>
      </w:pPr>
      <w:hyperlink r:id="rId12" w:history="1">
        <w:r>
          <w:rPr>
            <w:rStyle w:val="Hipervnculo"/>
            <w:rFonts w:eastAsia="Times New Roman"/>
            <w:b/>
            <w:bCs/>
            <w:lang w:val="es-ES"/>
          </w:rPr>
          <w:t>Art. 16.-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Infracción flagrante</w:t>
      </w:r>
      <w:r>
        <w:rPr>
          <w:rFonts w:eastAsia="Times New Roman"/>
          <w:lang w:val="es-ES"/>
        </w:rPr>
        <w:t>.- Si una persona es sorprendida ejerciendo cualquiera de los tipos de violencia previstos en esta Ley será aprehendida por los agentes del orden y conducida de inmedi</w:t>
      </w:r>
      <w:r>
        <w:rPr>
          <w:rFonts w:eastAsia="Times New Roman"/>
          <w:lang w:val="es-ES"/>
        </w:rPr>
        <w:t>ato ante la autoridad competente para su juzgamiento.</w:t>
      </w:r>
    </w:p>
    <w:p w:rsidR="00000000" w:rsidRDefault="00653BBE">
      <w:pPr>
        <w:rPr>
          <w:rFonts w:eastAsia="Times New Roman"/>
          <w:lang w:val="es-ES"/>
        </w:rPr>
      </w:pPr>
      <w:hyperlink r:id="rId13" w:history="1">
        <w:r>
          <w:rPr>
            <w:rStyle w:val="Hipervnculo"/>
            <w:rFonts w:eastAsia="Times New Roman"/>
            <w:b/>
            <w:bCs/>
            <w:lang w:val="es-ES"/>
          </w:rPr>
          <w:t>Art. 17.-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Control de Órdenes Judiciales</w:t>
      </w:r>
      <w:r>
        <w:rPr>
          <w:rFonts w:eastAsia="Times New Roman"/>
          <w:lang w:val="es-ES"/>
        </w:rPr>
        <w:t>.- Los jueces de instrucción vigilarán y exigirán el cumplimiento de sus disposiciones de amparo, aun con la intervenci</w:t>
      </w:r>
      <w:r>
        <w:rPr>
          <w:rFonts w:eastAsia="Times New Roman"/>
          <w:lang w:val="es-ES"/>
        </w:rPr>
        <w:t xml:space="preserve">ón de la fuerza pública. La violación de las órdenes de los jueces de instrucción sobre esta materia se considerará infracción punible y pesquisable de oficio, será reprimida con prisión correccional de uno a seis meses, según la gravedad de la infracción </w:t>
      </w:r>
      <w:r>
        <w:rPr>
          <w:rFonts w:eastAsia="Times New Roman"/>
          <w:lang w:val="es-ES"/>
        </w:rPr>
        <w:t>y su juzgamiento corresponderá a los jueces y tribunales de lo Penal.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JUZGAMIENTO ANTE LOS JUECES DE FAMILIA</w:t>
      </w:r>
    </w:p>
    <w:p w:rsidR="00000000" w:rsidRDefault="00653BBE">
      <w:pPr>
        <w:rPr>
          <w:rFonts w:eastAsia="Times New Roman"/>
          <w:lang w:val="es-ES"/>
        </w:rPr>
      </w:pPr>
      <w:hyperlink r:id="rId14" w:history="1">
        <w:r>
          <w:rPr>
            <w:rStyle w:val="Hipervnculo"/>
            <w:rFonts w:eastAsia="Times New Roman"/>
            <w:b/>
            <w:bCs/>
            <w:lang w:val="es-ES"/>
          </w:rPr>
          <w:t>Art. 18.-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Solicitud o demanda</w:t>
      </w:r>
      <w:r>
        <w:rPr>
          <w:rFonts w:eastAsia="Times New Roman"/>
          <w:lang w:val="es-ES"/>
        </w:rPr>
        <w:t xml:space="preserve">.- </w:t>
      </w:r>
      <w:r>
        <w:rPr>
          <w:rFonts w:eastAsia="Times New Roman"/>
          <w:lang w:val="es-ES"/>
        </w:rPr>
        <w:t>En caso de que las solicitudes de amparo o demandas se presentaren en forma verbal, el Juez dispondrá que se las reduzca a escrito.</w:t>
      </w:r>
    </w:p>
    <w:p w:rsidR="00000000" w:rsidRDefault="00653BBE">
      <w:pPr>
        <w:rPr>
          <w:rFonts w:eastAsia="Times New Roman"/>
          <w:lang w:val="es-ES"/>
        </w:rPr>
      </w:pPr>
      <w:hyperlink r:id="rId15" w:history="1">
        <w:r>
          <w:rPr>
            <w:rStyle w:val="Hipervnculo"/>
            <w:rFonts w:eastAsia="Times New Roman"/>
            <w:b/>
            <w:bCs/>
            <w:lang w:val="es-ES"/>
          </w:rPr>
          <w:t>Art. 19.-</w:t>
        </w:r>
      </w:hyperlink>
      <w:r>
        <w:rPr>
          <w:rFonts w:eastAsia="Times New Roman"/>
          <w:b/>
          <w:bCs/>
          <w:lang w:val="es-ES"/>
        </w:rPr>
        <w:t xml:space="preserve"> Citación</w:t>
      </w:r>
      <w:r>
        <w:rPr>
          <w:rFonts w:eastAsia="Times New Roman"/>
          <w:lang w:val="es-ES"/>
        </w:rPr>
        <w:t xml:space="preserve">.- Sin perjuicio de dictar las medidas de amparo previstas en </w:t>
      </w:r>
      <w:r>
        <w:rPr>
          <w:rFonts w:eastAsia="Times New Roman"/>
          <w:lang w:val="es-ES"/>
        </w:rPr>
        <w:t>el artículo 13, el juez mandará citar al demandado, con la copia de la petición o demanda en el lugar que se indique y luego ordenará de inmediato la práctica de los exámenes periciales y más diligencias probatorias que el caso requiera.</w:t>
      </w:r>
    </w:p>
    <w:p w:rsidR="00000000" w:rsidRDefault="00653BBE">
      <w:pPr>
        <w:rPr>
          <w:rFonts w:eastAsia="Times New Roman"/>
          <w:lang w:val="es-ES"/>
        </w:rPr>
      </w:pPr>
      <w:hyperlink r:id="rId16" w:history="1">
        <w:r>
          <w:rPr>
            <w:rStyle w:val="Hipervnculo"/>
            <w:rFonts w:eastAsia="Times New Roman"/>
            <w:b/>
            <w:bCs/>
            <w:lang w:val="es-ES"/>
          </w:rPr>
          <w:t>Art. 20.-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Convocatoria a audiencia de conciliación.</w:t>
      </w:r>
      <w:r>
        <w:rPr>
          <w:rFonts w:eastAsia="Times New Roman"/>
          <w:lang w:val="es-ES"/>
        </w:rPr>
        <w:t>- En la citación, el Juez señalará día y hora para la audiencia que tendrá lugar dentro de un término no menor de dos días ni mayor de ocho, contados desde la fecha de la citación</w:t>
      </w:r>
      <w:r>
        <w:rPr>
          <w:rFonts w:eastAsia="Times New Roman"/>
          <w:lang w:val="es-ES"/>
        </w:rPr>
        <w:t>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No podrá diferirse esta audiencia sino a solicitud expresa y conjunta de ambas partes.</w:t>
      </w:r>
    </w:p>
    <w:p w:rsidR="00000000" w:rsidRDefault="00653BBE">
      <w:pPr>
        <w:rPr>
          <w:rFonts w:eastAsia="Times New Roman"/>
          <w:lang w:val="es-ES"/>
        </w:rPr>
      </w:pPr>
      <w:hyperlink r:id="rId17" w:history="1">
        <w:r>
          <w:rPr>
            <w:rStyle w:val="Hipervnculo"/>
            <w:rFonts w:eastAsia="Times New Roman"/>
            <w:b/>
            <w:bCs/>
            <w:lang w:val="es-ES"/>
          </w:rPr>
          <w:t>Art. 21.-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Audiencia de Conciliación y Juzgamiento.</w:t>
      </w:r>
      <w:r>
        <w:rPr>
          <w:rFonts w:eastAsia="Times New Roman"/>
          <w:lang w:val="es-ES"/>
        </w:rPr>
        <w:t>- La audiencia de conciliación empezará con la contestación a la petició</w:t>
      </w:r>
      <w:r>
        <w:rPr>
          <w:rFonts w:eastAsia="Times New Roman"/>
          <w:lang w:val="es-ES"/>
        </w:rPr>
        <w:t>n o demanda. El Juez procurará la solución del conflicto y de llegarse a ésta, aprobará el acuerdo mediante resolución dictada en la misma diligencia, sin perjuicio de disponer las medidas rehabilitadoras y mantener las de amparo que fueren del caso.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De n</w:t>
      </w:r>
      <w:r>
        <w:rPr>
          <w:rFonts w:eastAsia="Times New Roman"/>
          <w:lang w:val="es-ES"/>
        </w:rPr>
        <w:t>o obtenerse la conciliación o en rebeldía de la parte demandada, el juez abrirá la causa a prueba por el término de seis días, dentro del cual se practicarán las que soliciten las partes y las que él estime convenientes.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Concluido el término de prueba y p</w:t>
      </w:r>
      <w:r>
        <w:rPr>
          <w:rFonts w:eastAsia="Times New Roman"/>
          <w:lang w:val="es-ES"/>
        </w:rPr>
        <w:t>resentados los informes periciales, dictará de inmediato la resolución que corresponda, la misma que no será objeto de recurso alguno.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No obstante, el juez podrá revocar o reformar la providencia en que se hubiere resuelto el caso planteado, si para ello </w:t>
      </w:r>
      <w:r>
        <w:rPr>
          <w:rFonts w:eastAsia="Times New Roman"/>
          <w:lang w:val="es-ES"/>
        </w:rPr>
        <w:t>hubiera fundamento razonable, basado en nuevos elementos probatorios. Para el efecto, con notificación de parte contraria, podrá solicitarse la práctica de las correspondientes pruebas.</w:t>
      </w:r>
    </w:p>
    <w:p w:rsidR="00000000" w:rsidRDefault="00653BBE">
      <w:pPr>
        <w:rPr>
          <w:rFonts w:eastAsia="Times New Roman"/>
          <w:lang w:val="es-ES"/>
        </w:rPr>
      </w:pPr>
      <w:hyperlink r:id="rId18" w:history="1">
        <w:r>
          <w:rPr>
            <w:rStyle w:val="Hipervnculo"/>
            <w:rFonts w:eastAsia="Times New Roman"/>
            <w:b/>
            <w:bCs/>
            <w:lang w:val="es-ES"/>
          </w:rPr>
          <w:t>Art. 22.-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Sanciones</w:t>
      </w:r>
      <w:r>
        <w:rPr>
          <w:rFonts w:eastAsia="Times New Roman"/>
          <w:lang w:val="es-ES"/>
        </w:rPr>
        <w:t xml:space="preserve">.- </w:t>
      </w:r>
      <w:r>
        <w:rPr>
          <w:rFonts w:eastAsia="Times New Roman"/>
          <w:lang w:val="es-ES"/>
        </w:rPr>
        <w:t>El Juez al resolver la causa, de probarse la responsabilidad, sancionará al agresor con el pago de indemnización de daños y perjuicios de uno a quince salarios mínimos vitales, de acuerdo con la gravedad de los resultados, que será causal de divorcio.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Cua</w:t>
      </w:r>
      <w:r>
        <w:rPr>
          <w:rFonts w:eastAsia="Times New Roman"/>
          <w:lang w:val="es-ES"/>
        </w:rPr>
        <w:t>ndo la violencia hubiere ocasionado pérdida o destrucción de bienes, el agresor será obligado a reponerlos en numerario o en especie. Esta resolución tendrá el valor de título ejecutivo.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En el evento de que el sancionado careciera de recursos económicos, </w:t>
      </w:r>
      <w:r>
        <w:rPr>
          <w:rFonts w:eastAsia="Times New Roman"/>
          <w:lang w:val="es-ES"/>
        </w:rPr>
        <w:t>la sanción pecuniaria se sustituirá con trabajos en las redes de apoyo comunitario que mantiene el Ministerio de Bienestar Social, por el tiempo mínimo de uno a dos meses, dentro de un horario que no altere sus labores remuneradas.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Según la actual e</w:t>
      </w:r>
      <w:r>
        <w:rPr>
          <w:rFonts w:eastAsia="Times New Roman"/>
          <w:i/>
          <w:iCs/>
          <w:lang w:val="es-ES"/>
        </w:rPr>
        <w:t>structura ministerial establecida en el Art. 16 del Estatuto del Régimen Jurídico y Administrativo de la Función Ejecutiva, la denominación del Ministerio de Bienestar Social cambia a Ministerio de Inclusión Económica y Social (R.O. 158-S, 29-VIII-2007).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DEL JUZGAMIENTO DE LOS DELITOS</w:t>
      </w:r>
    </w:p>
    <w:p w:rsidR="00000000" w:rsidRDefault="00653BBE">
      <w:pPr>
        <w:rPr>
          <w:rFonts w:eastAsia="Times New Roman"/>
          <w:lang w:val="es-ES"/>
        </w:rPr>
      </w:pPr>
      <w:hyperlink r:id="rId19" w:history="1">
        <w:r>
          <w:rPr>
            <w:rStyle w:val="Hipervnculo"/>
            <w:rFonts w:eastAsia="Times New Roman"/>
            <w:b/>
            <w:bCs/>
            <w:lang w:val="es-ES"/>
          </w:rPr>
          <w:t>Art. 23.-</w:t>
        </w:r>
      </w:hyperlink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Juzgamiento</w:t>
      </w:r>
      <w:r>
        <w:rPr>
          <w:rFonts w:eastAsia="Times New Roman"/>
          <w:lang w:val="es-ES"/>
        </w:rPr>
        <w:t xml:space="preserve">.- El Juzgamiento de los actos de violencia física y sexual que constituyan delitos, y que sean cometidos en el ámbito intrafamiliar, corresponderá </w:t>
      </w:r>
      <w:r>
        <w:rPr>
          <w:rFonts w:eastAsia="Times New Roman"/>
          <w:lang w:val="es-ES"/>
        </w:rPr>
        <w:t>a los jueces y tribunales de lo Penal, sujetándose a las normas previstas en el Código de Procedimiento Penal.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Se considerará agravante la condición de familiar, de los sujetos mencionados en el artículo 11 de esta Ley, además de las determinadas en los a</w:t>
      </w:r>
      <w:r>
        <w:rPr>
          <w:rFonts w:eastAsia="Times New Roman"/>
          <w:lang w:val="es-ES"/>
        </w:rPr>
        <w:t>rtículos 30, 37 y 38 del Código Penal.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DIRECCIÓN NACIONAL DE LA MUJER Y DE LAS POLÍTICAS REHABILITADORAS Y ORGANISMOS AUXILIARES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b/>
          <w:bCs/>
          <w:i/>
          <w:iCs/>
          <w:u w:val="single"/>
          <w:lang w:val="es-ES"/>
        </w:rPr>
        <w:br/>
      </w:r>
      <w:r>
        <w:rPr>
          <w:rFonts w:eastAsia="Times New Roman"/>
          <w:i/>
          <w:iCs/>
          <w:lang w:val="es-ES"/>
        </w:rPr>
        <w:t>- La Dirección Nacional de la Mujer corresponde actualmente al Consejo Nacional de Mujeres por disposic</w:t>
      </w:r>
      <w:r>
        <w:rPr>
          <w:rFonts w:eastAsia="Times New Roman"/>
          <w:i/>
          <w:iCs/>
          <w:lang w:val="es-ES"/>
        </w:rPr>
        <w:t>ión del D.E. 764, R.O. 182-S, 28-X-1997.</w:t>
      </w:r>
      <w:r>
        <w:rPr>
          <w:rFonts w:eastAsia="Times New Roman"/>
          <w:i/>
          <w:iCs/>
          <w:lang w:val="es-ES"/>
        </w:rPr>
        <w:br/>
        <w:t>- Mediante el Art. 1 del D.E. 1733 (R.O. 601, 29-V-2009) se deroga el Decreto que crea el Consejo Nacional de Mujeres (CONAMU), creándose la Comisión de Transición para la Definición de la Institucionalidad Pública,</w:t>
      </w:r>
      <w:r>
        <w:rPr>
          <w:rFonts w:eastAsia="Times New Roman"/>
          <w:i/>
          <w:iCs/>
          <w:lang w:val="es-ES"/>
        </w:rPr>
        <w:t xml:space="preserve"> la cual dentro de sus atribuciones tendrá que preparar la reforma normativa para la creación del Consejo Nacional de Igualdad de Género.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24.- </w:t>
      </w:r>
      <w:r>
        <w:rPr>
          <w:rFonts w:eastAsia="Times New Roman"/>
          <w:b/>
          <w:bCs/>
          <w:lang w:val="es-ES"/>
        </w:rPr>
        <w:t>La Dirección Nacional de la Mujer</w:t>
      </w:r>
      <w:r>
        <w:rPr>
          <w:rFonts w:eastAsia="Times New Roman"/>
          <w:lang w:val="es-ES"/>
        </w:rPr>
        <w:t>.- Le corresponde al Ministerio de Bienestar Social por intermedio de la Di</w:t>
      </w:r>
      <w:r>
        <w:rPr>
          <w:rFonts w:eastAsia="Times New Roman"/>
          <w:lang w:val="es-ES"/>
        </w:rPr>
        <w:t>rección Nacional de la Mujer: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 Dictar las políticas, coordinar las acciones y elaborar los planes y programas tendientes a prevenir y erradicar la violencia contra la mujer y la familia;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2. Establecer albergues temporales, casas refugios, centros de re</w:t>
      </w:r>
      <w:r>
        <w:rPr>
          <w:rFonts w:eastAsia="Times New Roman"/>
          <w:lang w:val="es-ES"/>
        </w:rPr>
        <w:t>educación o rehabilitación del agresor y de los miembros de familia afectados. Tales establecimientos podrán crearse como parte integrante de la Dirección o mediante convenios, contrato o financiamiento de organismos internacionales, del Estado, seccionale</w:t>
      </w:r>
      <w:r>
        <w:rPr>
          <w:rFonts w:eastAsia="Times New Roman"/>
          <w:lang w:val="es-ES"/>
        </w:rPr>
        <w:t>s, organizaciones religiosas, educativas, organizaciones no gubernamentales y cualquier otra clase de personas naturales o jurídicas debidamente calificadas.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Estos establecimientos contarán con profesionales y técnicas/os especializadas/os en la materia;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3. Programar, organizar y ejecutar actividades educativas para padres y hogares, con la finalidad de erradicar la violencia;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4. Impulsar y coordinar programas de capacitación con perspectiva de género para el personal involucrado de la Función Judicial y</w:t>
      </w:r>
      <w:r>
        <w:rPr>
          <w:rFonts w:eastAsia="Times New Roman"/>
          <w:lang w:val="es-ES"/>
        </w:rPr>
        <w:t xml:space="preserve"> Ministerio de Gobierno;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5. Llevar un banco de datos a nivel nacional sobre la violencia contra la mujer y la familia y mantener información cualitativa sobre la problemática;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6. Para que las políticas rehabilitadoras tengan asidero, deberá haber el f</w:t>
      </w:r>
      <w:r>
        <w:rPr>
          <w:rFonts w:eastAsia="Times New Roman"/>
          <w:lang w:val="es-ES"/>
        </w:rPr>
        <w:t>inanciamiento específico ya sea del Presupuesto del Gobierno Central o de cualquier otra fuente.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Según la actual estructura ministerial establecida en el Art. 16 del Estatuto del Régimen Jurídico y Administrativo de la Función Ejecutiva, la denominación del Ministerio de Bienestar Social cambia a Ministerio de Inclusión Económica y Social (R.O. 158-S,</w:t>
      </w:r>
      <w:r>
        <w:rPr>
          <w:rFonts w:eastAsia="Times New Roman"/>
          <w:i/>
          <w:iCs/>
          <w:lang w:val="es-ES"/>
        </w:rPr>
        <w:t xml:space="preserve"> 29-VIII-2007).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25.- </w:t>
      </w:r>
      <w:r>
        <w:rPr>
          <w:rFonts w:eastAsia="Times New Roman"/>
          <w:b/>
          <w:bCs/>
          <w:lang w:val="es-ES"/>
        </w:rPr>
        <w:t>Del Fuero</w:t>
      </w:r>
      <w:r>
        <w:rPr>
          <w:rFonts w:eastAsia="Times New Roman"/>
          <w:lang w:val="es-ES"/>
        </w:rPr>
        <w:t>.- Esta Ley no reconoce fuero en caso de violencia física, psicológica y sexual. En lo demás se estará a lo dispuesto en la Constitución Política de la República, en el Código de Proced</w:t>
      </w:r>
      <w:r>
        <w:rPr>
          <w:rFonts w:eastAsia="Times New Roman"/>
          <w:lang w:val="es-ES"/>
        </w:rPr>
        <w:t>imiento Penal y la Ley Orgánica de la Función Judicial.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Por Disposición Derogatoria de la Constitución de la República del Ecuador (R.O. 449, 20-X-2008), se abroga la Constitución Política de la República del Ecuador (R.O. 1, 11-VIII-1998), y toda</w:t>
      </w:r>
      <w:r>
        <w:rPr>
          <w:rFonts w:eastAsia="Times New Roman"/>
          <w:i/>
          <w:iCs/>
          <w:lang w:val="es-ES"/>
        </w:rPr>
        <w:t xml:space="preserve"> norma que se oponga al nuevo marco constitucional.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La Ley Orgánica de la Función Judicial fue derogada por el Código Orgánico de la Función Judicial (R.O. 544-S, 9-III-2009).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26.-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Normas Supletorias</w:t>
      </w:r>
      <w:r>
        <w:rPr>
          <w:rFonts w:eastAsia="Times New Roman"/>
          <w:lang w:val="es-ES"/>
        </w:rPr>
        <w:t xml:space="preserve">.- En lo que no estuviere previsto en esta Ley se </w:t>
      </w:r>
      <w:r>
        <w:rPr>
          <w:rFonts w:eastAsia="Times New Roman"/>
          <w:lang w:val="es-ES"/>
        </w:rPr>
        <w:t>aplicarán las disposiciones de los códigos Civil, Penal, de Menores, de Procedimiento Civil, de Procedimiento Penal además de la Ley Orgánica de la Función Judicial.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Ley Orgánica de la Función Judicial fue derogada por el Código Orgánico de la Fu</w:t>
      </w:r>
      <w:r>
        <w:rPr>
          <w:rFonts w:eastAsia="Times New Roman"/>
          <w:i/>
          <w:iCs/>
          <w:lang w:val="es-ES"/>
        </w:rPr>
        <w:t>nción Judicial (R.O. 544-S, 9-III-2009).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Disposición Transitoria.- </w:t>
      </w:r>
      <w:r>
        <w:rPr>
          <w:rFonts w:eastAsia="Times New Roman"/>
          <w:lang w:val="es-ES"/>
        </w:rPr>
        <w:t>Hasta que se nombren los comisarios y jueces de la mujer y la familia el conocimiento y la resolución de las causas contempladas en esta Ley corresponderá a los intendentes y comisarios nac</w:t>
      </w:r>
      <w:r>
        <w:rPr>
          <w:rFonts w:eastAsia="Times New Roman"/>
          <w:lang w:val="es-ES"/>
        </w:rPr>
        <w:t>ionales, sin perjuicio de la competencia de los jueces y tribunales de lo Penal respecto de las infracciones que constituyan delitos.</w:t>
      </w:r>
    </w:p>
    <w:p w:rsidR="00000000" w:rsidRDefault="00653BB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</w:t>
      </w:r>
      <w:r>
        <w:rPr>
          <w:rFonts w:eastAsia="Times New Roman"/>
          <w:lang w:val="es-ES"/>
        </w:rPr>
        <w:t>.- La presente Ley regirá en todo el territorio nacional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 en la ciudad de San Francisco de Quito, Distrito Metropolitano, en la Sala de Sesiones del Plenario de las Comisiones Legislativas del Congreso Nacional del Ecuador, a los catorce días del mes de noviembre de mil novecientos noventa y cinco.</w:t>
      </w:r>
    </w:p>
    <w:p w:rsidR="00000000" w:rsidRDefault="00653BB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</w:t>
      </w:r>
      <w:r>
        <w:rPr>
          <w:rFonts w:eastAsia="Times New Roman"/>
          <w:b/>
          <w:bCs/>
          <w:sz w:val="36"/>
          <w:szCs w:val="36"/>
          <w:lang w:val="es-ES"/>
        </w:rPr>
        <w:t>S DE LA PRESENTE EDICIÓN DE LA LEY CONTRA LA VIOLENCIA A LA MUJER Y LA FAMILIA</w:t>
      </w:r>
    </w:p>
    <w:p w:rsidR="00653BBE" w:rsidRDefault="00653BB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103 (Registro Oficial 839, 11-XII-1995)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2.- Ley s/n (Suplemento del Registro Oficial 544, 9-III-2009).</w:t>
      </w:r>
    </w:p>
    <w:sectPr w:rsidR="00653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8B3BE7"/>
    <w:rsid w:val="00653BBE"/>
    <w:rsid w:val="008B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ncular(210292)" TargetMode="External"/><Relationship Id="rId13" Type="http://schemas.openxmlformats.org/officeDocument/2006/relationships/hyperlink" Target="javascript:Vincular(210287)" TargetMode="External"/><Relationship Id="rId18" Type="http://schemas.openxmlformats.org/officeDocument/2006/relationships/hyperlink" Target="javascript:Vincular(210282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Vincular(210293)" TargetMode="External"/><Relationship Id="rId12" Type="http://schemas.openxmlformats.org/officeDocument/2006/relationships/hyperlink" Target="javascript:Vincular(210288)" TargetMode="External"/><Relationship Id="rId17" Type="http://schemas.openxmlformats.org/officeDocument/2006/relationships/hyperlink" Target="javascript:Vincular(210283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incular(210284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incular(210294)" TargetMode="External"/><Relationship Id="rId11" Type="http://schemas.openxmlformats.org/officeDocument/2006/relationships/hyperlink" Target="javascript:Vincular(210289)" TargetMode="External"/><Relationship Id="rId5" Type="http://schemas.openxmlformats.org/officeDocument/2006/relationships/hyperlink" Target="javascript:Vincular(210295)" TargetMode="External"/><Relationship Id="rId15" Type="http://schemas.openxmlformats.org/officeDocument/2006/relationships/hyperlink" Target="javascript:Vincular(210285)" TargetMode="External"/><Relationship Id="rId10" Type="http://schemas.openxmlformats.org/officeDocument/2006/relationships/hyperlink" Target="javascript:Vincular(210290)" TargetMode="External"/><Relationship Id="rId19" Type="http://schemas.openxmlformats.org/officeDocument/2006/relationships/hyperlink" Target="javascript:Vincular(210281)" TargetMode="External"/><Relationship Id="rId4" Type="http://schemas.openxmlformats.org/officeDocument/2006/relationships/hyperlink" Target="javascript:Vincular(210296)" TargetMode="External"/><Relationship Id="rId9" Type="http://schemas.openxmlformats.org/officeDocument/2006/relationships/hyperlink" Target="javascript:Vincular(210291)" TargetMode="External"/><Relationship Id="rId14" Type="http://schemas.openxmlformats.org/officeDocument/2006/relationships/hyperlink" Target="javascript:Vincular(210286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2740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2012-12-28T22:32:00Z</dcterms:created>
  <dcterms:modified xsi:type="dcterms:W3CDTF">2012-12-28T22:32:00Z</dcterms:modified>
</cp:coreProperties>
</file>