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90A80">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DESARROLLO DE VIALIDAD AGROPECUARIA Y FOMENTO DE MANO DE OBRA</w:t>
      </w:r>
    </w:p>
    <w:p w:rsidR="00000000" w:rsidRDefault="00C90A80">
      <w:pPr>
        <w:jc w:val="center"/>
        <w:rPr>
          <w:rFonts w:eastAsia="Times New Roman"/>
          <w:lang w:val="es-ES"/>
        </w:rPr>
      </w:pPr>
      <w:r>
        <w:rPr>
          <w:rFonts w:eastAsia="Times New Roman"/>
          <w:lang w:val="es-ES"/>
        </w:rPr>
        <w:t>(Ley No. 138)</w:t>
      </w:r>
    </w:p>
    <w:p w:rsidR="00000000" w:rsidRDefault="00C90A80">
      <w:pPr>
        <w:rPr>
          <w:rFonts w:eastAsia="Times New Roman"/>
          <w:sz w:val="20"/>
          <w:szCs w:val="20"/>
          <w:lang w:val="es-ES"/>
        </w:rPr>
      </w:pPr>
      <w:r>
        <w:rPr>
          <w:rFonts w:eastAsia="Times New Roman"/>
          <w:sz w:val="20"/>
          <w:szCs w:val="20"/>
          <w:lang w:val="es-ES"/>
        </w:rPr>
        <w:br/>
      </w:r>
      <w:r>
        <w:rPr>
          <w:rFonts w:eastAsia="Times New Roman"/>
          <w:sz w:val="20"/>
          <w:szCs w:val="20"/>
          <w:lang w:val="es-ES"/>
        </w:rPr>
        <w:br/>
        <w:t>LA CÁMARA NACIONAL DE REPRESENTANTES</w:t>
      </w:r>
      <w:r>
        <w:rPr>
          <w:rFonts w:eastAsia="Times New Roman"/>
          <w:sz w:val="20"/>
          <w:szCs w:val="20"/>
          <w:lang w:val="es-ES"/>
        </w:rPr>
        <w:br/>
      </w:r>
      <w:r>
        <w:rPr>
          <w:rFonts w:eastAsia="Times New Roman"/>
          <w:sz w:val="20"/>
          <w:szCs w:val="20"/>
          <w:lang w:val="es-ES"/>
        </w:rPr>
        <w:br/>
        <w:t>EL PLENARIO DE LAS COMISIONES LEGISLATIVAS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sz w:val="20"/>
          <w:szCs w:val="20"/>
          <w:lang w:val="es-ES"/>
        </w:rPr>
        <w:br/>
      </w:r>
      <w:r>
        <w:rPr>
          <w:rFonts w:eastAsia="Times New Roman"/>
          <w:sz w:val="20"/>
          <w:szCs w:val="20"/>
          <w:lang w:val="es-ES"/>
        </w:rPr>
        <w:br/>
      </w:r>
      <w:r>
        <w:rPr>
          <w:rFonts w:eastAsia="Times New Roman"/>
          <w:sz w:val="20"/>
          <w:szCs w:val="20"/>
          <w:lang w:val="es-ES"/>
        </w:rPr>
        <w:t>Que una de las formas de tratar de superar la crisis económica por la que atraviesa la economía nacional, es la de ampliar la frontera agrícola interna mediante la realización de un intenso plan de infraestructura vial que incorpore zonas agrícolas actualm</w:t>
      </w:r>
      <w:r>
        <w:rPr>
          <w:rFonts w:eastAsia="Times New Roman"/>
          <w:sz w:val="20"/>
          <w:szCs w:val="20"/>
          <w:lang w:val="es-ES"/>
        </w:rPr>
        <w:t>ente aisladas de la actividad productiva, mediante la utilización exclusiva de recursos propios;</w:t>
      </w:r>
      <w:r>
        <w:rPr>
          <w:rFonts w:eastAsia="Times New Roman"/>
          <w:sz w:val="20"/>
          <w:szCs w:val="20"/>
          <w:lang w:val="es-ES"/>
        </w:rPr>
        <w:br/>
      </w:r>
      <w:r>
        <w:rPr>
          <w:rFonts w:eastAsia="Times New Roman"/>
          <w:sz w:val="20"/>
          <w:szCs w:val="20"/>
          <w:lang w:val="es-ES"/>
        </w:rPr>
        <w:br/>
        <w:t>Que la ejecución de un plan vial de caminos vecinales, puentes, carreteras de penetración, de incorporación de tierras agrícolas y de consolidación de las zon</w:t>
      </w:r>
      <w:r>
        <w:rPr>
          <w:rFonts w:eastAsia="Times New Roman"/>
          <w:sz w:val="20"/>
          <w:szCs w:val="20"/>
          <w:lang w:val="es-ES"/>
        </w:rPr>
        <w:t>as fronterizas, posibilitará la ocupación de numerosa mano de obra, tanto en la industria de la construcción vial, como en las nuevas zonas agrícolas;</w:t>
      </w:r>
      <w:r>
        <w:rPr>
          <w:rFonts w:eastAsia="Times New Roman"/>
          <w:sz w:val="20"/>
          <w:szCs w:val="20"/>
          <w:lang w:val="es-ES"/>
        </w:rPr>
        <w:br/>
      </w:r>
      <w:r>
        <w:rPr>
          <w:rFonts w:eastAsia="Times New Roman"/>
          <w:sz w:val="20"/>
          <w:szCs w:val="20"/>
          <w:lang w:val="es-ES"/>
        </w:rPr>
        <w:br/>
        <w:t>Que la rigurosa estación invernal que ha soportado el país, y en particular la Región Litoral, ha determ</w:t>
      </w:r>
      <w:r>
        <w:rPr>
          <w:rFonts w:eastAsia="Times New Roman"/>
          <w:sz w:val="20"/>
          <w:szCs w:val="20"/>
          <w:lang w:val="es-ES"/>
        </w:rPr>
        <w:t>inado la destrucción o deterioro de la red vial fundamental, lo que exige su inmediata reconstrucción y mejoramiento para restablecer el normal desarrollo de las actividades comerciales del país; y,</w:t>
      </w:r>
      <w:r>
        <w:rPr>
          <w:rFonts w:eastAsia="Times New Roman"/>
          <w:sz w:val="20"/>
          <w:szCs w:val="20"/>
          <w:lang w:val="es-ES"/>
        </w:rPr>
        <w:br/>
      </w:r>
      <w:r>
        <w:rPr>
          <w:rFonts w:eastAsia="Times New Roman"/>
          <w:sz w:val="20"/>
          <w:szCs w:val="20"/>
          <w:lang w:val="es-ES"/>
        </w:rPr>
        <w:br/>
        <w:t>En uso de las atribuciones que le confiere el Art. 66 (1</w:t>
      </w:r>
      <w:r>
        <w:rPr>
          <w:rFonts w:eastAsia="Times New Roman"/>
          <w:sz w:val="20"/>
          <w:szCs w:val="20"/>
          <w:lang w:val="es-ES"/>
        </w:rPr>
        <w:t>20, num. 6) de la Constitución Política de la República, expide la siguiente</w:t>
      </w:r>
      <w:r>
        <w:rPr>
          <w:rFonts w:eastAsia="Times New Roman"/>
          <w:sz w:val="20"/>
          <w:szCs w:val="20"/>
          <w:lang w:val="es-ES"/>
        </w:rPr>
        <w:br/>
      </w:r>
      <w:r>
        <w:rPr>
          <w:rFonts w:eastAsia="Times New Roman"/>
          <w:sz w:val="20"/>
          <w:szCs w:val="20"/>
          <w:lang w:val="es-ES"/>
        </w:rPr>
        <w:br/>
        <w:t>LEY DE DESARROLLO DE VIALIDAD AGROPECUARIA Y DE FOMENTO DE MANO DE OBRA</w:t>
      </w:r>
    </w:p>
    <w:p w:rsidR="00000000" w:rsidRDefault="00C90A80">
      <w:pPr>
        <w:rPr>
          <w:rFonts w:eastAsia="Times New Roman"/>
          <w:lang w:val="es-ES"/>
        </w:rPr>
      </w:pPr>
      <w:r>
        <w:rPr>
          <w:rFonts w:eastAsia="Times New Roman"/>
          <w:b/>
          <w:bCs/>
          <w:lang w:val="es-ES"/>
        </w:rPr>
        <w:t xml:space="preserve">Art. 1.- </w:t>
      </w:r>
      <w:r>
        <w:rPr>
          <w:rFonts w:eastAsia="Times New Roman"/>
          <w:lang w:val="es-ES"/>
        </w:rPr>
        <w:t>El siguiente Plan de Vialidad Agropecuaria y de Fomento de Mano de Obra será ejecutado por el Min</w:t>
      </w:r>
      <w:r>
        <w:rPr>
          <w:rFonts w:eastAsia="Times New Roman"/>
          <w:lang w:val="es-ES"/>
        </w:rPr>
        <w:t>isterio de Obras Públicas y comprenderá, en su primera etapa, los siguientes programas: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i/>
          <w:iCs/>
          <w:lang w:val="es-ES"/>
        </w:rPr>
        <w:br/>
        <w:t>Según la actual estructura ministerial establecida en el Art. 16 del Estatuto del Régimen Jurídico y Administrativo de la Función Ejecutiva, el Ministerio de Tra</w:t>
      </w:r>
      <w:r>
        <w:rPr>
          <w:rFonts w:eastAsia="Times New Roman"/>
          <w:i/>
          <w:iCs/>
          <w:lang w:val="es-ES"/>
        </w:rPr>
        <w:t>nsporte y Obras Públicas sustituye al Ministerio de Obras Públicas y Comunicaciones.</w:t>
      </w:r>
      <w:r>
        <w:rPr>
          <w:rFonts w:eastAsia="Times New Roman"/>
          <w:lang w:val="es-ES"/>
        </w:rPr>
        <w:br/>
      </w:r>
      <w:r>
        <w:rPr>
          <w:rFonts w:eastAsia="Times New Roman"/>
          <w:lang w:val="es-ES"/>
        </w:rPr>
        <w:br/>
        <w:t>I. Mejoramiento, rectificación y reparación de las carreteras de la red fundamental;</w:t>
      </w:r>
      <w:r>
        <w:rPr>
          <w:rFonts w:eastAsia="Times New Roman"/>
          <w:lang w:val="es-ES"/>
        </w:rPr>
        <w:br/>
      </w:r>
      <w:r>
        <w:rPr>
          <w:rFonts w:eastAsia="Times New Roman"/>
          <w:lang w:val="es-ES"/>
        </w:rPr>
        <w:br/>
        <w:t>II. Construcción de carreteras de penetración y de incorporación de nuevas áreas agr</w:t>
      </w:r>
      <w:r>
        <w:rPr>
          <w:rFonts w:eastAsia="Times New Roman"/>
          <w:lang w:val="es-ES"/>
        </w:rPr>
        <w:t>ícolas, que cuentan con estudios determinados;</w:t>
      </w:r>
      <w:r>
        <w:rPr>
          <w:rFonts w:eastAsia="Times New Roman"/>
          <w:lang w:val="es-ES"/>
        </w:rPr>
        <w:br/>
      </w:r>
      <w:r>
        <w:rPr>
          <w:rFonts w:eastAsia="Times New Roman"/>
          <w:lang w:val="es-ES"/>
        </w:rPr>
        <w:br/>
        <w:t>III. Planificación y terminación de la vía troncal de la Costa, en el sector de Santo Domingo de los Colorados-Empalme-Ibarra-San Lorenzo; Esmeraldas-Manabí; Esmeraldas-San Lorenzo-Borbón-Mataje;</w:t>
      </w:r>
      <w:r>
        <w:rPr>
          <w:rFonts w:eastAsia="Times New Roman"/>
          <w:lang w:val="es-ES"/>
        </w:rPr>
        <w:br/>
      </w:r>
      <w:r>
        <w:rPr>
          <w:rFonts w:eastAsia="Times New Roman"/>
          <w:lang w:val="es-ES"/>
        </w:rPr>
        <w:br/>
        <w:t>IV. Constru</w:t>
      </w:r>
      <w:r>
        <w:rPr>
          <w:rFonts w:eastAsia="Times New Roman"/>
          <w:lang w:val="es-ES"/>
        </w:rPr>
        <w:t>cción de carreteras fronterizas;</w:t>
      </w:r>
      <w:r>
        <w:rPr>
          <w:rFonts w:eastAsia="Times New Roman"/>
          <w:lang w:val="es-ES"/>
        </w:rPr>
        <w:br/>
      </w:r>
      <w:r>
        <w:rPr>
          <w:rFonts w:eastAsia="Times New Roman"/>
          <w:lang w:val="es-ES"/>
        </w:rPr>
        <w:br/>
        <w:t>V. Construcción de caminos vecinales; y,</w:t>
      </w:r>
      <w:r>
        <w:rPr>
          <w:rFonts w:eastAsia="Times New Roman"/>
          <w:lang w:val="es-ES"/>
        </w:rPr>
        <w:br/>
      </w:r>
      <w:r>
        <w:rPr>
          <w:rFonts w:eastAsia="Times New Roman"/>
          <w:lang w:val="es-ES"/>
        </w:rPr>
        <w:br/>
        <w:t>VI. Construcción de puentes, que tienen diseños definitivos.</w:t>
      </w:r>
      <w:r>
        <w:rPr>
          <w:rFonts w:eastAsia="Times New Roman"/>
          <w:lang w:val="es-ES"/>
        </w:rPr>
        <w:br/>
      </w:r>
      <w:r>
        <w:rPr>
          <w:rFonts w:eastAsia="Times New Roman"/>
          <w:lang w:val="es-ES"/>
        </w:rPr>
        <w:br/>
        <w:t>Estas obras deberán ejecutarse en el plazo máximo de cinco años.</w:t>
      </w:r>
      <w:r>
        <w:rPr>
          <w:rFonts w:eastAsia="Times New Roman"/>
          <w:lang w:val="es-ES"/>
        </w:rPr>
        <w:br/>
      </w:r>
      <w:r>
        <w:rPr>
          <w:rFonts w:eastAsia="Times New Roman"/>
          <w:lang w:val="es-ES"/>
        </w:rPr>
        <w:br/>
        <w:t>La reparación y mejoramiento de las carreteras de la</w:t>
      </w:r>
      <w:r>
        <w:rPr>
          <w:rFonts w:eastAsia="Times New Roman"/>
          <w:lang w:val="es-ES"/>
        </w:rPr>
        <w:t xml:space="preserve"> red fundamental se las contratará de conformidad con el numeral segundo del Art. 5o. de la Ley de Licitaciones y Concurso de Ofertas. Las demás obras, se sujetarán a todas las disposiciones legales vigentes.</w:t>
      </w:r>
      <w:r>
        <w:rPr>
          <w:rFonts w:eastAsia="Times New Roman"/>
          <w:lang w:val="es-ES"/>
        </w:rPr>
        <w:br/>
      </w:r>
      <w:r>
        <w:rPr>
          <w:rFonts w:eastAsia="Times New Roman"/>
          <w:lang w:val="es-ES"/>
        </w:rPr>
        <w:br/>
        <w:t xml:space="preserve">El Plan de Vialidad Agropecuaria y de Fomento </w:t>
      </w:r>
      <w:r>
        <w:rPr>
          <w:rFonts w:eastAsia="Times New Roman"/>
          <w:lang w:val="es-ES"/>
        </w:rPr>
        <w:t>de Mano de Obra no esta comprendido en lo dispuesto por los Arts. 69, 70 y 117 de la Ley Orgánica de Administración Financiera y Control y, por tanto, se exceptúa del cumplimiento de los mismos.</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La Ley de Licitaciones fue derogada por las Disposi</w:t>
      </w:r>
      <w:r>
        <w:rPr>
          <w:rFonts w:eastAsia="Times New Roman"/>
          <w:i/>
          <w:iCs/>
          <w:lang w:val="es-ES"/>
        </w:rPr>
        <w:t>ciones Finales de la Ley de Contratación Pública (R.O. 501, 16-VIII-1990).</w:t>
      </w:r>
      <w:r>
        <w:rPr>
          <w:rFonts w:eastAsia="Times New Roman"/>
          <w:i/>
          <w:iCs/>
          <w:lang w:val="es-ES"/>
        </w:rPr>
        <w:br/>
        <w:t>- La Ley de Contratación Pública quedó expresamente derogada por la Disposición Derogatoria Primera de la Ley Orgánica del Sistema Nacional de Contratación Pública (Ley s/n, R.O. 39</w:t>
      </w:r>
      <w:r>
        <w:rPr>
          <w:rFonts w:eastAsia="Times New Roman"/>
          <w:i/>
          <w:iCs/>
          <w:lang w:val="es-ES"/>
        </w:rPr>
        <w:t>5-S, 4-VIII-2008).</w:t>
      </w:r>
    </w:p>
    <w:p w:rsidR="00000000" w:rsidRDefault="00C90A80">
      <w:pPr>
        <w:rPr>
          <w:rFonts w:eastAsia="Times New Roman"/>
          <w:lang w:val="es-ES"/>
        </w:rPr>
      </w:pPr>
      <w:r>
        <w:rPr>
          <w:rFonts w:eastAsia="Times New Roman"/>
          <w:b/>
          <w:bCs/>
          <w:lang w:val="es-ES"/>
        </w:rPr>
        <w:t>Art. 2.-</w:t>
      </w:r>
      <w:r>
        <w:rPr>
          <w:rFonts w:eastAsia="Times New Roman"/>
          <w:lang w:val="es-ES"/>
        </w:rPr>
        <w:t xml:space="preserve"> Los estudios necesarios para la ejecución de las obras de las etapas subsiguientes del Plan de Vialidad Agropecuaria y de Fomento de Mano de Obra, deberán ser elaborados durante la ejecución de la etapa precedente y también tend</w:t>
      </w:r>
      <w:r>
        <w:rPr>
          <w:rFonts w:eastAsia="Times New Roman"/>
          <w:lang w:val="es-ES"/>
        </w:rPr>
        <w:t>rán por objeto ampliar la frontera agrícola, activar los sectores productivos deprimidos, contribuir al mejoramiento económico de las regiones de menor desarrollo, consolidar la presencia nacional en la Región Amazónica, demás sectores fronterizos y genera</w:t>
      </w:r>
      <w:r>
        <w:rPr>
          <w:rFonts w:eastAsia="Times New Roman"/>
          <w:lang w:val="es-ES"/>
        </w:rPr>
        <w:t>r fuentes adicionales de ocupación de mano de obra.</w:t>
      </w:r>
    </w:p>
    <w:p w:rsidR="00000000" w:rsidRDefault="00C90A80">
      <w:pPr>
        <w:rPr>
          <w:rFonts w:eastAsia="Times New Roman"/>
          <w:lang w:val="es-ES"/>
        </w:rPr>
      </w:pPr>
      <w:hyperlink r:id="rId4" w:history="1">
        <w:r>
          <w:rPr>
            <w:rStyle w:val="Hipervnculo"/>
            <w:rFonts w:eastAsia="Times New Roman"/>
            <w:b/>
            <w:bCs/>
            <w:lang w:val="es-ES"/>
          </w:rPr>
          <w:t>Art. 3.-</w:t>
        </w:r>
      </w:hyperlink>
      <w:r>
        <w:rPr>
          <w:rFonts w:eastAsia="Times New Roman"/>
          <w:lang w:val="es-ES"/>
        </w:rPr>
        <w:t xml:space="preserve"> (Reformado por el Art. 3 de la Ley 182, R.O. 805, 10-VIII-84).- Las participaciones de las Instituciones beneficiarias de las rentas estatales provenien</w:t>
      </w:r>
      <w:r>
        <w:rPr>
          <w:rFonts w:eastAsia="Times New Roman"/>
          <w:lang w:val="es-ES"/>
        </w:rPr>
        <w:t>tes de la exportación del petróleo y derivados se calcularán hasta el equivalente de cuarenta y cuatro sucres por dólar de los Estados Unidos de Norteamérica. El 70% del excedente de recaudaciones sobre el límite, con excepción de las participaciones corre</w:t>
      </w:r>
      <w:r>
        <w:rPr>
          <w:rFonts w:eastAsia="Times New Roman"/>
          <w:lang w:val="es-ES"/>
        </w:rPr>
        <w:t>spondientes a la Junta de Defensa Nacional, a las Universidades y Escuelas Politécnicas, se destinará al financiamiento del Plan de Vialidad Agropecuaria y de Fomento de Mano de Obra. Del 30% restante, 25% se destinará al Fondo Nacional de Saneamiento Ambi</w:t>
      </w:r>
      <w:r>
        <w:rPr>
          <w:rFonts w:eastAsia="Times New Roman"/>
          <w:lang w:val="es-ES"/>
        </w:rPr>
        <w:t>ental y 5% al Fondo Nacional de Forestación y Reforestación.</w:t>
      </w:r>
      <w:r>
        <w:rPr>
          <w:rFonts w:eastAsia="Times New Roman"/>
          <w:lang w:val="es-ES"/>
        </w:rPr>
        <w:br/>
      </w:r>
      <w:r>
        <w:rPr>
          <w:rFonts w:eastAsia="Times New Roman"/>
          <w:lang w:val="es-ES"/>
        </w:rPr>
        <w:br/>
        <w:t>La totalidad de la recaudación de las tarifas por peaje y pontazgo que se establecieren de acuerdo con el Art. 5o. de esta Ley, servirán para cubrir los costos, mantenimiento y mejoramiento de l</w:t>
      </w:r>
      <w:r>
        <w:rPr>
          <w:rFonts w:eastAsia="Times New Roman"/>
          <w:lang w:val="es-ES"/>
        </w:rPr>
        <w:t>as propias obras. Los sobrantes se utilizarán en forma exclusiva para el financiamiento del Plan de Vialidad Agropecuaria y de Fomento de Mano de Obra.</w:t>
      </w:r>
      <w:r>
        <w:rPr>
          <w:rFonts w:eastAsia="Times New Roman"/>
          <w:lang w:val="es-ES"/>
        </w:rPr>
        <w:br/>
      </w:r>
      <w:r>
        <w:rPr>
          <w:rFonts w:eastAsia="Times New Roman"/>
          <w:lang w:val="es-ES"/>
        </w:rPr>
        <w:br/>
        <w:t>Facúltase al Presidente de la República para que, dentro del programa de endeudamiento que apruebe el G</w:t>
      </w:r>
      <w:r>
        <w:rPr>
          <w:rFonts w:eastAsia="Times New Roman"/>
          <w:lang w:val="es-ES"/>
        </w:rPr>
        <w:t>obierno y únicamente en caso de que los recursos señalados en los incisos anteriores fueren insuficientes para el financiamiento del indicado Plan, pueda autorizar la emisión de bonos dólares de los Estados Unidos de Norte América, pagaderos en sucres al t</w:t>
      </w:r>
      <w:r>
        <w:rPr>
          <w:rFonts w:eastAsia="Times New Roman"/>
          <w:lang w:val="es-ES"/>
        </w:rPr>
        <w:t xml:space="preserve">ipo de cambio oficial vigente a la fecha de su vencimiento. La tasa de interés, plazo y más especificaciones de la emisión se establecerán mediante Decreto Ejecutivo. Estos bonos dólares no podrán ser colocados en las instituciones que conforman el sector </w:t>
      </w:r>
      <w:r>
        <w:rPr>
          <w:rFonts w:eastAsia="Times New Roman"/>
          <w:lang w:val="es-ES"/>
        </w:rPr>
        <w:t>público.</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La Ley Orgánica de Régimen Monetario y Banco del Estado (R.O. 196-S, 26-I-2006) establece la libre circulación de divisas internacionales en el país y su libre transferencia al exterior, permitiendo que las obligaciones se contraigan y p</w:t>
      </w:r>
      <w:r>
        <w:rPr>
          <w:rFonts w:eastAsia="Times New Roman"/>
          <w:i/>
          <w:iCs/>
          <w:lang w:val="es-ES"/>
        </w:rPr>
        <w:t>aguen en moneda extranjera, con un tipo de cambio de 25.000 sucres por dólar.</w:t>
      </w:r>
      <w:r>
        <w:rPr>
          <w:rFonts w:eastAsia="Times New Roman"/>
          <w:i/>
          <w:iCs/>
          <w:lang w:val="es-ES"/>
        </w:rPr>
        <w:br/>
        <w:t>- Mediante D.E. 1484 (R.O. 497, 30-XII-2008), se extingue la H. Junta de Defensa Nacional, a partir del 1 de enero de 2009. Sus funciones, activos, bienes, derechos, obligaciones</w:t>
      </w:r>
      <w:r>
        <w:rPr>
          <w:rFonts w:eastAsia="Times New Roman"/>
          <w:i/>
          <w:iCs/>
          <w:lang w:val="es-ES"/>
        </w:rPr>
        <w:t>, así como los derechos sucesorios de los cuales se beneficiaba pasarán a cargo del Ministerio de Defensa.</w:t>
      </w:r>
    </w:p>
    <w:p w:rsidR="00000000" w:rsidRDefault="00C90A80">
      <w:pPr>
        <w:rPr>
          <w:rFonts w:eastAsia="Times New Roman"/>
          <w:lang w:val="es-ES"/>
        </w:rPr>
      </w:pPr>
      <w:r>
        <w:rPr>
          <w:rFonts w:eastAsia="Times New Roman"/>
          <w:b/>
          <w:bCs/>
          <w:lang w:val="es-ES"/>
        </w:rPr>
        <w:t>Art. 4.-</w:t>
      </w:r>
      <w:r>
        <w:rPr>
          <w:rFonts w:eastAsia="Times New Roman"/>
          <w:lang w:val="es-ES"/>
        </w:rPr>
        <w:t xml:space="preserve"> (Sustituido por el Art. 4 de la Ley 182, R.O. 805, 10-VIII-84).- Los recursos que se obtengan por la aplicación de la presente Ley, en el po</w:t>
      </w:r>
      <w:r>
        <w:rPr>
          <w:rFonts w:eastAsia="Times New Roman"/>
          <w:lang w:val="es-ES"/>
        </w:rPr>
        <w:t>rcentaje correspondiente a las recaudaciones destinadas a financiar el Plan de Vialidad Agropecuaria y de Fomento de Mano de Obra, serán depositados en una cuenta especial en el Banco Central del Ecuador, denominada "Fondo de Vialidad Agropecuaria", a órde</w:t>
      </w:r>
      <w:r>
        <w:rPr>
          <w:rFonts w:eastAsia="Times New Roman"/>
          <w:lang w:val="es-ES"/>
        </w:rPr>
        <w:t>nes del Ministerio de Obras Públicas y Comunicaciones y servirán exclusivamente para cubrir el costo de dicho Plan.</w:t>
      </w:r>
      <w:r>
        <w:rPr>
          <w:rFonts w:eastAsia="Times New Roman"/>
          <w:lang w:val="es-ES"/>
        </w:rPr>
        <w:br/>
      </w:r>
      <w:r>
        <w:rPr>
          <w:rFonts w:eastAsia="Times New Roman"/>
          <w:lang w:val="es-ES"/>
        </w:rPr>
        <w:br/>
      </w:r>
      <w:r>
        <w:rPr>
          <w:rFonts w:eastAsia="Times New Roman"/>
          <w:b/>
          <w:bCs/>
          <w:u w:val="single"/>
          <w:lang w:val="es-ES"/>
        </w:rPr>
        <w:t>Nota:</w:t>
      </w:r>
      <w:r>
        <w:rPr>
          <w:rFonts w:eastAsia="Times New Roman"/>
          <w:i/>
          <w:iCs/>
          <w:lang w:val="es-ES"/>
        </w:rPr>
        <w:br/>
        <w:t>Según la actual estructura ministerial establecida en el Art. 16 del Estatuto del Régimen Jurídico y Administrativo de la Función Eje</w:t>
      </w:r>
      <w:r>
        <w:rPr>
          <w:rFonts w:eastAsia="Times New Roman"/>
          <w:i/>
          <w:iCs/>
          <w:lang w:val="es-ES"/>
        </w:rPr>
        <w:t>cutiva, el Ministerio de Transporte y Obras Públicas sustituye al Ministerio de Obras Públicas y Comunicaciones.</w:t>
      </w:r>
    </w:p>
    <w:p w:rsidR="00000000" w:rsidRDefault="00C90A80">
      <w:pPr>
        <w:rPr>
          <w:rFonts w:eastAsia="Times New Roman"/>
          <w:lang w:val="es-ES"/>
        </w:rPr>
      </w:pPr>
      <w:r>
        <w:rPr>
          <w:rFonts w:eastAsia="Times New Roman"/>
          <w:b/>
          <w:bCs/>
          <w:lang w:val="es-ES"/>
        </w:rPr>
        <w:t>Art. 5.-</w:t>
      </w:r>
      <w:r>
        <w:rPr>
          <w:rFonts w:eastAsia="Times New Roman"/>
          <w:lang w:val="es-ES"/>
        </w:rPr>
        <w:t xml:space="preserve"> Establécese el pago de peaje y pontazgo en las carreteras y puentes que reúnan condiciones apropiadas para este propósito.</w:t>
      </w:r>
      <w:r>
        <w:rPr>
          <w:rFonts w:eastAsia="Times New Roman"/>
          <w:lang w:val="es-ES"/>
        </w:rPr>
        <w:br/>
      </w:r>
      <w:r>
        <w:rPr>
          <w:rFonts w:eastAsia="Times New Roman"/>
          <w:lang w:val="es-ES"/>
        </w:rPr>
        <w:br/>
        <w:t>Tales cond</w:t>
      </w:r>
      <w:r>
        <w:rPr>
          <w:rFonts w:eastAsia="Times New Roman"/>
          <w:lang w:val="es-ES"/>
        </w:rPr>
        <w:t>iciones, cuantía, tiempo de duración, recaudación, depósito, control y otros procedimientos, serán determinados en el Reglamento que se expedirá dentro del plazo de ciento ochenta días.</w:t>
      </w:r>
    </w:p>
    <w:p w:rsidR="00000000" w:rsidRDefault="00C90A80">
      <w:pPr>
        <w:rPr>
          <w:rFonts w:eastAsia="Times New Roman"/>
          <w:lang w:val="es-ES"/>
        </w:rPr>
      </w:pPr>
      <w:r>
        <w:rPr>
          <w:rFonts w:eastAsia="Times New Roman"/>
          <w:b/>
          <w:bCs/>
          <w:lang w:val="es-ES"/>
        </w:rPr>
        <w:t>Art. 6.-</w:t>
      </w:r>
      <w:r>
        <w:rPr>
          <w:rFonts w:eastAsia="Times New Roman"/>
          <w:lang w:val="es-ES"/>
        </w:rPr>
        <w:t xml:space="preserve"> (Reformado por el Art. 3 de la Ley 182, R.O. 805, 10-VIII-84)</w:t>
      </w:r>
      <w:r>
        <w:rPr>
          <w:rFonts w:eastAsia="Times New Roman"/>
          <w:lang w:val="es-ES"/>
        </w:rPr>
        <w:t xml:space="preserve">.- Los contratos de estudios u obras incluidas en esta Ley se celebrarán exclusivamente, con personas naturales o jurídicas nacionales calificadas, nuevas o existentes, o las que se formaren para el efecto, en igualdad de condiciones, y, su monto no podrá </w:t>
      </w:r>
      <w:r>
        <w:rPr>
          <w:rFonts w:eastAsia="Times New Roman"/>
          <w:lang w:val="es-ES"/>
        </w:rPr>
        <w:t>exceder de la capacidad comprobada de ejecución de obras por parte del contratista, hasta por un lapso de tres años. Quedarán exentos de esta disposición los convenios con Instituciones de Desarrollo Internacional que exijan otro tipo de contratación.</w:t>
      </w:r>
    </w:p>
    <w:p w:rsidR="00000000" w:rsidRDefault="00C90A80">
      <w:pPr>
        <w:rPr>
          <w:rFonts w:eastAsia="Times New Roman"/>
          <w:lang w:val="es-ES"/>
        </w:rPr>
      </w:pPr>
      <w:r>
        <w:rPr>
          <w:rFonts w:eastAsia="Times New Roman"/>
          <w:b/>
          <w:bCs/>
          <w:lang w:val="es-ES"/>
        </w:rPr>
        <w:t>Art.</w:t>
      </w:r>
      <w:r>
        <w:rPr>
          <w:rFonts w:eastAsia="Times New Roman"/>
          <w:b/>
          <w:bCs/>
          <w:lang w:val="es-ES"/>
        </w:rPr>
        <w:t xml:space="preserve"> 7.-</w:t>
      </w:r>
      <w:r>
        <w:rPr>
          <w:rFonts w:eastAsia="Times New Roman"/>
          <w:lang w:val="es-ES"/>
        </w:rPr>
        <w:t xml:space="preserve"> (Sustituido por el Art. 10 de la Ley 182, R.O. 805, 10-VIII-84).- Los Ministros de Obras Públicas, de Salud y de Agricultura, presentarán en conjunto, anualmente un informe especial al H. Congreso Nacional sobre el cumplimiento de los planes y program</w:t>
      </w:r>
      <w:r>
        <w:rPr>
          <w:rFonts w:eastAsia="Times New Roman"/>
          <w:lang w:val="es-ES"/>
        </w:rPr>
        <w:t>as objeto de esta Ley de Vialidad Agropecuaria y de la presente Ley.</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Por disposición del Art. 120 de la Constitución de la República del Ecuador (R.O. 449, 20-X-2008), la Función Legislativa la ejercerá la Asamblea Nacional, por tanto, sus miembros </w:t>
      </w:r>
      <w:r>
        <w:rPr>
          <w:rFonts w:eastAsia="Times New Roman"/>
          <w:i/>
          <w:iCs/>
          <w:lang w:val="es-ES"/>
        </w:rPr>
        <w:t>tendrán la denominación de asambleistas.</w:t>
      </w:r>
    </w:p>
    <w:p w:rsidR="00000000" w:rsidRDefault="00C90A80">
      <w:pPr>
        <w:rPr>
          <w:rFonts w:eastAsia="Times New Roman"/>
          <w:lang w:val="es-ES"/>
        </w:rPr>
      </w:pPr>
      <w:r>
        <w:rPr>
          <w:rFonts w:eastAsia="Times New Roman"/>
          <w:b/>
          <w:bCs/>
          <w:lang w:val="es-ES"/>
        </w:rPr>
        <w:t>DISPOSICIÓN TRANSITORIA.-</w:t>
      </w:r>
      <w:r>
        <w:rPr>
          <w:rFonts w:eastAsia="Times New Roman"/>
          <w:lang w:val="es-ES"/>
        </w:rPr>
        <w:t xml:space="preserve"> (Por el tiempo transcurrido esta disposición transitoria ha perdido vigencia).</w:t>
      </w:r>
    </w:p>
    <w:p w:rsidR="00000000" w:rsidRDefault="00C90A80">
      <w:pPr>
        <w:rPr>
          <w:rFonts w:eastAsia="Times New Roman"/>
          <w:lang w:val="es-ES"/>
        </w:rPr>
      </w:pPr>
      <w:r>
        <w:rPr>
          <w:rFonts w:eastAsia="Times New Roman"/>
          <w:b/>
          <w:bCs/>
          <w:lang w:val="es-ES"/>
        </w:rPr>
        <w:t>Artículo Final.-</w:t>
      </w:r>
      <w:r>
        <w:rPr>
          <w:rFonts w:eastAsia="Times New Roman"/>
          <w:lang w:val="es-ES"/>
        </w:rPr>
        <w:t xml:space="preserve"> La presente Ley prevalecerá sobre todas las disposiciones que se le opongan y entrará en vige</w:t>
      </w:r>
      <w:r>
        <w:rPr>
          <w:rFonts w:eastAsia="Times New Roman"/>
          <w:lang w:val="es-ES"/>
        </w:rPr>
        <w:t>ncia a partir de su promulgación.</w:t>
      </w:r>
      <w:r>
        <w:rPr>
          <w:rFonts w:eastAsia="Times New Roman"/>
          <w:lang w:val="es-ES"/>
        </w:rPr>
        <w:br/>
      </w:r>
      <w:r>
        <w:rPr>
          <w:rFonts w:eastAsia="Times New Roman"/>
          <w:lang w:val="es-ES"/>
        </w:rPr>
        <w:br/>
        <w:t>Dado en Quito, en la sala de sesiones del Plenario de las Comisiones Legislativas de la H. Cámara Nacional de Representantes, a los veintitrés días del mes de mayo de mil novecientos ochenta y tres.</w:t>
      </w:r>
    </w:p>
    <w:p w:rsidR="00000000" w:rsidRDefault="00C90A80">
      <w:pPr>
        <w:jc w:val="center"/>
        <w:rPr>
          <w:rFonts w:eastAsia="Times New Roman"/>
          <w:sz w:val="27"/>
          <w:szCs w:val="27"/>
          <w:lang w:val="es-ES"/>
        </w:rPr>
      </w:pPr>
      <w:r>
        <w:rPr>
          <w:rFonts w:eastAsia="Times New Roman"/>
          <w:sz w:val="27"/>
          <w:szCs w:val="27"/>
          <w:lang w:val="es-ES"/>
        </w:rPr>
        <w:br/>
      </w:r>
      <w:r>
        <w:rPr>
          <w:rFonts w:eastAsia="Times New Roman"/>
          <w:sz w:val="27"/>
          <w:szCs w:val="27"/>
          <w:lang w:val="es-ES"/>
        </w:rPr>
        <w:br/>
        <w:t>FUENTES DE LA PRESEN</w:t>
      </w:r>
      <w:r>
        <w:rPr>
          <w:rFonts w:eastAsia="Times New Roman"/>
          <w:sz w:val="27"/>
          <w:szCs w:val="27"/>
          <w:lang w:val="es-ES"/>
        </w:rPr>
        <w:t>TE EDICIÓN DE LA LEY DE DESARROLLO DE VIALIDAD AGROPECUARIA Y FOMENTO DE MANO DE OBRA</w:t>
      </w:r>
    </w:p>
    <w:p w:rsidR="00C90A80" w:rsidRDefault="00C90A80">
      <w:pPr>
        <w:rPr>
          <w:rFonts w:eastAsia="Times New Roman"/>
          <w:sz w:val="20"/>
          <w:szCs w:val="20"/>
          <w:lang w:val="es-ES"/>
        </w:rPr>
      </w:pPr>
      <w:r>
        <w:rPr>
          <w:rFonts w:eastAsia="Times New Roman"/>
          <w:sz w:val="20"/>
          <w:szCs w:val="20"/>
          <w:lang w:val="es-ES"/>
        </w:rPr>
        <w:br/>
      </w:r>
      <w:r>
        <w:rPr>
          <w:rFonts w:eastAsia="Times New Roman"/>
          <w:sz w:val="20"/>
          <w:szCs w:val="20"/>
          <w:lang w:val="es-ES"/>
        </w:rPr>
        <w:br/>
        <w:t>1.- Ley 138 (Registro Oficial 515, 16-VI-83)</w:t>
      </w:r>
      <w:r>
        <w:rPr>
          <w:rFonts w:eastAsia="Times New Roman"/>
          <w:sz w:val="20"/>
          <w:szCs w:val="20"/>
          <w:lang w:val="es-ES"/>
        </w:rPr>
        <w:br/>
      </w:r>
      <w:r>
        <w:rPr>
          <w:rFonts w:eastAsia="Times New Roman"/>
          <w:sz w:val="20"/>
          <w:szCs w:val="20"/>
          <w:lang w:val="es-ES"/>
        </w:rPr>
        <w:br/>
        <w:t>2.- Ley 182 (Registro Oficial 805, 10-VIII-84).</w:t>
      </w:r>
    </w:p>
    <w:sectPr w:rsidR="00C90A8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594927"/>
    <w:rsid w:val="00594927"/>
    <w:rsid w:val="00C90A80"/>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incular(952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1395</Words>
  <Characters>7675</Characters>
  <Application>Microsoft Office Word</Application>
  <DocSecurity>0</DocSecurity>
  <Lines>63</Lines>
  <Paragraphs>18</Paragraphs>
  <ScaleCrop>false</ScaleCrop>
  <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2012-12-22T17:27:00Z</dcterms:created>
  <dcterms:modified xsi:type="dcterms:W3CDTF">2012-12-22T17:27:00Z</dcterms:modified>
</cp:coreProperties>
</file>