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44DE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LEY DE EJERCICIO PROFESIONAL DE LA INGENIERÍA CIVIL</w:t>
      </w:r>
    </w:p>
    <w:p w:rsidR="00000000" w:rsidRDefault="008944DE">
      <w:pPr>
        <w:jc w:val="center"/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>(Ley No. 143)</w:t>
      </w:r>
    </w:p>
    <w:p w:rsidR="00000000" w:rsidRDefault="008944DE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EL CONGRESO NACIONAL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>Considerando: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t>Que el ejercicio profesional de la Ingeniería Civil debe contar con un ordenamiento jurídico acorde con la realidad científica y cultural del mundo contemporáneo;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Que es deber de las funciones del Estado dictar las leyes respectivas para proteger a los pr</w:t>
      </w:r>
      <w:r>
        <w:rPr>
          <w:rFonts w:eastAsia="Times New Roman"/>
          <w:sz w:val="20"/>
          <w:szCs w:val="20"/>
          <w:lang w:val="es-ES"/>
        </w:rPr>
        <w:t>ofesionales técnicos y académicos a efecto de lograr su integración al desarrollo socio-económico del país; y,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En uso de las atribuciones que le confiere la Constitución Política de la República,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>Expide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La LEY DE EJERCICIO PROFESIONAL DE LA INGENIERÍA C</w:t>
      </w:r>
      <w:r>
        <w:rPr>
          <w:rFonts w:eastAsia="Times New Roman"/>
          <w:sz w:val="20"/>
          <w:szCs w:val="20"/>
          <w:lang w:val="es-ES"/>
        </w:rPr>
        <w:t>IVIL</w:t>
      </w:r>
    </w:p>
    <w:p w:rsidR="00000000" w:rsidRDefault="008944D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</w:t>
      </w:r>
      <w:r>
        <w:rPr>
          <w:rFonts w:eastAsia="Times New Roman"/>
          <w:b/>
          <w:bCs/>
          <w:sz w:val="36"/>
          <w:szCs w:val="36"/>
          <w:lang w:val="es-ES"/>
        </w:rPr>
        <w:br/>
        <w:t>DEL ÁMBITO DE LA LEY</w:t>
      </w:r>
    </w:p>
    <w:p w:rsidR="00000000" w:rsidRDefault="008944D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1.-</w:t>
      </w:r>
      <w:r>
        <w:rPr>
          <w:rFonts w:eastAsia="Times New Roman"/>
          <w:lang w:val="es-ES"/>
        </w:rPr>
        <w:t xml:space="preserve"> Esta Ley garantiza el ejercicio de los derechos profesionales de los Ingenieros Civiles.</w:t>
      </w:r>
    </w:p>
    <w:p w:rsidR="00000000" w:rsidRDefault="008944D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2.-</w:t>
      </w:r>
      <w:r>
        <w:rPr>
          <w:rFonts w:eastAsia="Times New Roman"/>
          <w:lang w:val="es-ES"/>
        </w:rPr>
        <w:t xml:space="preserve"> El Colegio de Ingenieros Civiles del Ecuador, CICE y los Colegios Provinciales de Ingenieros Civiles son person</w:t>
      </w:r>
      <w:r>
        <w:rPr>
          <w:rFonts w:eastAsia="Times New Roman"/>
          <w:lang w:val="es-ES"/>
        </w:rPr>
        <w:t>as jurídicas de derecho privado, con patrimonio propio regulados por esta Ley, su Reglamento y los correspondientes Estatutos.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Pertenecerán a este colegio todos los ingenieros civiles, excepto aquellos que expresen por escrito su voluntad en contrario.</w:t>
      </w:r>
    </w:p>
    <w:p w:rsidR="00000000" w:rsidRDefault="008944D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</w:t>
      </w:r>
      <w:r>
        <w:rPr>
          <w:rFonts w:eastAsia="Times New Roman"/>
          <w:b/>
          <w:bCs/>
          <w:lang w:val="es-ES"/>
        </w:rPr>
        <w:t>t. 3.-</w:t>
      </w:r>
      <w:r>
        <w:rPr>
          <w:rFonts w:eastAsia="Times New Roman"/>
          <w:lang w:val="es-ES"/>
        </w:rPr>
        <w:t xml:space="preserve"> Para los efectos de esta Ley son ingenieros civiles quienes hubieren obtenido sus títulos en Universidades o Escuelas Politécnicas ecuatorianas, o los que habiendo obtenido sus títulos en el extranjero los hubieren revalidado o equiparado en el Ecua</w:t>
      </w:r>
      <w:r>
        <w:rPr>
          <w:rFonts w:eastAsia="Times New Roman"/>
          <w:lang w:val="es-ES"/>
        </w:rPr>
        <w:t>dor de conformidad con la Ley.</w:t>
      </w:r>
    </w:p>
    <w:p w:rsidR="00000000" w:rsidRDefault="008944D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</w:t>
      </w:r>
      <w:r>
        <w:rPr>
          <w:rFonts w:eastAsia="Times New Roman"/>
          <w:b/>
          <w:bCs/>
          <w:sz w:val="36"/>
          <w:szCs w:val="36"/>
          <w:lang w:val="es-ES"/>
        </w:rPr>
        <w:br/>
        <w:t>DEL EJERCICIO PROFESIONAL</w:t>
      </w:r>
    </w:p>
    <w:p w:rsidR="00000000" w:rsidRDefault="008944D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Art. 4.- </w:t>
      </w:r>
      <w:r>
        <w:rPr>
          <w:rFonts w:eastAsia="Times New Roman"/>
          <w:lang w:val="es-ES"/>
        </w:rPr>
        <w:t xml:space="preserve">Serán reprimidos con prisión de seis meses a un año y multa equivalente a un salario mínimo vital los que, sin poseer el título de ingeniero civil, utilicen términos, leyendas, </w:t>
      </w:r>
      <w:r>
        <w:rPr>
          <w:rFonts w:eastAsia="Times New Roman"/>
          <w:lang w:val="es-ES"/>
        </w:rPr>
        <w:t>insignias, rótulos, firmas y demás expresiones propias del ejercicio profesional de los ingenieros civiles.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Esta infracción será juzgada de conformidad con lo que prescriben los Códigos Penal y de Procedimiento Penal.</w:t>
      </w:r>
    </w:p>
    <w:p w:rsidR="00000000" w:rsidRDefault="008944D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5.-</w:t>
      </w:r>
      <w:r>
        <w:rPr>
          <w:rFonts w:eastAsia="Times New Roman"/>
          <w:lang w:val="es-ES"/>
        </w:rPr>
        <w:t xml:space="preserve"> Compete a los profesionales </w:t>
      </w:r>
      <w:r>
        <w:rPr>
          <w:rFonts w:eastAsia="Times New Roman"/>
          <w:lang w:val="es-ES"/>
        </w:rPr>
        <w:t>amparados por esta Ley lo concerniente a estudios de anteproyectos, proyectos, diseños, avalúos, construcciones, planificación, supervisión, fiscalización y asesoría inherentes a la Ingeniería Civil, de conformidad a lo establecido en esta Ley y su Reglame</w:t>
      </w:r>
      <w:r>
        <w:rPr>
          <w:rFonts w:eastAsia="Times New Roman"/>
          <w:lang w:val="es-ES"/>
        </w:rPr>
        <w:t>nto.</w:t>
      </w:r>
    </w:p>
    <w:p w:rsidR="00000000" w:rsidRDefault="008944D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6.-</w:t>
      </w:r>
      <w:r>
        <w:rPr>
          <w:rFonts w:eastAsia="Times New Roman"/>
          <w:lang w:val="es-ES"/>
        </w:rPr>
        <w:t xml:space="preserve"> Los documentos técnicos de Ingeniería Civil, son propiedad intelectual del autor de los mismos; en consecuencia, no se podrá hacer uso de ellos sino con su consentimiento o habiendo adquirido sus de derechos conforme a la Ley.</w:t>
      </w:r>
    </w:p>
    <w:p w:rsidR="00000000" w:rsidRDefault="008944D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7.-</w:t>
      </w:r>
      <w:r>
        <w:rPr>
          <w:rFonts w:eastAsia="Times New Roman"/>
          <w:lang w:val="es-ES"/>
        </w:rPr>
        <w:t xml:space="preserve"> Para q</w:t>
      </w:r>
      <w:r>
        <w:rPr>
          <w:rFonts w:eastAsia="Times New Roman"/>
          <w:lang w:val="es-ES"/>
        </w:rPr>
        <w:t>ue los documentos técnicos de que trata el artículo anterior puedan ser presentados, tramitados, ejecutados o utilizados en cualquier forma por las instituciones del sector público, éstas deberán exigir que lleven la firma del profesional y presentar el re</w:t>
      </w:r>
      <w:r>
        <w:rPr>
          <w:rFonts w:eastAsia="Times New Roman"/>
          <w:lang w:val="es-ES"/>
        </w:rPr>
        <w:t>cibo de pago de la respectiva contribución a la que se refiere esta Ley.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Las propuestas para licitación, concurso público o privado de estudios, anteproyectos o proyectos de ingeniería civil deberán ser suscritas por ingenieros civiles.</w:t>
      </w:r>
    </w:p>
    <w:p w:rsidR="00000000" w:rsidRDefault="008944D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8.-</w:t>
      </w:r>
      <w:r>
        <w:rPr>
          <w:rFonts w:eastAsia="Times New Roman"/>
          <w:lang w:val="es-ES"/>
        </w:rPr>
        <w:t xml:space="preserve"> Los ingen</w:t>
      </w:r>
      <w:r>
        <w:rPr>
          <w:rFonts w:eastAsia="Times New Roman"/>
          <w:lang w:val="es-ES"/>
        </w:rPr>
        <w:t>ieros civiles que presten sus servicios en instituciones públicas o privadas, y éstas decidieran enviarlos becados para realizar estudios en el exterior tendrán derecho a ser declarados en comisión de servicios, durante el período de duración de misma.</w:t>
      </w:r>
    </w:p>
    <w:p w:rsidR="00000000" w:rsidRDefault="008944D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</w:t>
      </w:r>
      <w:r>
        <w:rPr>
          <w:rFonts w:eastAsia="Times New Roman"/>
          <w:b/>
          <w:bCs/>
          <w:lang w:val="es-ES"/>
        </w:rPr>
        <w:t>. 9.-</w:t>
      </w:r>
      <w:r>
        <w:rPr>
          <w:rFonts w:eastAsia="Times New Roman"/>
          <w:lang w:val="es-ES"/>
        </w:rPr>
        <w:t xml:space="preserve"> Las Empresas Nacionales o Extranjeras para realización de trabajos de ingeniería civil los pondrán a cargo de un Ingeniero Civil ecuatoriano; además, para la ejecución de trabajos, contarán con un personal de ingenieros civiles ecuatorianos no menor </w:t>
      </w:r>
      <w:r>
        <w:rPr>
          <w:rFonts w:eastAsia="Times New Roman"/>
          <w:lang w:val="es-ES"/>
        </w:rPr>
        <w:t>en porcentaje al ochenta por ciento del total de ingenieros civiles empleados en el proyecto, hasta el quinto año de vigencia de esta Ley; a partir del sexto año incrementarán el porcentaje en un cuatro por ciento hasta completar un noventa y dos por cient</w:t>
      </w:r>
      <w:r>
        <w:rPr>
          <w:rFonts w:eastAsia="Times New Roman"/>
          <w:lang w:val="es-ES"/>
        </w:rPr>
        <w:t>o como mínimo.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En caso de que no hubiere en el país ingenieros civiles especializados en la labor que efectúan dichas empresas podrán contratar extranjeros, pero quedan obligados a emplear y realizar programas de capacitación técnica de los nacionales en </w:t>
      </w:r>
      <w:r>
        <w:rPr>
          <w:rFonts w:eastAsia="Times New Roman"/>
          <w:lang w:val="es-ES"/>
        </w:rPr>
        <w:t>ese campo de especialidad.</w:t>
      </w:r>
    </w:p>
    <w:p w:rsidR="00000000" w:rsidRDefault="008944D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10.-</w:t>
      </w:r>
      <w:r>
        <w:rPr>
          <w:rFonts w:eastAsia="Times New Roman"/>
          <w:lang w:val="es-ES"/>
        </w:rPr>
        <w:t xml:space="preserve"> La contribución del uno por mil fijada en el Art. 26 de la Ley de Ejercicio Profesional de la Ingeniería será pagada por los ingenieros civiles o empresas contratistas directamente al respectivo Colegio de Ingenieros Ci</w:t>
      </w:r>
      <w:r>
        <w:rPr>
          <w:rFonts w:eastAsia="Times New Roman"/>
          <w:lang w:val="es-ES"/>
        </w:rPr>
        <w:t>viles, en la proporción que en la obra corresponda a la rama de Ingeniería Civil.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Para el pago de esta contribución en los estudios y obras contratadas por el sector público, la entidad contratante determinará el monto total de las obras de Ingeniería Civ</w:t>
      </w:r>
      <w:r>
        <w:rPr>
          <w:rFonts w:eastAsia="Times New Roman"/>
          <w:lang w:val="es-ES"/>
        </w:rPr>
        <w:t>il y otras ramas de la Ingeniería en función del presupuesto de las obras. En los estudios y obras que se contraten en el sector privado, la Sociedad de Ingenieros del Ecuador determinará la parte proporcional que corresponde a la rama de Ingeniería Civil.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En el caso de proyectos que incluyan a varias provincias la contribución se distribuirá entre los colegios respectivos.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En el caso de que en la provincia en que se efectúe el trabajo no hubiere colegio provincial, la contribución se pagará al colegio na</w:t>
      </w:r>
      <w:r>
        <w:rPr>
          <w:rFonts w:eastAsia="Times New Roman"/>
          <w:lang w:val="es-ES"/>
        </w:rPr>
        <w:t>cional, el cual distribuirá en partes iguales entre los colegios provinciales.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La Disposición Derogatoria 8 de la Ley s/n (R.O. 395-S, 4-VIII-2008) deroga la contribución del uno por mil sobre los montos de contratos celebrados con instituciones del</w:t>
      </w:r>
      <w:r>
        <w:rPr>
          <w:rFonts w:eastAsia="Times New Roman"/>
          <w:i/>
          <w:iCs/>
          <w:lang w:val="es-ES"/>
        </w:rPr>
        <w:t xml:space="preserve"> sector público.</w:t>
      </w:r>
    </w:p>
    <w:p w:rsidR="00000000" w:rsidRDefault="008944D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DISPOSICIONES GENERALES</w:t>
      </w:r>
    </w:p>
    <w:p w:rsidR="00000000" w:rsidRDefault="008944D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11.-</w:t>
      </w:r>
      <w:r>
        <w:rPr>
          <w:rFonts w:eastAsia="Times New Roman"/>
          <w:lang w:val="es-ES"/>
        </w:rPr>
        <w:t xml:space="preserve"> El Reglamento de esta Ley y los estatutos del Colegio de Ingenieros Civiles del Ecuador, CICE, regularán las relaciones del mismo y de los colegios provinciales de ingenieros civiles y el ejercicio de los</w:t>
      </w:r>
      <w:r>
        <w:rPr>
          <w:rFonts w:eastAsia="Times New Roman"/>
          <w:lang w:val="es-ES"/>
        </w:rPr>
        <w:t xml:space="preserve"> derechos previstos en esta Ley.</w:t>
      </w:r>
    </w:p>
    <w:p w:rsidR="00000000" w:rsidRDefault="008944D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12.-</w:t>
      </w:r>
      <w:r>
        <w:rPr>
          <w:rFonts w:eastAsia="Times New Roman"/>
          <w:lang w:val="es-ES"/>
        </w:rPr>
        <w:t xml:space="preserve"> El Colegio de Ingenieros Civiles del Ecuador y los Colegios Provinciales de Ingenieros Civiles están obligados a suministrar gratuitamente asesoría técnica al Estado y a las Instituciones del Sector Público, en lo</w:t>
      </w:r>
      <w:r>
        <w:rPr>
          <w:rFonts w:eastAsia="Times New Roman"/>
          <w:lang w:val="es-ES"/>
        </w:rPr>
        <w:t>s casos que le sea requerida para objetos de interés general.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Sus dignatarios serán personalmente responsables en el caso de omisión o lenidad en el cumplimiento de esta disposición.</w:t>
      </w:r>
    </w:p>
    <w:p w:rsidR="00000000" w:rsidRDefault="008944D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13.-</w:t>
      </w:r>
      <w:r>
        <w:rPr>
          <w:rFonts w:eastAsia="Times New Roman"/>
          <w:lang w:val="es-ES"/>
        </w:rPr>
        <w:t xml:space="preserve"> Los ingenieros civiles extranjeros que sean contratados tempor</w:t>
      </w:r>
      <w:r>
        <w:rPr>
          <w:rFonts w:eastAsia="Times New Roman"/>
          <w:lang w:val="es-ES"/>
        </w:rPr>
        <w:t>almente por empresas o instituciones del Estado, sólo podrán efectuar labores de asesoría, supervisión y capacitación, de conformidad a las necesidades de la actividad a desarrollar, que será establecida por la Dirección Nacional de Empleo y Recursos Human</w:t>
      </w:r>
      <w:r>
        <w:rPr>
          <w:rFonts w:eastAsia="Times New Roman"/>
          <w:lang w:val="es-ES"/>
        </w:rPr>
        <w:t>os del Ministerio de Trabajo.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Notas:</w:t>
      </w:r>
      <w:r>
        <w:rPr>
          <w:rFonts w:eastAsia="Times New Roman"/>
          <w:lang w:val="es-ES"/>
        </w:rPr>
        <w:br/>
        <w:t xml:space="preserve">- </w:t>
      </w:r>
      <w:r>
        <w:rPr>
          <w:rFonts w:eastAsia="Times New Roman"/>
          <w:i/>
          <w:iCs/>
          <w:lang w:val="es-ES"/>
        </w:rPr>
        <w:t>El D.E. 2371 (R.O. 491, 28-XII-2004) cambió la denominación del Ministerio de Trabajo y Recursos Humanos por el de Ministerio de Trabajo y Empleo.</w:t>
      </w:r>
      <w:r>
        <w:rPr>
          <w:rFonts w:eastAsia="Times New Roman"/>
          <w:i/>
          <w:iCs/>
          <w:lang w:val="es-ES"/>
        </w:rPr>
        <w:br/>
        <w:t xml:space="preserve">- Mediante D.E. 10 (R.O. 10, 24-VIII-2009), se fusionó la Secretaría </w:t>
      </w:r>
      <w:r>
        <w:rPr>
          <w:rFonts w:eastAsia="Times New Roman"/>
          <w:i/>
          <w:iCs/>
          <w:lang w:val="es-ES"/>
        </w:rPr>
        <w:t>Nacional Técnica de Desarrollo de Recursos Humanos y Remuneraciones del Sector Público, SENRES, con el Ministerio de Trabajo y Empleo, creándose el Ministerio de Relaciones Laborales, el cual contará con dos viceministerios técnicos que tendrán las compete</w:t>
      </w:r>
      <w:r>
        <w:rPr>
          <w:rFonts w:eastAsia="Times New Roman"/>
          <w:i/>
          <w:iCs/>
          <w:lang w:val="es-ES"/>
        </w:rPr>
        <w:t>ncias dispuestas por la LOSEP y el Código del Trabajo, respectivamente.</w:t>
      </w:r>
    </w:p>
    <w:p w:rsidR="00000000" w:rsidRDefault="008944D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14.-</w:t>
      </w:r>
      <w:r>
        <w:rPr>
          <w:rFonts w:eastAsia="Times New Roman"/>
          <w:lang w:val="es-ES"/>
        </w:rPr>
        <w:t xml:space="preserve"> El Colegio de Ingenieros Civiles del Ecuador presentará los aranceles de los ingenieros civiles, al Ministerio de Trabajo y Recursos Humanos para su aprobación.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Notas:</w:t>
      </w:r>
      <w:r>
        <w:rPr>
          <w:rFonts w:eastAsia="Times New Roman"/>
          <w:lang w:val="es-ES"/>
        </w:rPr>
        <w:br/>
        <w:t xml:space="preserve">- </w:t>
      </w:r>
      <w:r>
        <w:rPr>
          <w:rFonts w:eastAsia="Times New Roman"/>
          <w:i/>
          <w:iCs/>
          <w:lang w:val="es-ES"/>
        </w:rPr>
        <w:t xml:space="preserve">El </w:t>
      </w:r>
      <w:r>
        <w:rPr>
          <w:rFonts w:eastAsia="Times New Roman"/>
          <w:i/>
          <w:iCs/>
          <w:lang w:val="es-ES"/>
        </w:rPr>
        <w:t>D.E. 2371 (R.O. 491, 28-XII-2004) cambió la denominación del Ministerio de Trabajo y Recursos Humanos por el de Ministerio de Trabajo y Empleo.</w:t>
      </w:r>
      <w:r>
        <w:rPr>
          <w:rFonts w:eastAsia="Times New Roman"/>
          <w:i/>
          <w:iCs/>
          <w:lang w:val="es-ES"/>
        </w:rPr>
        <w:br/>
        <w:t xml:space="preserve">- Mediante D.E. 10 (R.O. 10, 24-VIII-2009), se fusionó la Secretaría Nacional Técnica de Desarrollo de Recursos </w:t>
      </w:r>
      <w:r>
        <w:rPr>
          <w:rFonts w:eastAsia="Times New Roman"/>
          <w:i/>
          <w:iCs/>
          <w:lang w:val="es-ES"/>
        </w:rPr>
        <w:t>Humanos y Remuneraciones del Sector Público, SENRES, con el Ministerio de Trabajo y Empleo, creándose el Ministerio de Relaciones Laborales, el cual contará con dos viceministerios técnicos que tendrán las competencias dispuestas por la LOSEP y el Código d</w:t>
      </w:r>
      <w:r>
        <w:rPr>
          <w:rFonts w:eastAsia="Times New Roman"/>
          <w:i/>
          <w:iCs/>
          <w:lang w:val="es-ES"/>
        </w:rPr>
        <w:t>el Trabajo, respectivamente.</w:t>
      </w:r>
    </w:p>
    <w:p w:rsidR="00000000" w:rsidRDefault="008944D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FINAL.-</w:t>
      </w:r>
      <w:r>
        <w:rPr>
          <w:rFonts w:eastAsia="Times New Roman"/>
          <w:lang w:val="es-ES"/>
        </w:rPr>
        <w:t xml:space="preserve"> La presente Ley regirá a partir de su publicación en el Registro Oficial.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Dado, en Quito, en la Sala de Sesiones del Congreso Nacional, a los veinte días del mes de septiembre de mil novecientos ochenta y tres.</w:t>
      </w:r>
    </w:p>
    <w:p w:rsidR="00000000" w:rsidRDefault="008944D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t>FUENTES DE LA PRESENTE EDICIÓN DE LA LEY DE EJERCICIO PROFESIONAL DE LA INGENIERÍA CIVIL</w:t>
      </w:r>
    </w:p>
    <w:p w:rsidR="008944DE" w:rsidRDefault="008944DE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1.- Ley 143 (Registro Oficial 590, 30-IX-1983).</w:t>
      </w:r>
    </w:p>
    <w:sectPr w:rsidR="008944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1F4329"/>
    <w:rsid w:val="001F4329"/>
    <w:rsid w:val="0089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1219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2012-12-22T17:33:00Z</dcterms:created>
  <dcterms:modified xsi:type="dcterms:W3CDTF">2012-12-22T17:33:00Z</dcterms:modified>
</cp:coreProperties>
</file>