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D00FC">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REGLAMENTO CONSTITUTIVO DEL CONSEJO DE MODERNIZACIÓN DEL SECTOR ELÉCTRICO, COMOSEL</w:t>
      </w:r>
    </w:p>
    <w:p w:rsidR="00000000" w:rsidRDefault="006D00FC">
      <w:pPr>
        <w:rPr>
          <w:rFonts w:eastAsia="Times New Roman"/>
          <w:sz w:val="20"/>
          <w:szCs w:val="20"/>
          <w:lang w:val="es-ES"/>
        </w:rPr>
      </w:pPr>
      <w:r>
        <w:rPr>
          <w:rFonts w:eastAsia="Times New Roman"/>
          <w:sz w:val="20"/>
          <w:szCs w:val="20"/>
          <w:lang w:val="es-ES"/>
        </w:rPr>
        <w:br/>
      </w:r>
      <w:r>
        <w:rPr>
          <w:rFonts w:eastAsia="Times New Roman"/>
          <w:sz w:val="20"/>
          <w:szCs w:val="20"/>
          <w:lang w:val="es-ES"/>
        </w:rPr>
        <w:br/>
        <w:t>Fabián Alarcón Rivera</w:t>
      </w:r>
      <w:r>
        <w:rPr>
          <w:rFonts w:eastAsia="Times New Roman"/>
          <w:sz w:val="20"/>
          <w:szCs w:val="20"/>
          <w:lang w:val="es-ES"/>
        </w:rPr>
        <w:br/>
        <w:t>PRESIDENTE CONSTITUCIONAL INTERINO DE LA REPÚBLICA</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Considerando:</w:t>
      </w:r>
      <w:r>
        <w:rPr>
          <w:rFonts w:eastAsia="Times New Roman"/>
          <w:sz w:val="20"/>
          <w:szCs w:val="20"/>
          <w:lang w:val="es-ES"/>
        </w:rPr>
        <w:br/>
      </w:r>
      <w:r>
        <w:rPr>
          <w:rFonts w:eastAsia="Times New Roman"/>
          <w:sz w:val="20"/>
          <w:szCs w:val="20"/>
          <w:lang w:val="es-ES"/>
        </w:rPr>
        <w:br/>
      </w:r>
      <w:r>
        <w:rPr>
          <w:rFonts w:eastAsia="Times New Roman"/>
          <w:sz w:val="20"/>
          <w:szCs w:val="20"/>
          <w:lang w:val="es-ES"/>
        </w:rPr>
        <w:t>Que la Cuarta Disposición Transitoria de la Ley de Régimen del Sector Eléctrico publicada en el Registro Oficial No. 43 de 10 de octubre de 1996, crea el Consejo de Modernización del Sector Eléctrico, COMOSEL, y dispone que el Presidente de la República de</w:t>
      </w:r>
      <w:r>
        <w:rPr>
          <w:rFonts w:eastAsia="Times New Roman"/>
          <w:sz w:val="20"/>
          <w:szCs w:val="20"/>
          <w:lang w:val="es-ES"/>
        </w:rPr>
        <w:t>be expedir el Reglamento correspondiente para el funcionamiento de este organismo;</w:t>
      </w:r>
      <w:r>
        <w:rPr>
          <w:rFonts w:eastAsia="Times New Roman"/>
          <w:sz w:val="20"/>
          <w:szCs w:val="20"/>
          <w:lang w:val="es-ES"/>
        </w:rPr>
        <w:br/>
      </w:r>
      <w:r>
        <w:rPr>
          <w:rFonts w:eastAsia="Times New Roman"/>
          <w:sz w:val="20"/>
          <w:szCs w:val="20"/>
          <w:lang w:val="es-ES"/>
        </w:rPr>
        <w:br/>
        <w:t>Que es necesario dar la mayor transparencia a estos procesos de cambio para lo cual se requiere de la participación de todos los sectores de opinión de país relacionados co</w:t>
      </w:r>
      <w:r>
        <w:rPr>
          <w:rFonts w:eastAsia="Times New Roman"/>
          <w:sz w:val="20"/>
          <w:szCs w:val="20"/>
          <w:lang w:val="es-ES"/>
        </w:rPr>
        <w:t>n el tema;</w:t>
      </w:r>
      <w:r>
        <w:rPr>
          <w:rFonts w:eastAsia="Times New Roman"/>
          <w:sz w:val="20"/>
          <w:szCs w:val="20"/>
          <w:lang w:val="es-ES"/>
        </w:rPr>
        <w:br/>
      </w:r>
      <w:r>
        <w:rPr>
          <w:rFonts w:eastAsia="Times New Roman"/>
          <w:sz w:val="20"/>
          <w:szCs w:val="20"/>
          <w:lang w:val="es-ES"/>
        </w:rPr>
        <w:br/>
        <w:t>Que es urgente que el COMOSEL inicie su gestión; y,</w:t>
      </w:r>
      <w:r>
        <w:rPr>
          <w:rFonts w:eastAsia="Times New Roman"/>
          <w:sz w:val="20"/>
          <w:szCs w:val="20"/>
          <w:lang w:val="es-ES"/>
        </w:rPr>
        <w:br/>
      </w:r>
      <w:r>
        <w:rPr>
          <w:rFonts w:eastAsia="Times New Roman"/>
          <w:sz w:val="20"/>
          <w:szCs w:val="20"/>
          <w:lang w:val="es-ES"/>
        </w:rPr>
        <w:br/>
        <w:t>En ejercicio de las atribuciones que le confieren la Constitución y la ley,</w:t>
      </w:r>
      <w:r>
        <w:rPr>
          <w:rFonts w:eastAsia="Times New Roman"/>
          <w:sz w:val="20"/>
          <w:szCs w:val="20"/>
          <w:lang w:val="es-ES"/>
        </w:rPr>
        <w:br/>
      </w:r>
      <w:r>
        <w:rPr>
          <w:rFonts w:eastAsia="Times New Roman"/>
          <w:sz w:val="20"/>
          <w:szCs w:val="20"/>
          <w:lang w:val="es-ES"/>
        </w:rPr>
        <w:br/>
        <w:t>Decreta:</w:t>
      </w:r>
      <w:r>
        <w:rPr>
          <w:rFonts w:eastAsia="Times New Roman"/>
          <w:sz w:val="20"/>
          <w:szCs w:val="20"/>
          <w:lang w:val="es-ES"/>
        </w:rPr>
        <w:br/>
      </w:r>
      <w:r>
        <w:rPr>
          <w:rFonts w:eastAsia="Times New Roman"/>
          <w:sz w:val="20"/>
          <w:szCs w:val="20"/>
          <w:lang w:val="es-ES"/>
        </w:rPr>
        <w:br/>
        <w:t>El siguiente REGLAMENTO CONSTITUTIVO DEL CONSEJO DE MODERNIZACIÓN DEL SECTOR ELÉCTRICO, COMOSEL</w:t>
      </w:r>
    </w:p>
    <w:p w:rsidR="00000000" w:rsidRDefault="006D00FC">
      <w:pPr>
        <w:rPr>
          <w:rFonts w:eastAsia="Times New Roman"/>
          <w:lang w:val="es-ES"/>
        </w:rPr>
      </w:pPr>
      <w:r>
        <w:rPr>
          <w:rFonts w:eastAsia="Times New Roman"/>
          <w:lang w:val="es-ES"/>
        </w:rPr>
        <w:t>Art. 1.-</w:t>
      </w:r>
      <w:r>
        <w:rPr>
          <w:rFonts w:eastAsia="Times New Roman"/>
          <w:lang w:val="es-ES"/>
        </w:rPr>
        <w:t xml:space="preserve"> </w:t>
      </w:r>
      <w:r>
        <w:rPr>
          <w:rFonts w:eastAsia="Times New Roman"/>
          <w:b/>
          <w:bCs/>
          <w:lang w:val="es-ES"/>
        </w:rPr>
        <w:t>Conformación del COMOSEL.-</w:t>
      </w:r>
      <w:r>
        <w:rPr>
          <w:rFonts w:eastAsia="Times New Roman"/>
          <w:lang w:val="es-ES"/>
        </w:rPr>
        <w:t xml:space="preserve"> (Reformado por los Arts. 1 y 2 del D.E. 1588, R.O. 349-2S, 18-VI-2001).-El Consejo estará integrado por:</w:t>
      </w:r>
      <w:r>
        <w:rPr>
          <w:rFonts w:eastAsia="Times New Roman"/>
          <w:lang w:val="es-ES"/>
        </w:rPr>
        <w:br/>
      </w:r>
      <w:r>
        <w:rPr>
          <w:rFonts w:eastAsia="Times New Roman"/>
          <w:lang w:val="es-ES"/>
        </w:rPr>
        <w:br/>
        <w:t>a) (Sustituido por el Art. 1 del D.E. 1588, R.O. 349-2S, 18-VI-2001).- El Presidente del Consejo Nacional de Modernización</w:t>
      </w:r>
      <w:r>
        <w:rPr>
          <w:rFonts w:eastAsia="Times New Roman"/>
          <w:lang w:val="es-ES"/>
        </w:rPr>
        <w:t xml:space="preserve"> del Estado, quien lo presidirá., o su delegado; y,</w:t>
      </w:r>
      <w:r>
        <w:rPr>
          <w:rFonts w:eastAsia="Times New Roman"/>
          <w:lang w:val="es-ES"/>
        </w:rPr>
        <w:br/>
      </w:r>
      <w:r>
        <w:rPr>
          <w:rFonts w:eastAsia="Times New Roman"/>
          <w:lang w:val="es-ES"/>
        </w:rPr>
        <w:br/>
        <w:t xml:space="preserve">b) (Sustituido por el Art. 1 del D.E. 1588, R.O. 349-2S, 18-VI-2001).- El Ministro de Energía y Minas, o su delegado </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lang w:val="es-ES"/>
        </w:rPr>
        <w:br/>
        <w:t xml:space="preserve">- </w:t>
      </w:r>
      <w:r>
        <w:rPr>
          <w:rFonts w:eastAsia="Times New Roman"/>
          <w:i/>
          <w:iCs/>
          <w:lang w:val="es-ES"/>
        </w:rPr>
        <w:t>Mediante D.E. 475 (R.O. 132, 23-VII-2007) se ordena la escisión del Ministe</w:t>
      </w:r>
      <w:r>
        <w:rPr>
          <w:rFonts w:eastAsia="Times New Roman"/>
          <w:i/>
          <w:iCs/>
          <w:lang w:val="es-ES"/>
        </w:rPr>
        <w:t>rio de Energía y Minas con lo cual, asumen roles independientes tanto el Ministerio de Minas y Petróleos, así como el Ministerio de Electricidad y Energía Renovable.</w:t>
      </w:r>
      <w:r>
        <w:rPr>
          <w:rFonts w:eastAsia="Times New Roman"/>
          <w:i/>
          <w:iCs/>
          <w:lang w:val="es-ES"/>
        </w:rPr>
        <w:br/>
        <w:t>- El D.E. 46 (R.O. 36, 29-IX-2009) sustituye la denominación del Ministerio de Minas y Pet</w:t>
      </w:r>
      <w:r>
        <w:rPr>
          <w:rFonts w:eastAsia="Times New Roman"/>
          <w:i/>
          <w:iCs/>
          <w:lang w:val="es-ES"/>
        </w:rPr>
        <w:t>róleos por la de Ministerio de Recursos Naturales No Renovables.</w:t>
      </w:r>
      <w:r>
        <w:rPr>
          <w:rFonts w:eastAsia="Times New Roman"/>
          <w:i/>
          <w:iCs/>
          <w:lang w:val="es-ES"/>
        </w:rPr>
        <w:br/>
      </w:r>
      <w:r>
        <w:rPr>
          <w:rFonts w:eastAsia="Times New Roman"/>
          <w:lang w:val="es-ES"/>
        </w:rPr>
        <w:br/>
        <w:t>c) El Presidente del Fondo de Solidaridad, o, como su delegado, el Gerente General del Fondo de Solidaridad;</w:t>
      </w:r>
      <w:r>
        <w:rPr>
          <w:rFonts w:eastAsia="Times New Roman"/>
          <w:lang w:val="es-ES"/>
        </w:rPr>
        <w:br/>
      </w:r>
      <w:r>
        <w:rPr>
          <w:rFonts w:eastAsia="Times New Roman"/>
          <w:lang w:val="es-ES"/>
        </w:rPr>
        <w:br/>
        <w:t>d) Un representante del Colegio de Ingenieros Eléctricos y Electrónicos del Ecua</w:t>
      </w:r>
      <w:r>
        <w:rPr>
          <w:rFonts w:eastAsia="Times New Roman"/>
          <w:lang w:val="es-ES"/>
        </w:rPr>
        <w:t>dor, CIEEE; y,</w:t>
      </w:r>
      <w:r>
        <w:rPr>
          <w:rFonts w:eastAsia="Times New Roman"/>
          <w:lang w:val="es-ES"/>
        </w:rPr>
        <w:br/>
      </w:r>
      <w:r>
        <w:rPr>
          <w:rFonts w:eastAsia="Times New Roman"/>
          <w:lang w:val="es-ES"/>
        </w:rPr>
        <w:br/>
        <w:t>e) (Reformado por el Art. 1 del D.E. 1700, R.O. 376-S, 5-VIII-1998) Un representante principal y uno suplente de los trabajadores del sector eléctrico, elegido mediante sufragio universal y directo, por los trabajadores de dicho sector eléc</w:t>
      </w:r>
      <w:r>
        <w:rPr>
          <w:rFonts w:eastAsia="Times New Roman"/>
          <w:lang w:val="es-ES"/>
        </w:rPr>
        <w:t>trico. Se encarga al Tribunal Supremo Electoral, para que realice la convocatoria a los trabajadores del sector eléctrico y lleve acabo el proceso eleccionario.</w:t>
      </w:r>
      <w:r>
        <w:rPr>
          <w:rFonts w:eastAsia="Times New Roman"/>
          <w:lang w:val="es-ES"/>
        </w:rPr>
        <w:br/>
      </w:r>
      <w:r>
        <w:rPr>
          <w:rFonts w:eastAsia="Times New Roman"/>
          <w:lang w:val="es-ES"/>
        </w:rPr>
        <w:br/>
        <w:t>El Secretario del COMOSEL será el Director Ejecutivo del CONAM, quien tendrá la representación</w:t>
      </w:r>
      <w:r>
        <w:rPr>
          <w:rFonts w:eastAsia="Times New Roman"/>
          <w:lang w:val="es-ES"/>
        </w:rPr>
        <w:t xml:space="preserve"> legal para celebrar, a nombre del Estado, todos los actos y contratos que sean necesarios para instrumentar las decisiones adoptadas por el COMOSEL.</w:t>
      </w:r>
      <w:r>
        <w:rPr>
          <w:rFonts w:eastAsia="Times New Roman"/>
          <w:lang w:val="es-ES"/>
        </w:rPr>
        <w:br/>
      </w:r>
      <w:r>
        <w:rPr>
          <w:rFonts w:eastAsia="Times New Roman"/>
          <w:lang w:val="es-ES"/>
        </w:rPr>
        <w:br/>
        <w:t>En caso de ausencia del Presidente del Consejo Nacional de Modernización, el COMOSEL será presidido por e</w:t>
      </w:r>
      <w:r>
        <w:rPr>
          <w:rFonts w:eastAsia="Times New Roman"/>
          <w:lang w:val="es-ES"/>
        </w:rPr>
        <w:t>l Ministro de Energía y Minas.</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lang w:val="es-ES"/>
        </w:rPr>
        <w:br/>
        <w:t xml:space="preserve">- </w:t>
      </w:r>
      <w:r>
        <w:rPr>
          <w:rFonts w:eastAsia="Times New Roman"/>
          <w:i/>
          <w:iCs/>
          <w:lang w:val="es-ES"/>
        </w:rPr>
        <w:t>Mediante D.E. 475 (R.O. 132, 23-VII-2007) se ordena la escisión del Ministerio de Energía y Minas con lo cual, asumen roles independientes tanto el Ministerio de Minas y Petróleos, así como el Ministerio de Electric</w:t>
      </w:r>
      <w:r>
        <w:rPr>
          <w:rFonts w:eastAsia="Times New Roman"/>
          <w:i/>
          <w:iCs/>
          <w:lang w:val="es-ES"/>
        </w:rPr>
        <w:t>idad y Energía Renovable.</w:t>
      </w:r>
      <w:r>
        <w:rPr>
          <w:rFonts w:eastAsia="Times New Roman"/>
          <w:i/>
          <w:iCs/>
          <w:lang w:val="es-ES"/>
        </w:rPr>
        <w:br/>
        <w:t>- El D.E. 46 (R.O. 36, 29-IX-2009) sustituye la denominación del Ministerio de Minas y Petróleos por la de Ministerio de Recursos Naturales No Renovables.</w:t>
      </w:r>
      <w:r>
        <w:rPr>
          <w:rFonts w:eastAsia="Times New Roman"/>
          <w:i/>
          <w:iCs/>
          <w:lang w:val="es-ES"/>
        </w:rPr>
        <w:br/>
        <w:t>- La Res. PLE-CNE-1-28-10-2008 (R.O. 464, 11-XI-2008) dispone que en toda n</w:t>
      </w:r>
      <w:r>
        <w:rPr>
          <w:rFonts w:eastAsia="Times New Roman"/>
          <w:i/>
          <w:iCs/>
          <w:lang w:val="es-ES"/>
        </w:rPr>
        <w:t>orma de materia electoral, se sustituya Tribunal Supremo Electoral por "Consejo Nacional Electoral" o "Tribunal Contencioso Electoral" según corresponda de acuerdo a la competencia establecida en la Constitución de la República del Ecuador.</w:t>
      </w:r>
    </w:p>
    <w:p w:rsidR="00000000" w:rsidRDefault="006D00FC">
      <w:pPr>
        <w:rPr>
          <w:rFonts w:eastAsia="Times New Roman"/>
          <w:lang w:val="es-ES"/>
        </w:rPr>
      </w:pPr>
      <w:r>
        <w:rPr>
          <w:rFonts w:eastAsia="Times New Roman"/>
          <w:b/>
          <w:bCs/>
          <w:lang w:val="es-ES"/>
        </w:rPr>
        <w:t xml:space="preserve">Art. 2.- </w:t>
      </w:r>
      <w:r>
        <w:rPr>
          <w:rFonts w:eastAsia="Times New Roman"/>
          <w:lang w:val="es-ES"/>
        </w:rPr>
        <w:t>(Susti</w:t>
      </w:r>
      <w:r>
        <w:rPr>
          <w:rFonts w:eastAsia="Times New Roman"/>
          <w:lang w:val="es-ES"/>
        </w:rPr>
        <w:t>tuido por el Art. 3 del D.E. 1588, R.O. 349-2S, 18-VI-2001).- Son funciones del COMOSEL las siguientes:</w:t>
      </w:r>
      <w:r>
        <w:rPr>
          <w:rFonts w:eastAsia="Times New Roman"/>
          <w:lang w:val="es-ES"/>
        </w:rPr>
        <w:br/>
      </w:r>
      <w:r>
        <w:rPr>
          <w:rFonts w:eastAsia="Times New Roman"/>
          <w:lang w:val="es-ES"/>
        </w:rPr>
        <w:br/>
        <w:t>a) Aprobar la valoración de las empresas y fijar el precio base de la venta;</w:t>
      </w:r>
      <w:r>
        <w:rPr>
          <w:rFonts w:eastAsia="Times New Roman"/>
          <w:lang w:val="es-ES"/>
        </w:rPr>
        <w:br/>
      </w:r>
      <w:r>
        <w:rPr>
          <w:rFonts w:eastAsia="Times New Roman"/>
          <w:lang w:val="es-ES"/>
        </w:rPr>
        <w:br/>
        <w:t>b) Aprobar las bases para el proceso de venta de las acciones o de capita</w:t>
      </w:r>
      <w:r>
        <w:rPr>
          <w:rFonts w:eastAsia="Times New Roman"/>
          <w:lang w:val="es-ES"/>
        </w:rPr>
        <w:t>lización, o la combinación de las modalidades anteriores, de las empresas del sector eléctrico en las que el Fondo de Solidaridad o los gobiernos seccionales tengan participación accionaria;</w:t>
      </w:r>
      <w:r>
        <w:rPr>
          <w:rFonts w:eastAsia="Times New Roman"/>
          <w:lang w:val="es-ES"/>
        </w:rPr>
        <w:br/>
      </w:r>
      <w:r>
        <w:rPr>
          <w:rFonts w:eastAsia="Times New Roman"/>
          <w:lang w:val="es-ES"/>
        </w:rPr>
        <w:br/>
      </w:r>
      <w:r>
        <w:rPr>
          <w:rFonts w:eastAsia="Times New Roman"/>
          <w:b/>
          <w:bCs/>
          <w:u w:val="single"/>
          <w:lang w:val="es-ES"/>
        </w:rPr>
        <w:t>Nota:</w:t>
      </w:r>
      <w:r>
        <w:rPr>
          <w:rFonts w:eastAsia="Times New Roman"/>
          <w:b/>
          <w:bCs/>
          <w:u w:val="single"/>
          <w:lang w:val="es-ES"/>
        </w:rPr>
        <w:br/>
      </w:r>
      <w:r>
        <w:rPr>
          <w:rFonts w:eastAsia="Times New Roman"/>
          <w:i/>
          <w:iCs/>
          <w:lang w:val="es-ES"/>
        </w:rPr>
        <w:t>La Disposición Transitoria Quinta de la Ley s/n (R.O. 48-S</w:t>
      </w:r>
      <w:r>
        <w:rPr>
          <w:rFonts w:eastAsia="Times New Roman"/>
          <w:i/>
          <w:iCs/>
          <w:lang w:val="es-ES"/>
        </w:rPr>
        <w:t>, 16-X-2009) establece que los recursos tecnológicos, materiales y demás activos del Fondo de Solidaridad serán transferidos, conforme determine el Ejecutivo. Los programas de desarrollo humano que estuvieren financiados por el Fondo de Solidaridad en cual</w:t>
      </w:r>
      <w:r>
        <w:rPr>
          <w:rFonts w:eastAsia="Times New Roman"/>
          <w:i/>
          <w:iCs/>
          <w:lang w:val="es-ES"/>
        </w:rPr>
        <w:t>quier fase o etapa de ejecución, serán trasladados con sus recursos presupuestarios respectivos al Banco del Estado.</w:t>
      </w:r>
      <w:r>
        <w:rPr>
          <w:rFonts w:eastAsia="Times New Roman"/>
          <w:lang w:val="es-ES"/>
        </w:rPr>
        <w:br/>
      </w:r>
      <w:r>
        <w:rPr>
          <w:rFonts w:eastAsia="Times New Roman"/>
          <w:lang w:val="es-ES"/>
        </w:rPr>
        <w:br/>
        <w:t>c) Convocar a la precalificación o calificación de los operadores interesados en la compra de acciones, capitalización o la combinación de</w:t>
      </w:r>
      <w:r>
        <w:rPr>
          <w:rFonts w:eastAsia="Times New Roman"/>
          <w:lang w:val="es-ES"/>
        </w:rPr>
        <w:t xml:space="preserve"> las modalidades anteriores, de las empresas a las que se refiere el literal precedente, de acuerdo con las bases aprobadas y hasta los porcentajes establecidos en la ley;</w:t>
      </w:r>
      <w:r>
        <w:rPr>
          <w:rFonts w:eastAsia="Times New Roman"/>
          <w:lang w:val="es-ES"/>
        </w:rPr>
        <w:br/>
      </w:r>
      <w:r>
        <w:rPr>
          <w:rFonts w:eastAsia="Times New Roman"/>
          <w:lang w:val="es-ES"/>
        </w:rPr>
        <w:br/>
        <w:t>d) Realizar la evaluación, precalificación o calificación de los operadores interes</w:t>
      </w:r>
      <w:r>
        <w:rPr>
          <w:rFonts w:eastAsia="Times New Roman"/>
          <w:lang w:val="es-ES"/>
        </w:rPr>
        <w:t>ados, de acuerdo con las bases;</w:t>
      </w:r>
      <w:r>
        <w:rPr>
          <w:rFonts w:eastAsia="Times New Roman"/>
          <w:lang w:val="es-ES"/>
        </w:rPr>
        <w:br/>
      </w:r>
      <w:r>
        <w:rPr>
          <w:rFonts w:eastAsia="Times New Roman"/>
          <w:lang w:val="es-ES"/>
        </w:rPr>
        <w:br/>
        <w:t>e) Convocar a los operadores interesados y calificados previamente, para que presenten sus ofertas para la compra de acciones, capitalización o la combinación de las modalidades anteriores, de las empresas del sector eléctr</w:t>
      </w:r>
      <w:r>
        <w:rPr>
          <w:rFonts w:eastAsia="Times New Roman"/>
          <w:lang w:val="es-ES"/>
        </w:rPr>
        <w:t>ico en las que el Fondo de Solidaridad o los gobiernos seccionales tengan participación accionaria. Cada una de las ofertas deberán estar acompañadas de las correspondientes garantías de seriedad;</w:t>
      </w:r>
      <w:r>
        <w:rPr>
          <w:rFonts w:eastAsia="Times New Roman"/>
          <w:lang w:val="es-ES"/>
        </w:rPr>
        <w:br/>
      </w:r>
      <w:r>
        <w:rPr>
          <w:rFonts w:eastAsia="Times New Roman"/>
          <w:lang w:val="es-ES"/>
        </w:rPr>
        <w:br/>
      </w:r>
      <w:r>
        <w:rPr>
          <w:rFonts w:eastAsia="Times New Roman"/>
          <w:b/>
          <w:bCs/>
          <w:u w:val="single"/>
          <w:lang w:val="es-ES"/>
        </w:rPr>
        <w:t>Nota:</w:t>
      </w:r>
      <w:r>
        <w:rPr>
          <w:rFonts w:eastAsia="Times New Roman"/>
          <w:b/>
          <w:bCs/>
          <w:u w:val="single"/>
          <w:lang w:val="es-ES"/>
        </w:rPr>
        <w:br/>
      </w:r>
      <w:r>
        <w:rPr>
          <w:rFonts w:eastAsia="Times New Roman"/>
          <w:i/>
          <w:iCs/>
          <w:lang w:val="es-ES"/>
        </w:rPr>
        <w:t>La Disposición Transitoria Quinta de la Ley s/n (R.O</w:t>
      </w:r>
      <w:r>
        <w:rPr>
          <w:rFonts w:eastAsia="Times New Roman"/>
          <w:i/>
          <w:iCs/>
          <w:lang w:val="es-ES"/>
        </w:rPr>
        <w:t>. 48-S, 16-X-2009) establece que los recursos tecnológicos, materiales y demás activos del Fondo de Solidaridad serán transferidos, conforme determine el Ejecutivo. Los programas de desarrollo humano que estuvieren financiados por el Fondo de Solidaridad e</w:t>
      </w:r>
      <w:r>
        <w:rPr>
          <w:rFonts w:eastAsia="Times New Roman"/>
          <w:i/>
          <w:iCs/>
          <w:lang w:val="es-ES"/>
        </w:rPr>
        <w:t>n cualquier fase o etapa de ejecución, serán trasladados con sus recursos presupuestarios respectivos al Banco del Estado.</w:t>
      </w:r>
      <w:r>
        <w:rPr>
          <w:rFonts w:eastAsia="Times New Roman"/>
          <w:lang w:val="es-ES"/>
        </w:rPr>
        <w:br/>
      </w:r>
      <w:r>
        <w:rPr>
          <w:rFonts w:eastAsia="Times New Roman"/>
          <w:lang w:val="es-ES"/>
        </w:rPr>
        <w:br/>
        <w:t>f) Calificar a las ofertas presentadas y realizar las adjudicaciones a la mejor o a las mejores ofertas económicas según corresponda</w:t>
      </w:r>
      <w:r>
        <w:rPr>
          <w:rFonts w:eastAsia="Times New Roman"/>
          <w:lang w:val="es-ES"/>
        </w:rPr>
        <w:t>, exigiendo el cumplimiento de todas las formalidades, garantías y demás requisitos establecidos en las bases y documentos elaborados para el efecto; y,</w:t>
      </w:r>
      <w:r>
        <w:rPr>
          <w:rFonts w:eastAsia="Times New Roman"/>
          <w:lang w:val="es-ES"/>
        </w:rPr>
        <w:br/>
      </w:r>
      <w:r>
        <w:rPr>
          <w:rFonts w:eastAsia="Times New Roman"/>
          <w:lang w:val="es-ES"/>
        </w:rPr>
        <w:br/>
        <w:t>g) Conocer y resolver de acuerdo con la ley sobre los reclamos y recursos administrativos que se inter</w:t>
      </w:r>
      <w:r>
        <w:rPr>
          <w:rFonts w:eastAsia="Times New Roman"/>
          <w:lang w:val="es-ES"/>
        </w:rPr>
        <w:t>pusieren respecto de las resoluciones adoptadas por el COMOSEL.</w:t>
      </w:r>
      <w:r>
        <w:rPr>
          <w:rFonts w:eastAsia="Times New Roman"/>
          <w:lang w:val="es-ES"/>
        </w:rPr>
        <w:br/>
      </w:r>
      <w:r>
        <w:rPr>
          <w:rFonts w:eastAsia="Times New Roman"/>
          <w:lang w:val="es-ES"/>
        </w:rPr>
        <w:br/>
        <w:t>Para el cumplimiento de estas funciones, el COMOSEL definirá los procedimientos y modalidades a adoptarse en cada caso, de conformidad con lo dispuesto en las normas legales pertinentes.</w:t>
      </w:r>
    </w:p>
    <w:p w:rsidR="00000000" w:rsidRDefault="006D00FC">
      <w:pPr>
        <w:rPr>
          <w:rFonts w:eastAsia="Times New Roman"/>
          <w:lang w:val="es-ES"/>
        </w:rPr>
      </w:pPr>
      <w:r>
        <w:rPr>
          <w:rFonts w:eastAsia="Times New Roman"/>
          <w:lang w:val="es-ES"/>
        </w:rPr>
        <w:t>Art.</w:t>
      </w:r>
      <w:r>
        <w:rPr>
          <w:rFonts w:eastAsia="Times New Roman"/>
          <w:lang w:val="es-ES"/>
        </w:rPr>
        <w:t xml:space="preserve"> 3.- </w:t>
      </w:r>
      <w:r>
        <w:rPr>
          <w:rFonts w:eastAsia="Times New Roman"/>
          <w:b/>
          <w:bCs/>
          <w:lang w:val="es-ES"/>
        </w:rPr>
        <w:t>Normas de funcionamiento.-</w:t>
      </w:r>
      <w:r>
        <w:rPr>
          <w:rFonts w:eastAsia="Times New Roman"/>
          <w:b/>
          <w:bCs/>
          <w:lang w:val="es-ES"/>
        </w:rPr>
        <w:br/>
      </w:r>
      <w:r>
        <w:rPr>
          <w:rFonts w:eastAsia="Times New Roman"/>
          <w:b/>
          <w:bCs/>
          <w:lang w:val="es-ES"/>
        </w:rPr>
        <w:br/>
      </w:r>
      <w:r>
        <w:rPr>
          <w:rFonts w:eastAsia="Times New Roman"/>
          <w:lang w:val="es-ES"/>
        </w:rPr>
        <w:t>a) Las sesiones se realizarán, por lo menos, una vez al mes o cuando lo solicite el Presidente o al menos tres de sus miembros. La convocatoria será realizada por el Secretario, mediante nota escrita, con por lo menos 48 ho</w:t>
      </w:r>
      <w:r>
        <w:rPr>
          <w:rFonts w:eastAsia="Times New Roman"/>
          <w:lang w:val="es-ES"/>
        </w:rPr>
        <w:t>ras de anticipación;</w:t>
      </w:r>
      <w:r>
        <w:rPr>
          <w:rFonts w:eastAsia="Times New Roman"/>
          <w:lang w:val="es-ES"/>
        </w:rPr>
        <w:br/>
      </w:r>
      <w:r>
        <w:rPr>
          <w:rFonts w:eastAsia="Times New Roman"/>
          <w:lang w:val="es-ES"/>
        </w:rPr>
        <w:br/>
        <w:t>b) Para que el COMOSEL pueda sesionar se requiere de la presencia de por lo menos tres de sus miembros entre los cuales deberá estar obligatoriamente el Presidente. Sus decisiones se tomarán por mayoría de votos. El voto del President</w:t>
      </w:r>
      <w:r>
        <w:rPr>
          <w:rFonts w:eastAsia="Times New Roman"/>
          <w:lang w:val="es-ES"/>
        </w:rPr>
        <w:t>e o de quien lo presida, tendrá el carácter de dirimente; y,</w:t>
      </w:r>
      <w:r>
        <w:rPr>
          <w:rFonts w:eastAsia="Times New Roman"/>
          <w:lang w:val="es-ES"/>
        </w:rPr>
        <w:br/>
      </w:r>
      <w:r>
        <w:rPr>
          <w:rFonts w:eastAsia="Times New Roman"/>
          <w:lang w:val="es-ES"/>
        </w:rPr>
        <w:br/>
        <w:t xml:space="preserve">c) (Reformado por el Art. 1, num. 149 del D.E. 1665, R.O. 341, 25-V-2004).- El COMOSEL dictará sus propias normas de funcionamiento administrativo que serán consistentes con lo expresado en las </w:t>
      </w:r>
      <w:r>
        <w:rPr>
          <w:rFonts w:eastAsia="Times New Roman"/>
          <w:lang w:val="es-ES"/>
        </w:rPr>
        <w:t>leyes y en este Reglamento.</w:t>
      </w:r>
    </w:p>
    <w:p w:rsidR="00000000" w:rsidRDefault="006D00FC">
      <w:pPr>
        <w:rPr>
          <w:rFonts w:eastAsia="Times New Roman"/>
          <w:lang w:val="es-ES"/>
        </w:rPr>
      </w:pPr>
      <w:r>
        <w:rPr>
          <w:rFonts w:eastAsia="Times New Roman"/>
          <w:b/>
          <w:bCs/>
          <w:lang w:val="es-ES"/>
        </w:rPr>
        <w:t>Art. 4.-</w:t>
      </w:r>
      <w:r>
        <w:rPr>
          <w:rFonts w:eastAsia="Times New Roman"/>
          <w:lang w:val="es-ES"/>
        </w:rPr>
        <w:t xml:space="preserve"> El presente reglamento entrará en vigencia a partir de la fecha de su publicación en el Registro Oficial.</w:t>
      </w:r>
      <w:r>
        <w:rPr>
          <w:rFonts w:eastAsia="Times New Roman"/>
          <w:lang w:val="es-ES"/>
        </w:rPr>
        <w:br/>
      </w:r>
      <w:r>
        <w:rPr>
          <w:rFonts w:eastAsia="Times New Roman"/>
          <w:lang w:val="es-ES"/>
        </w:rPr>
        <w:br/>
        <w:t>Dado, en el Palacio Nacional, en Quito, a 30 de marzo de 1998.</w:t>
      </w:r>
    </w:p>
    <w:p w:rsidR="00000000" w:rsidRDefault="006D00FC">
      <w:pPr>
        <w:jc w:val="center"/>
        <w:rPr>
          <w:rFonts w:eastAsia="Times New Roman"/>
          <w:sz w:val="27"/>
          <w:szCs w:val="27"/>
          <w:lang w:val="es-ES"/>
        </w:rPr>
      </w:pPr>
      <w:r>
        <w:rPr>
          <w:rFonts w:eastAsia="Times New Roman"/>
          <w:sz w:val="27"/>
          <w:szCs w:val="27"/>
          <w:lang w:val="es-ES"/>
        </w:rPr>
        <w:br/>
      </w:r>
      <w:r>
        <w:rPr>
          <w:rFonts w:eastAsia="Times New Roman"/>
          <w:sz w:val="27"/>
          <w:szCs w:val="27"/>
          <w:lang w:val="es-ES"/>
        </w:rPr>
        <w:br/>
        <w:t>FUENTES DE LA PRESENTE EDICIÓN DEL REGLAMENTO C</w:t>
      </w:r>
      <w:r>
        <w:rPr>
          <w:rFonts w:eastAsia="Times New Roman"/>
          <w:sz w:val="27"/>
          <w:szCs w:val="27"/>
          <w:lang w:val="es-ES"/>
        </w:rPr>
        <w:t>ONSTITUTIVO DEL CONSEJO DE MODERNIZACIÓN DEL SECTOR ELÉCTRICO, COMOSEL</w:t>
      </w:r>
    </w:p>
    <w:p w:rsidR="006D00FC" w:rsidRDefault="006D00FC">
      <w:pPr>
        <w:rPr>
          <w:rFonts w:eastAsia="Times New Roman"/>
          <w:sz w:val="20"/>
          <w:szCs w:val="20"/>
          <w:lang w:val="es-ES"/>
        </w:rPr>
      </w:pPr>
      <w:r>
        <w:rPr>
          <w:rFonts w:eastAsia="Times New Roman"/>
          <w:sz w:val="20"/>
          <w:szCs w:val="20"/>
          <w:lang w:val="es-ES"/>
        </w:rPr>
        <w:br/>
      </w:r>
      <w:r>
        <w:rPr>
          <w:rFonts w:eastAsia="Times New Roman"/>
          <w:sz w:val="20"/>
          <w:szCs w:val="20"/>
          <w:lang w:val="es-ES"/>
        </w:rPr>
        <w:br/>
        <w:t>1.- Decreto 1271 (Suplemento del Registro Oficial 287, 31-III-1998)</w:t>
      </w:r>
      <w:r>
        <w:rPr>
          <w:rFonts w:eastAsia="Times New Roman"/>
          <w:sz w:val="20"/>
          <w:szCs w:val="20"/>
          <w:lang w:val="es-ES"/>
        </w:rPr>
        <w:br/>
      </w:r>
      <w:r>
        <w:rPr>
          <w:rFonts w:eastAsia="Times New Roman"/>
          <w:sz w:val="20"/>
          <w:szCs w:val="20"/>
          <w:lang w:val="es-ES"/>
        </w:rPr>
        <w:br/>
        <w:t>2.- Decreto 1700 (Suplemento del Registro Oficial 376, 5-VIII-1998)</w:t>
      </w:r>
      <w:r>
        <w:rPr>
          <w:rFonts w:eastAsia="Times New Roman"/>
          <w:sz w:val="20"/>
          <w:szCs w:val="20"/>
          <w:lang w:val="es-ES"/>
        </w:rPr>
        <w:br/>
      </w:r>
      <w:r>
        <w:rPr>
          <w:rFonts w:eastAsia="Times New Roman"/>
          <w:sz w:val="20"/>
          <w:szCs w:val="20"/>
          <w:lang w:val="es-ES"/>
        </w:rPr>
        <w:br/>
        <w:t>3.- Decreto 1588 (Segundo Suplemento del Regi</w:t>
      </w:r>
      <w:r>
        <w:rPr>
          <w:rFonts w:eastAsia="Times New Roman"/>
          <w:sz w:val="20"/>
          <w:szCs w:val="20"/>
          <w:lang w:val="es-ES"/>
        </w:rPr>
        <w:t>stro Oficial 349, 18-VI-2001)</w:t>
      </w:r>
      <w:r>
        <w:rPr>
          <w:rFonts w:eastAsia="Times New Roman"/>
          <w:sz w:val="20"/>
          <w:szCs w:val="20"/>
          <w:lang w:val="es-ES"/>
        </w:rPr>
        <w:br/>
      </w:r>
      <w:r>
        <w:rPr>
          <w:rFonts w:eastAsia="Times New Roman"/>
          <w:sz w:val="20"/>
          <w:szCs w:val="20"/>
          <w:lang w:val="es-ES"/>
        </w:rPr>
        <w:br/>
        <w:t>4.- Decreto 1665 (Registro Oficial 341, 25-V-2004).</w:t>
      </w:r>
    </w:p>
    <w:sectPr w:rsidR="006D00F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defaultTabStop w:val="708"/>
  <w:hyphenationZone w:val="425"/>
  <w:noPunctuationKerning/>
  <w:characterSpacingControl w:val="doNotCompress"/>
  <w:compat/>
  <w:rsids>
    <w:rsidRoot w:val="00ED4536"/>
    <w:rsid w:val="006D00FC"/>
    <w:rsid w:val="00ED4536"/>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1182</Words>
  <Characters>6501</Characters>
  <Application>Microsoft Office Word</Application>
  <DocSecurity>0</DocSecurity>
  <Lines>54</Lines>
  <Paragraphs>15</Paragraphs>
  <ScaleCrop>false</ScaleCrop>
  <Company/>
  <LinksUpToDate>false</LinksUpToDate>
  <CharactersWithSpaces>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Larrea Soria</dc:creator>
  <cp:lastModifiedBy>Familia Larrea Soria</cp:lastModifiedBy>
  <cp:revision>2</cp:revision>
  <dcterms:created xsi:type="dcterms:W3CDTF">2013-03-04T20:33:00Z</dcterms:created>
  <dcterms:modified xsi:type="dcterms:W3CDTF">2013-03-04T20:33:00Z</dcterms:modified>
</cp:coreProperties>
</file>