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5C35">
      <w:pPr>
        <w:pStyle w:val="NormalWeb"/>
        <w:rPr>
          <w:lang w:val="es-ES"/>
        </w:rPr>
      </w:pPr>
      <w:bookmarkStart w:id="0" w:name="_GoBack"/>
      <w:bookmarkEnd w:id="0"/>
      <w:r>
        <w:rPr>
          <w:b/>
          <w:bCs/>
          <w:lang w:val="es-ES"/>
        </w:rPr>
        <w:t>Suplemento del Registro Oficial No. 218 , 3 de Abril 2014</w:t>
      </w:r>
    </w:p>
    <w:p w:rsidR="00000000" w:rsidRDefault="002A5C35">
      <w:pPr>
        <w:pStyle w:val="NormalWeb"/>
        <w:rPr>
          <w:lang w:val="es-ES"/>
        </w:rPr>
      </w:pPr>
      <w:r>
        <w:rPr>
          <w:b/>
          <w:bCs/>
          <w:lang w:val="es-ES"/>
        </w:rPr>
        <w:t>Normativa:</w:t>
      </w:r>
      <w:r>
        <w:rPr>
          <w:lang w:val="es-ES"/>
        </w:rPr>
        <w:t xml:space="preserve"> Vigente</w:t>
      </w:r>
    </w:p>
    <w:p w:rsidR="00000000" w:rsidRDefault="002A5C3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RESOLUCIÓN No. 041-2014</w:t>
      </w:r>
      <w:r>
        <w:rPr>
          <w:rFonts w:eastAsia="Times New Roman"/>
          <w:b/>
          <w:bCs/>
          <w:sz w:val="48"/>
          <w:szCs w:val="48"/>
          <w:lang w:val="es-ES"/>
        </w:rPr>
        <w:br/>
      </w:r>
      <w:r>
        <w:rPr>
          <w:rFonts w:eastAsia="Times New Roman"/>
          <w:b/>
          <w:bCs/>
          <w:sz w:val="48"/>
          <w:szCs w:val="48"/>
          <w:lang w:val="es-ES"/>
        </w:rPr>
        <w:t>(SE DETERMINA QUE EL CENTRO DE MEDIACIÓN DE LA FUNCIÓN JUDICIAL ES EL ÚNICO AUTORIZADO PARA REALIZAR LOS PROCESOS DE MEDIACIÓN DENTRO DE LAS CAUSAS EN MATERIA DE ADOLESCENTES INFRACTORES)</w:t>
      </w:r>
    </w:p>
    <w:p w:rsidR="00000000" w:rsidRDefault="002A5C35">
      <w:pPr>
        <w:divId w:val="1463841390"/>
        <w:rPr>
          <w:rFonts w:eastAsia="Times New Roman"/>
          <w:sz w:val="30"/>
          <w:szCs w:val="30"/>
          <w:lang w:val="es-ES"/>
        </w:rPr>
      </w:pPr>
      <w:r>
        <w:rPr>
          <w:rFonts w:eastAsia="Times New Roman"/>
          <w:sz w:val="30"/>
          <w:szCs w:val="30"/>
          <w:lang w:val="es-ES"/>
        </w:rPr>
        <w:br/>
      </w:r>
      <w:r>
        <w:rPr>
          <w:rFonts w:eastAsia="Times New Roman"/>
          <w:sz w:val="30"/>
          <w:szCs w:val="30"/>
          <w:lang w:val="es-ES"/>
        </w:rPr>
        <w:br/>
        <w:t>EL PLENO DEL CONSEJO DE LA JUDICATURA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artí</w:t>
      </w:r>
      <w:r>
        <w:rPr>
          <w:rFonts w:eastAsia="Times New Roman"/>
          <w:sz w:val="30"/>
          <w:szCs w:val="30"/>
          <w:lang w:val="es-ES"/>
        </w:rPr>
        <w:t xml:space="preserve">culo 178 de la Constitución de la República del Ecuador dispone: </w:t>
      </w:r>
      <w:r>
        <w:rPr>
          <w:rFonts w:eastAsia="Times New Roman"/>
          <w:i/>
          <w:iCs/>
          <w:sz w:val="30"/>
          <w:szCs w:val="30"/>
          <w:lang w:val="es-ES"/>
        </w:rPr>
        <w:t>“El Consejo de la Judicatura es el órgano de gobierno, administración, vigilancia y disciplina de la Función Judicial”;</w:t>
      </w:r>
      <w:r>
        <w:rPr>
          <w:rFonts w:eastAsia="Times New Roman"/>
          <w:sz w:val="30"/>
          <w:szCs w:val="30"/>
          <w:lang w:val="es-ES"/>
        </w:rPr>
        <w:br/>
      </w:r>
      <w:r>
        <w:rPr>
          <w:rFonts w:eastAsia="Times New Roman"/>
          <w:sz w:val="30"/>
          <w:szCs w:val="30"/>
          <w:lang w:val="es-ES"/>
        </w:rPr>
        <w:br/>
        <w:t>Que, el inciso segundo del artículo 44 de la Constitución de la Repúbl</w:t>
      </w:r>
      <w:r>
        <w:rPr>
          <w:rFonts w:eastAsia="Times New Roman"/>
          <w:sz w:val="30"/>
          <w:szCs w:val="30"/>
          <w:lang w:val="es-ES"/>
        </w:rPr>
        <w:t>ica del Ecuador manda: “</w:t>
      </w:r>
      <w:r>
        <w:rPr>
          <w:rFonts w:eastAsia="Times New Roman"/>
          <w:i/>
          <w:iCs/>
          <w:sz w:val="30"/>
          <w:szCs w:val="30"/>
          <w:lang w:val="es-ES"/>
        </w:rPr>
        <w:t>Las niñas, niños y adolescentes tendrán derecho a su desarrollo integral, entendido como proceso de crecimiento, maduración y despliegue de su intelecto y de sus capacidades, potencialidades y aspiraciones, en un entorno familiar, e</w:t>
      </w:r>
      <w:r>
        <w:rPr>
          <w:rFonts w:eastAsia="Times New Roman"/>
          <w:i/>
          <w:iCs/>
          <w:sz w:val="30"/>
          <w:szCs w:val="30"/>
          <w:lang w:val="es-ES"/>
        </w:rPr>
        <w:t>scolar, social y comunitario de afectividad y seguridad. Este entorno permitirá la satisfacción de sus necesidades sociales, afectivo-emocionales y culturales, con el apoyo de políticas intersectoriales nacionales y locales”;</w:t>
      </w:r>
      <w:r>
        <w:rPr>
          <w:rFonts w:eastAsia="Times New Roman"/>
          <w:sz w:val="30"/>
          <w:szCs w:val="30"/>
          <w:lang w:val="es-ES"/>
        </w:rPr>
        <w:br/>
      </w:r>
      <w:r>
        <w:rPr>
          <w:rFonts w:eastAsia="Times New Roman"/>
          <w:sz w:val="30"/>
          <w:szCs w:val="30"/>
          <w:lang w:val="es-ES"/>
        </w:rPr>
        <w:lastRenderedPageBreak/>
        <w:br/>
        <w:t>Que, el artículo 84 de la Con</w:t>
      </w:r>
      <w:r>
        <w:rPr>
          <w:rFonts w:eastAsia="Times New Roman"/>
          <w:sz w:val="30"/>
          <w:szCs w:val="30"/>
          <w:lang w:val="es-ES"/>
        </w:rPr>
        <w:t>stitución de la República del Ecuador establece</w:t>
      </w:r>
      <w:r>
        <w:rPr>
          <w:rFonts w:eastAsia="Times New Roman"/>
          <w:b/>
          <w:bCs/>
          <w:sz w:val="30"/>
          <w:szCs w:val="30"/>
          <w:lang w:val="es-ES"/>
        </w:rPr>
        <w:t>: “</w:t>
      </w:r>
      <w:r>
        <w:rPr>
          <w:rFonts w:eastAsia="Times New Roman"/>
          <w:i/>
          <w:iCs/>
          <w:sz w:val="30"/>
          <w:szCs w:val="30"/>
          <w:lang w:val="es-ES"/>
        </w:rPr>
        <w:t>La Asamblea Nacional y todo órgano con potestad normativa tendrá la obligación de adecuar, formal y materialmente, las leyes y demás normas jurídicas a los derechos previstos en la Constitución y los tratad</w:t>
      </w:r>
      <w:r>
        <w:rPr>
          <w:rFonts w:eastAsia="Times New Roman"/>
          <w:i/>
          <w:iCs/>
          <w:sz w:val="30"/>
          <w:szCs w:val="30"/>
          <w:lang w:val="es-ES"/>
        </w:rPr>
        <w:t>os internacionales, y los que sean necesarios para garantizar la dignidad del ser humano o de las comunidades, pueblos y nacionalidades. En ningún caso, la reforma de la Constitución, las leyes, otras normas jurídicas ni los actos del poder público atentar</w:t>
      </w:r>
      <w:r>
        <w:rPr>
          <w:rFonts w:eastAsia="Times New Roman"/>
          <w:i/>
          <w:iCs/>
          <w:sz w:val="30"/>
          <w:szCs w:val="30"/>
          <w:lang w:val="es-ES"/>
        </w:rPr>
        <w:t>án contra los derechos que reconoce la Constitución”;</w:t>
      </w:r>
      <w:r>
        <w:rPr>
          <w:rFonts w:eastAsia="Times New Roman"/>
          <w:sz w:val="30"/>
          <w:szCs w:val="30"/>
          <w:lang w:val="es-ES"/>
        </w:rPr>
        <w:br/>
      </w:r>
      <w:r>
        <w:rPr>
          <w:rFonts w:eastAsia="Times New Roman"/>
          <w:sz w:val="30"/>
          <w:szCs w:val="30"/>
          <w:lang w:val="es-ES"/>
        </w:rPr>
        <w:br/>
        <w:t>Que, el artículo 181 de la Constitución de la República del Ecuador determina: “</w:t>
      </w:r>
      <w:r>
        <w:rPr>
          <w:rFonts w:eastAsia="Times New Roman"/>
          <w:i/>
          <w:iCs/>
          <w:sz w:val="30"/>
          <w:szCs w:val="30"/>
          <w:lang w:val="es-ES"/>
        </w:rPr>
        <w:t>Serán funciones del Consejo de la Judicatura además de las que determine la ley: 1) Definir y ejecutar las políticas para</w:t>
      </w:r>
      <w:r>
        <w:rPr>
          <w:rFonts w:eastAsia="Times New Roman"/>
          <w:i/>
          <w:iCs/>
          <w:sz w:val="30"/>
          <w:szCs w:val="30"/>
          <w:lang w:val="es-ES"/>
        </w:rPr>
        <w:t xml:space="preserve"> el mejoramiento y modernización del sistema judicial (…) y 5) Velar por la transparencia y eficiencia de la Función Judicial”;</w:t>
      </w:r>
      <w:r>
        <w:rPr>
          <w:rFonts w:eastAsia="Times New Roman"/>
          <w:sz w:val="30"/>
          <w:szCs w:val="30"/>
          <w:lang w:val="es-ES"/>
        </w:rPr>
        <w:br/>
      </w:r>
      <w:r>
        <w:rPr>
          <w:rFonts w:eastAsia="Times New Roman"/>
          <w:sz w:val="30"/>
          <w:szCs w:val="30"/>
          <w:lang w:val="es-ES"/>
        </w:rPr>
        <w:br/>
        <w:t xml:space="preserve">Que, el artículo 190 de la Constitución de la República del Ecuador señala: </w:t>
      </w:r>
      <w:r>
        <w:rPr>
          <w:rFonts w:eastAsia="Times New Roman"/>
          <w:b/>
          <w:bCs/>
          <w:i/>
          <w:iCs/>
          <w:sz w:val="30"/>
          <w:szCs w:val="30"/>
          <w:lang w:val="es-ES"/>
        </w:rPr>
        <w:t>“</w:t>
      </w:r>
      <w:r>
        <w:rPr>
          <w:rFonts w:eastAsia="Times New Roman"/>
          <w:i/>
          <w:iCs/>
          <w:sz w:val="30"/>
          <w:szCs w:val="30"/>
          <w:lang w:val="es-ES"/>
        </w:rPr>
        <w:t>Se reconoce el arbitraje, la mediación y otros pro</w:t>
      </w:r>
      <w:r>
        <w:rPr>
          <w:rFonts w:eastAsia="Times New Roman"/>
          <w:i/>
          <w:iCs/>
          <w:sz w:val="30"/>
          <w:szCs w:val="30"/>
          <w:lang w:val="es-ES"/>
        </w:rPr>
        <w:t>cedimientos alternativos para la solución de conflictos. Estos procedimientos se aplicarán con sujeción a la ley, en materias en las que por su naturaleza se pueda transigir”;</w:t>
      </w:r>
      <w:r>
        <w:rPr>
          <w:rFonts w:eastAsia="Times New Roman"/>
          <w:sz w:val="30"/>
          <w:szCs w:val="30"/>
          <w:lang w:val="es-ES"/>
        </w:rPr>
        <w:br/>
      </w:r>
      <w:r>
        <w:rPr>
          <w:rFonts w:eastAsia="Times New Roman"/>
          <w:sz w:val="30"/>
          <w:szCs w:val="30"/>
          <w:lang w:val="es-ES"/>
        </w:rPr>
        <w:br/>
        <w:t>Que, el inciso segundo del artículo 17 Código Orgánico de la Función Judicial s</w:t>
      </w:r>
      <w:r>
        <w:rPr>
          <w:rFonts w:eastAsia="Times New Roman"/>
          <w:sz w:val="30"/>
          <w:szCs w:val="30"/>
          <w:lang w:val="es-ES"/>
        </w:rPr>
        <w:t>eñala: “</w:t>
      </w:r>
      <w:r>
        <w:rPr>
          <w:rFonts w:eastAsia="Times New Roman"/>
          <w:i/>
          <w:iCs/>
          <w:sz w:val="30"/>
          <w:szCs w:val="30"/>
          <w:lang w:val="es-ES"/>
        </w:rPr>
        <w:t>El arbitraje, la mediación y otros medios alternativos de solución de conflictos establecidos por la ley, constituyen una forma de este servicio público, al igual que las funciones de justicia que en los pueblos indígenas ejercen sus autoridades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los literales a) y b) del numeral 8 del artículo 264 del Código Orgánico de la Función Judicial, determinan que de acuerdo a las necesidades del servicio, al Pleno del Consejo de la Judicatura le corresponde: </w:t>
      </w:r>
      <w:r>
        <w:rPr>
          <w:rFonts w:eastAsia="Times New Roman"/>
          <w:i/>
          <w:iCs/>
          <w:sz w:val="30"/>
          <w:szCs w:val="30"/>
          <w:lang w:val="es-ES"/>
        </w:rPr>
        <w:t xml:space="preserve">“a) Crear, modificar o suprimir salas de </w:t>
      </w:r>
      <w:r>
        <w:rPr>
          <w:rFonts w:eastAsia="Times New Roman"/>
          <w:i/>
          <w:iCs/>
          <w:sz w:val="30"/>
          <w:szCs w:val="30"/>
          <w:lang w:val="es-ES"/>
        </w:rPr>
        <w:t>las cortes provinciales, tribunales penales, juzgados de primer nivel y juzgados de paz; así como también establecer el número de jueces necesarios previo el informe técnico correspondiente”; y, “b) Establecer o modificar la sede, modelo de gestión y preci</w:t>
      </w:r>
      <w:r>
        <w:rPr>
          <w:rFonts w:eastAsia="Times New Roman"/>
          <w:i/>
          <w:iCs/>
          <w:sz w:val="30"/>
          <w:szCs w:val="30"/>
          <w:lang w:val="es-ES"/>
        </w:rPr>
        <w:t>sar la competencia en que actuarán las salas de las cortes provinciales, tribunales penales, tribunales de lo contencioso administrativo y tributarios juezas y jueces de primer nivel...”;</w:t>
      </w:r>
      <w:r>
        <w:rPr>
          <w:rFonts w:eastAsia="Times New Roman"/>
          <w:sz w:val="30"/>
          <w:szCs w:val="30"/>
          <w:lang w:val="es-ES"/>
        </w:rPr>
        <w:br/>
      </w:r>
      <w:r>
        <w:rPr>
          <w:rFonts w:eastAsia="Times New Roman"/>
          <w:sz w:val="30"/>
          <w:szCs w:val="30"/>
          <w:lang w:val="es-ES"/>
        </w:rPr>
        <w:lastRenderedPageBreak/>
        <w:br/>
        <w:t>Que, de conformidad con lo previsto en el numeral 10 del artículo 2</w:t>
      </w:r>
      <w:r>
        <w:rPr>
          <w:rFonts w:eastAsia="Times New Roman"/>
          <w:sz w:val="30"/>
          <w:szCs w:val="30"/>
          <w:lang w:val="es-ES"/>
        </w:rPr>
        <w:t>64 del Código Orgánico de la Función Judicial, al Pleno del Consejo de la Judicatura le corresponde: “</w:t>
      </w:r>
      <w:r>
        <w:rPr>
          <w:rFonts w:eastAsia="Times New Roman"/>
          <w:i/>
          <w:iCs/>
          <w:sz w:val="30"/>
          <w:szCs w:val="30"/>
          <w:lang w:val="es-ES"/>
        </w:rPr>
        <w:t>Expedir, modificar, derogar e interpretar obligatoriamente el Código de Ética de la Función Judicial, el Estatuto Orgánico Administrativo de la Función Ju</w:t>
      </w:r>
      <w:r>
        <w:rPr>
          <w:rFonts w:eastAsia="Times New Roman"/>
          <w:i/>
          <w:iCs/>
          <w:sz w:val="30"/>
          <w:szCs w:val="30"/>
          <w:lang w:val="es-ES"/>
        </w:rPr>
        <w:t>dicial, los</w:t>
      </w:r>
      <w:r>
        <w:rPr>
          <w:rFonts w:eastAsia="Times New Roman"/>
          <w:sz w:val="30"/>
          <w:szCs w:val="30"/>
          <w:lang w:val="es-ES"/>
        </w:rPr>
        <w:t xml:space="preserve"> </w:t>
      </w:r>
      <w:r>
        <w:rPr>
          <w:rFonts w:eastAsia="Times New Roman"/>
          <w:i/>
          <w:iCs/>
          <w:sz w:val="30"/>
          <w:szCs w:val="30"/>
          <w:lang w:val="es-ES"/>
        </w:rPr>
        <w:t>reglamentos, manuales, instructivos o resoluciones de régimen interno, con sujeción a la Constitución y la ley, para la organización, funcionamiento, responsabilidades, control y régimen disciplinario; particularmente para velar por la transpar</w:t>
      </w:r>
      <w:r>
        <w:rPr>
          <w:rFonts w:eastAsia="Times New Roman"/>
          <w:i/>
          <w:iCs/>
          <w:sz w:val="30"/>
          <w:szCs w:val="30"/>
          <w:lang w:val="es-ES"/>
        </w:rPr>
        <w:t>encia y eficiencia de la Función Judicial”;</w:t>
      </w:r>
      <w:r>
        <w:rPr>
          <w:rFonts w:eastAsia="Times New Roman"/>
          <w:sz w:val="30"/>
          <w:szCs w:val="30"/>
          <w:lang w:val="es-ES"/>
        </w:rPr>
        <w:br/>
      </w:r>
      <w:r>
        <w:rPr>
          <w:rFonts w:eastAsia="Times New Roman"/>
          <w:sz w:val="30"/>
          <w:szCs w:val="30"/>
          <w:lang w:val="es-ES"/>
        </w:rPr>
        <w:br/>
        <w:t>Que, la Comisión de Legislación y Codificación del Honorable Congreso Nacional del Ecuador con fecha 29 de noviembre de 2006 expidió la Codificación de la Ley de Arbitraje y Mediación, publicada en el Registro O</w:t>
      </w:r>
      <w:r>
        <w:rPr>
          <w:rFonts w:eastAsia="Times New Roman"/>
          <w:sz w:val="30"/>
          <w:szCs w:val="30"/>
          <w:lang w:val="es-ES"/>
        </w:rPr>
        <w:t>ficial 417 de 14 de diciembre de 2006;</w:t>
      </w:r>
      <w:r>
        <w:rPr>
          <w:rFonts w:eastAsia="Times New Roman"/>
          <w:sz w:val="30"/>
          <w:szCs w:val="30"/>
          <w:lang w:val="es-ES"/>
        </w:rPr>
        <w:br/>
      </w:r>
      <w:r>
        <w:rPr>
          <w:rFonts w:eastAsia="Times New Roman"/>
          <w:sz w:val="30"/>
          <w:szCs w:val="30"/>
          <w:lang w:val="es-ES"/>
        </w:rPr>
        <w:br/>
        <w:t>Que, la Asamblea Nacional del Ecuador con fecha 28 de enero de 2014 aprobó el Código Orgánico Integral Penal, publicado en el Registro Oficial Suplemento 180 de 10 de febrero de 2014;</w:t>
      </w:r>
      <w:r>
        <w:rPr>
          <w:rFonts w:eastAsia="Times New Roman"/>
          <w:sz w:val="30"/>
          <w:szCs w:val="30"/>
          <w:lang w:val="es-ES"/>
        </w:rPr>
        <w:br/>
      </w:r>
      <w:r>
        <w:rPr>
          <w:rFonts w:eastAsia="Times New Roman"/>
          <w:sz w:val="30"/>
          <w:szCs w:val="30"/>
          <w:lang w:val="es-ES"/>
        </w:rPr>
        <w:br/>
        <w:t>Que, la Disposición Transitoria</w:t>
      </w:r>
      <w:r>
        <w:rPr>
          <w:rFonts w:eastAsia="Times New Roman"/>
          <w:sz w:val="30"/>
          <w:szCs w:val="30"/>
          <w:lang w:val="es-ES"/>
        </w:rPr>
        <w:t xml:space="preserve"> Décima del Código Orgánico Integral Penal, publicado en el Registro Oficial Suplemento 180 de 10 de febrero de 2014, determina: </w:t>
      </w:r>
      <w:r>
        <w:rPr>
          <w:rFonts w:eastAsia="Times New Roman"/>
          <w:i/>
          <w:iCs/>
          <w:sz w:val="30"/>
          <w:szCs w:val="30"/>
          <w:lang w:val="es-ES"/>
        </w:rPr>
        <w:t xml:space="preserve">“El Consejo de la Judicatura implementará los centros de mediación para adolescentes y dictará los reglamentos necesarios para </w:t>
      </w:r>
      <w:r>
        <w:rPr>
          <w:rFonts w:eastAsia="Times New Roman"/>
          <w:i/>
          <w:iCs/>
          <w:sz w:val="30"/>
          <w:szCs w:val="30"/>
          <w:lang w:val="es-ES"/>
        </w:rPr>
        <w:t>su implementación, en el plazo máximo de ciento cincuenta días, contados desde la publicación de este Código”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al Consejo de la Judicatura, en su calidad de órgano único de gobierno y administración de la Función Judicial, que comprende a los órganos</w:t>
      </w:r>
      <w:r>
        <w:rPr>
          <w:rFonts w:eastAsia="Times New Roman"/>
          <w:sz w:val="30"/>
          <w:szCs w:val="30"/>
          <w:lang w:val="es-ES"/>
        </w:rPr>
        <w:t xml:space="preserve"> jurisdiccionales, siendo a su vez el órgano instrumental para asegurar el correcto, eficiente y coordinado funcionamiento de éstos, le compete reglamentar la aplicabilidad de la disposición legal del Código Orgánico Integral Penal, con la que se establece</w:t>
      </w:r>
      <w:r>
        <w:rPr>
          <w:rFonts w:eastAsia="Times New Roman"/>
          <w:sz w:val="30"/>
          <w:szCs w:val="30"/>
          <w:lang w:val="es-ES"/>
        </w:rPr>
        <w:t xml:space="preserve"> la implementación de los centros de mediación para adolescentes;</w:t>
      </w:r>
      <w:r>
        <w:rPr>
          <w:rFonts w:eastAsia="Times New Roman"/>
          <w:sz w:val="30"/>
          <w:szCs w:val="30"/>
          <w:lang w:val="es-ES"/>
        </w:rPr>
        <w:br/>
      </w:r>
      <w:r>
        <w:rPr>
          <w:rFonts w:eastAsia="Times New Roman"/>
          <w:sz w:val="30"/>
          <w:szCs w:val="30"/>
          <w:lang w:val="es-ES"/>
        </w:rPr>
        <w:br/>
        <w:t xml:space="preserve">Que, el Pleno del Consejo de la Judicatura en sesión de 10 de marzo de 2014 conoció el Memorando CJ-DG-2014-1473 suscrito por la economista ANDREA BRAVO MOGRO Directora General, que </w:t>
      </w:r>
      <w:r>
        <w:rPr>
          <w:rFonts w:eastAsia="Times New Roman"/>
          <w:sz w:val="30"/>
          <w:szCs w:val="30"/>
          <w:lang w:val="es-ES"/>
        </w:rPr>
        <w:lastRenderedPageBreak/>
        <w:t>contien</w:t>
      </w:r>
      <w:r>
        <w:rPr>
          <w:rFonts w:eastAsia="Times New Roman"/>
          <w:sz w:val="30"/>
          <w:szCs w:val="30"/>
          <w:lang w:val="es-ES"/>
        </w:rPr>
        <w:t xml:space="preserve">e los Memorandos CJ-DNJ-2014-536 y CJ-DNJ-2014-538 suscritos por el doctor ESTEBAN ZAVALA PALACIOS, Director Nacional de Asesoría Jurídica y el </w:t>
      </w:r>
      <w:r>
        <w:rPr>
          <w:rFonts w:eastAsia="Times New Roman"/>
          <w:i/>
          <w:iCs/>
          <w:sz w:val="30"/>
          <w:szCs w:val="30"/>
          <w:lang w:val="es-ES"/>
        </w:rPr>
        <w:t>“Proyecto de resolución para determinar que el único centro de mediación autorizado para realizar los procesos d</w:t>
      </w:r>
      <w:r>
        <w:rPr>
          <w:rFonts w:eastAsia="Times New Roman"/>
          <w:i/>
          <w:iCs/>
          <w:sz w:val="30"/>
          <w:szCs w:val="30"/>
          <w:lang w:val="es-ES"/>
        </w:rPr>
        <w:t>e mediación penal dentro de las causas en materia de adolescentes infractores será el de la Función Judicial”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Que, el Consejo de la Judicatura a fin de cumplir con lo dispuesto en la disposición transitoria décima del Código Orgánico Integral Penal, y pr</w:t>
      </w:r>
      <w:r>
        <w:rPr>
          <w:rFonts w:eastAsia="Times New Roman"/>
          <w:sz w:val="30"/>
          <w:szCs w:val="30"/>
          <w:lang w:val="es-ES"/>
        </w:rPr>
        <w:t>ecautelando el interés superior del niño, niña o adolescente debe regular los procesos de mediación penal en razón de la materia de adolescentes infractores; y,</w:t>
      </w:r>
      <w:r>
        <w:rPr>
          <w:rFonts w:eastAsia="Times New Roman"/>
          <w:sz w:val="30"/>
          <w:szCs w:val="30"/>
          <w:lang w:val="es-ES"/>
        </w:rPr>
        <w:br/>
      </w:r>
      <w:r>
        <w:rPr>
          <w:rFonts w:eastAsia="Times New Roman"/>
          <w:sz w:val="30"/>
          <w:szCs w:val="30"/>
          <w:lang w:val="es-ES"/>
        </w:rPr>
        <w:br/>
        <w:t>En ejercicio de sus atribuciones constitucionales y legales, por unanimidad,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DETER</w:t>
      </w:r>
      <w:r>
        <w:rPr>
          <w:rFonts w:eastAsia="Times New Roman"/>
          <w:b/>
          <w:bCs/>
          <w:sz w:val="30"/>
          <w:szCs w:val="30"/>
          <w:lang w:val="es-ES"/>
        </w:rPr>
        <w:t>MINAR QUE EL CENTRO DE MEDIACIÓN DE LA FUNCIÓN JUDICIAL ES EL ÚNICO AUTORIZADO PARA REALIZAR LOS PROCESOS DE MEDIACIÓN DENTRO DE LAS CAUSAS EN MATERIA DE ADOLESCENTES INFRACTORES</w:t>
      </w:r>
    </w:p>
    <w:p w:rsidR="00000000" w:rsidRDefault="002A5C35">
      <w:pPr>
        <w:divId w:val="153224924"/>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(Reformado por la Disposición Derogatoria de la Res. 138-2014, R.O. </w:t>
      </w:r>
      <w:r>
        <w:rPr>
          <w:rFonts w:eastAsia="Times New Roman"/>
          <w:sz w:val="30"/>
          <w:szCs w:val="30"/>
          <w:lang w:val="es-ES"/>
        </w:rPr>
        <w:t>308-2S, 11-VIII-2014).-</w:t>
      </w:r>
      <w:r>
        <w:rPr>
          <w:rFonts w:eastAsia="Times New Roman"/>
          <w:b/>
          <w:bCs/>
          <w:sz w:val="30"/>
          <w:szCs w:val="30"/>
          <w:lang w:val="es-ES"/>
        </w:rPr>
        <w:t xml:space="preserve"> </w:t>
      </w:r>
      <w:r>
        <w:rPr>
          <w:rFonts w:eastAsia="Times New Roman"/>
          <w:sz w:val="30"/>
          <w:szCs w:val="30"/>
          <w:lang w:val="es-ES"/>
        </w:rPr>
        <w:t>El único centro de mediación autorizado para realizar los procesos de mediación previstos en la ley, en materia de adolescentes infractores, es el Centro de Mediación de la Función Judicial y sus sedes.</w:t>
      </w:r>
    </w:p>
    <w:p w:rsidR="00000000" w:rsidRDefault="002A5C35">
      <w:pPr>
        <w:divId w:val="108561445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El Centro de Mediaci</w:t>
      </w:r>
      <w:r>
        <w:rPr>
          <w:rFonts w:eastAsia="Times New Roman"/>
          <w:sz w:val="30"/>
          <w:szCs w:val="30"/>
          <w:lang w:val="es-ES"/>
        </w:rPr>
        <w:t>ón de la Función Judicial capacitará a mediadores especializados en materia de adolescentes infractores en coordinación con la Escuela de la Función Judicial. Además, registrará a mediadores especializados en materia de adolescentes infractores, quienes se</w:t>
      </w:r>
      <w:r>
        <w:rPr>
          <w:rFonts w:eastAsia="Times New Roman"/>
          <w:sz w:val="30"/>
          <w:szCs w:val="30"/>
          <w:lang w:val="es-ES"/>
        </w:rPr>
        <w:t>rán los únicos que podrán ser designados como mediadores para casos de esta materia.</w:t>
      </w:r>
    </w:p>
    <w:p w:rsidR="00000000" w:rsidRDefault="002A5C35">
      <w:pPr>
        <w:jc w:val="center"/>
        <w:rPr>
          <w:rFonts w:eastAsia="Times New Roman"/>
          <w:sz w:val="36"/>
          <w:szCs w:val="36"/>
          <w:lang w:val="es-ES"/>
        </w:rPr>
      </w:pPr>
      <w:r>
        <w:rPr>
          <w:rFonts w:eastAsia="Times New Roman"/>
          <w:b/>
          <w:bCs/>
          <w:sz w:val="36"/>
          <w:szCs w:val="36"/>
          <w:lang w:val="es-ES"/>
        </w:rPr>
        <w:br/>
        <w:t>DISPOSICIONES FINALES</w:t>
      </w:r>
    </w:p>
    <w:p w:rsidR="00000000" w:rsidRDefault="002A5C35">
      <w:pPr>
        <w:divId w:val="165170989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 ejecución de esta resolución estará a cargo, en el ámbito de sus competencias, de la Dirección General del Consejo de la Judicatura.</w:t>
      </w:r>
    </w:p>
    <w:p w:rsidR="00000000" w:rsidRDefault="002A5C35">
      <w:pPr>
        <w:divId w:val="1958175782"/>
        <w:rPr>
          <w:rFonts w:eastAsia="Times New Roman"/>
          <w:sz w:val="30"/>
          <w:szCs w:val="30"/>
          <w:lang w:val="es-ES"/>
        </w:rPr>
      </w:pPr>
      <w:r>
        <w:rPr>
          <w:rFonts w:eastAsia="Times New Roman"/>
          <w:b/>
          <w:bCs/>
          <w:sz w:val="30"/>
          <w:szCs w:val="30"/>
          <w:lang w:val="es-ES"/>
        </w:rPr>
        <w:lastRenderedPageBreak/>
        <w:t>Se</w:t>
      </w:r>
      <w:r>
        <w:rPr>
          <w:rFonts w:eastAsia="Times New Roman"/>
          <w:b/>
          <w:bCs/>
          <w:sz w:val="30"/>
          <w:szCs w:val="30"/>
          <w:lang w:val="es-ES"/>
        </w:rPr>
        <w:t xml:space="preserve">gunda.- </w:t>
      </w:r>
      <w:r>
        <w:rPr>
          <w:rFonts w:eastAsia="Times New Roman"/>
          <w:sz w:val="30"/>
          <w:szCs w:val="30"/>
          <w:lang w:val="es-ES"/>
        </w:rPr>
        <w:t>Esta resolución entrará en vigencia a partir de su aprobación, sin perjuicio de su publicación en el registro oficial.</w:t>
      </w:r>
      <w:r>
        <w:rPr>
          <w:rFonts w:eastAsia="Times New Roman"/>
          <w:sz w:val="30"/>
          <w:szCs w:val="30"/>
          <w:lang w:val="es-ES"/>
        </w:rPr>
        <w:br/>
      </w:r>
      <w:r>
        <w:rPr>
          <w:rFonts w:eastAsia="Times New Roman"/>
          <w:sz w:val="30"/>
          <w:szCs w:val="30"/>
          <w:lang w:val="es-ES"/>
        </w:rPr>
        <w:br/>
        <w:t>Dado en el Distrito Metropolitano de Quito, en la sala de sesiones del Consejo de la Judicatura, a los diez días del mes de marz</w:t>
      </w:r>
      <w:r>
        <w:rPr>
          <w:rFonts w:eastAsia="Times New Roman"/>
          <w:sz w:val="30"/>
          <w:szCs w:val="30"/>
          <w:lang w:val="es-ES"/>
        </w:rPr>
        <w:t>o del dos mil catorce.</w:t>
      </w:r>
    </w:p>
    <w:p w:rsidR="00000000" w:rsidRDefault="002A5C3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RESOLUCIÓN QUE DETERMINA QUE EL CENTRO DE MEDIACIÓN DE LA FUNCIÓN JUDICIAL ES EL ÚNICO AUTORIZADO PARA REALIZAR LOS PROCESOS DE MEDIACIÓN DENTRO DE LAS CAUSAS EN MATERIA DE ADOLESCENTES INFRACTO</w:t>
      </w:r>
      <w:r>
        <w:rPr>
          <w:rFonts w:eastAsia="Times New Roman"/>
          <w:b/>
          <w:bCs/>
          <w:sz w:val="36"/>
          <w:szCs w:val="36"/>
          <w:lang w:val="es-ES"/>
        </w:rPr>
        <w:t>RES</w:t>
      </w:r>
    </w:p>
    <w:p w:rsidR="002A5C35" w:rsidRDefault="002A5C35">
      <w:pPr>
        <w:divId w:val="888612000"/>
        <w:rPr>
          <w:rFonts w:eastAsia="Times New Roman"/>
          <w:sz w:val="30"/>
          <w:szCs w:val="30"/>
          <w:lang w:val="es-ES"/>
        </w:rPr>
      </w:pPr>
      <w:r>
        <w:rPr>
          <w:rFonts w:eastAsia="Times New Roman"/>
          <w:sz w:val="30"/>
          <w:szCs w:val="30"/>
          <w:lang w:val="es-ES"/>
        </w:rPr>
        <w:br/>
        <w:t>1.- Resolución 041-2014 (Suplemento del Registro Oficial 218, 3-IV-2014)</w:t>
      </w:r>
      <w:r>
        <w:rPr>
          <w:rFonts w:eastAsia="Times New Roman"/>
          <w:sz w:val="30"/>
          <w:szCs w:val="30"/>
          <w:lang w:val="es-ES"/>
        </w:rPr>
        <w:br/>
      </w:r>
      <w:r>
        <w:rPr>
          <w:rFonts w:eastAsia="Times New Roman"/>
          <w:sz w:val="30"/>
          <w:szCs w:val="30"/>
          <w:lang w:val="es-ES"/>
        </w:rPr>
        <w:br/>
        <w:t>2.- Resolución 138-2014 (Segundo Suplemento del Registro Oficial 308, 11-VIII-2014).</w:t>
      </w:r>
    </w:p>
    <w:sectPr w:rsidR="002A5C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E6825"/>
    <w:rsid w:val="002A5C35"/>
    <w:rsid w:val="006E682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8D2C2-76B8-429C-9E08-B09400E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4924">
      <w:marLeft w:val="0"/>
      <w:marRight w:val="0"/>
      <w:marTop w:val="0"/>
      <w:marBottom w:val="0"/>
      <w:divBdr>
        <w:top w:val="none" w:sz="0" w:space="0" w:color="auto"/>
        <w:left w:val="none" w:sz="0" w:space="0" w:color="auto"/>
        <w:bottom w:val="none" w:sz="0" w:space="0" w:color="auto"/>
        <w:right w:val="none" w:sz="0" w:space="0" w:color="auto"/>
      </w:divBdr>
    </w:div>
    <w:div w:id="888612000">
      <w:marLeft w:val="0"/>
      <w:marRight w:val="0"/>
      <w:marTop w:val="0"/>
      <w:marBottom w:val="0"/>
      <w:divBdr>
        <w:top w:val="none" w:sz="0" w:space="0" w:color="auto"/>
        <w:left w:val="none" w:sz="0" w:space="0" w:color="auto"/>
        <w:bottom w:val="none" w:sz="0" w:space="0" w:color="auto"/>
        <w:right w:val="none" w:sz="0" w:space="0" w:color="auto"/>
      </w:divBdr>
    </w:div>
    <w:div w:id="1085614452">
      <w:marLeft w:val="0"/>
      <w:marRight w:val="0"/>
      <w:marTop w:val="0"/>
      <w:marBottom w:val="0"/>
      <w:divBdr>
        <w:top w:val="none" w:sz="0" w:space="0" w:color="auto"/>
        <w:left w:val="none" w:sz="0" w:space="0" w:color="auto"/>
        <w:bottom w:val="none" w:sz="0" w:space="0" w:color="auto"/>
        <w:right w:val="none" w:sz="0" w:space="0" w:color="auto"/>
      </w:divBdr>
    </w:div>
    <w:div w:id="1463841390">
      <w:marLeft w:val="0"/>
      <w:marRight w:val="0"/>
      <w:marTop w:val="0"/>
      <w:marBottom w:val="0"/>
      <w:divBdr>
        <w:top w:val="none" w:sz="0" w:space="0" w:color="auto"/>
        <w:left w:val="none" w:sz="0" w:space="0" w:color="auto"/>
        <w:bottom w:val="none" w:sz="0" w:space="0" w:color="auto"/>
        <w:right w:val="none" w:sz="0" w:space="0" w:color="auto"/>
      </w:divBdr>
    </w:div>
    <w:div w:id="1651709893">
      <w:marLeft w:val="0"/>
      <w:marRight w:val="0"/>
      <w:marTop w:val="0"/>
      <w:marBottom w:val="0"/>
      <w:divBdr>
        <w:top w:val="none" w:sz="0" w:space="0" w:color="auto"/>
        <w:left w:val="none" w:sz="0" w:space="0" w:color="auto"/>
        <w:bottom w:val="none" w:sz="0" w:space="0" w:color="auto"/>
        <w:right w:val="none" w:sz="0" w:space="0" w:color="auto"/>
      </w:divBdr>
    </w:div>
    <w:div w:id="19581757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2017-12-15T19:14:00Z</dcterms:created>
  <dcterms:modified xsi:type="dcterms:W3CDTF">2017-12-15T19:14:00Z</dcterms:modified>
</cp:coreProperties>
</file>