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184D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D0184D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COMISARÍAS DE LA MUJER Y LA FAMILIA Y SU ESTRUCTURA ORGÁNICA Y FUNCIONAL</w:t>
      </w:r>
    </w:p>
    <w:p w:rsidR="00000000" w:rsidRDefault="00D0184D">
      <w:pPr>
        <w:jc w:val="center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(Acuerdo No. 235)</w:t>
      </w:r>
    </w:p>
    <w:p w:rsidR="00000000" w:rsidRDefault="00D0184D">
      <w:pPr>
        <w:divId w:val="129474685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Econ. César Verduga Vélez</w:t>
      </w:r>
      <w:r>
        <w:rPr>
          <w:rFonts w:eastAsia="Times New Roman"/>
          <w:sz w:val="30"/>
          <w:szCs w:val="30"/>
          <w:lang w:val="es-ES"/>
        </w:rPr>
        <w:br/>
        <w:t>MINISTRO DE GOBIERNO Y POLICÍA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Que, el Plenario de las Comisiones Legislativas del H. Congreso Nacional, expide la Ley Contra la Violencia a la Mujer y la Familia, publicada en el Registro Oficial No. 839, del 11 de diciembre de 1995;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objetivo principal de la citada Ley, es el </w:t>
      </w:r>
      <w:r>
        <w:rPr>
          <w:rFonts w:eastAsia="Times New Roman"/>
          <w:sz w:val="30"/>
          <w:szCs w:val="30"/>
          <w:lang w:val="es-ES"/>
        </w:rPr>
        <w:t>de proteger la integridad física, psíquica y la libertad sexual, de la mujer y los miembros de la familia, a través de la prevención y la sanción a la violencia intrafamiliar;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la Secretaría Nacional de Desarrollo Administrativo emite dictamen favorab</w:t>
      </w:r>
      <w:r>
        <w:rPr>
          <w:rFonts w:eastAsia="Times New Roman"/>
          <w:sz w:val="30"/>
          <w:szCs w:val="30"/>
          <w:lang w:val="es-ES"/>
        </w:rPr>
        <w:t>le constante en oficio No. 215-SENDA-DINADI-FI 105396, del 26 de mayo de 1997, de conformidad con las atribuciones establecidas en el Art. 3 de la Ley No. 16, publicada en el Registro Oficial No. 143 de 7 de marzo de 1989; en concordancia con el Art. 1, de</w:t>
      </w:r>
      <w:r>
        <w:rPr>
          <w:rFonts w:eastAsia="Times New Roman"/>
          <w:sz w:val="30"/>
          <w:szCs w:val="30"/>
          <w:lang w:val="es-ES"/>
        </w:rPr>
        <w:t>l Decreto Ejecutivo No. 1275, del 19 de febrero de 1990, publicada en el Registro Oficial No. 389, de 6 de marzo del mismo año;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uso de las atribuciones que le confiere la Ley,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Acuerda: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CREAR LAS COMISARÍAS DE LA MUJER Y LA FAMILIA Y EXPEDIR SU EST</w:t>
      </w:r>
      <w:r>
        <w:rPr>
          <w:rFonts w:eastAsia="Times New Roman"/>
          <w:sz w:val="30"/>
          <w:szCs w:val="30"/>
          <w:lang w:val="es-ES"/>
        </w:rPr>
        <w:t>RUCTURA ORGÁNICA Y FUNCIONAL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3226"/>
        <w:gridCol w:w="360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PROVINCIA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SITUACIÓN ACTUAL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SITUACIÓN PROPUESTA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Azuay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Tercera Nal. del cantón Cuenca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Cuenca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Bolívar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Guaranda.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Cañar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Azogues.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Tulcán.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Cotopaxi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Latacunga.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Chimborazo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Riobamba.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Alausí.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 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Segu</w:t>
            </w:r>
            <w:r>
              <w:rPr>
                <w:rFonts w:eastAsia="Times New Roman"/>
              </w:rPr>
              <w:t>nda Nal. del cantón Machala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Machala.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Esmeraldas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Tercera Nal. del cantón Esmeraldas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Esmeraldas.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Guayas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Novena Nal. del cantón Guayas (sic)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Guayaquil.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Imbabura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Ibarra.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Segunda Nal. del cantón Loja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Loja.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Los Ríos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Segunda Nal. del cantón Babahoyo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Babahoyo.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Manabí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Comisaría Segunda Nal. del cantón Portoviejo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</w:t>
            </w:r>
            <w:r>
              <w:rPr>
                <w:rFonts w:eastAsia="Times New Roman"/>
              </w:rPr>
              <w:t xml:space="preserve"> de la Mujer y la Familia Nacional del cantón Portoviejo.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Morona Santiago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Santiago.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Tena.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Pastaza_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Puyo.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Primera de la Mujer y la Familia del Cantón Pastaza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Pichincha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Sexta Nal. del cantón Quito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Quito.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Tungurahua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Segunda Nal. del cantón Ambato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Ambato.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Zamora Chinchipe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Zamora.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Galápagos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</w:t>
            </w:r>
            <w:r>
              <w:rPr>
                <w:rFonts w:eastAsia="Times New Roman"/>
              </w:rPr>
              <w:t>lia Nacional del cantón San Cristóbal.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Sucumbíos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18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Comisaría de la Mujer y la Familia Nacional del cantón Nueva Loja._</w:t>
            </w:r>
          </w:p>
        </w:tc>
      </w:tr>
    </w:tbl>
    <w:p w:rsidR="00000000" w:rsidRDefault="00D0184D">
      <w:pPr>
        <w:divId w:val="72020634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Art. 1.-</w:t>
      </w:r>
      <w:r>
        <w:rPr>
          <w:rFonts w:eastAsia="Times New Roman"/>
          <w:sz w:val="30"/>
          <w:szCs w:val="30"/>
          <w:lang w:val="es-ES"/>
        </w:rPr>
        <w:t xml:space="preserve"> Créanse las Comisarías de la Mujer y la Familia, a nivel nacional, de acuerdo al siguiente detalle:</w:t>
      </w:r>
    </w:p>
    <w:p w:rsidR="00000000" w:rsidRDefault="00D0184D">
      <w:pPr>
        <w:divId w:val="1923833393"/>
        <w:rPr>
          <w:rFonts w:eastAsia="Times New Roman"/>
          <w:i/>
          <w:iCs/>
          <w:sz w:val="30"/>
          <w:szCs w:val="30"/>
          <w:lang w:val="es-ES"/>
        </w:rPr>
      </w:pPr>
      <w:r>
        <w:rPr>
          <w:rFonts w:eastAsia="Times New Roman"/>
          <w:b/>
          <w:bCs/>
          <w:i/>
          <w:iCs/>
          <w:sz w:val="30"/>
          <w:szCs w:val="30"/>
          <w:u w:val="single"/>
          <w:lang w:val="es-ES"/>
        </w:rPr>
        <w:t>Notas: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t xml:space="preserve">-Este artículo ha sido reformado tácitamente por los Acuerdos Nos. 305 (R.O. 119, 30-VII-97), 380 (R.O. 148, 9-IX-1997) y 0194 (R.O. 115, 1-VII-2003). La actual estructura y numeración de las Comisarías de la Mujer y la Familia, está en el </w:t>
      </w:r>
    </w:p>
    <w:p w:rsidR="00000000" w:rsidRDefault="00D0184D">
      <w:pPr>
        <w:divId w:val="1254781335"/>
        <w:rPr>
          <w:rFonts w:eastAsia="Times New Roman"/>
          <w:i/>
          <w:iCs/>
          <w:sz w:val="30"/>
          <w:szCs w:val="30"/>
          <w:lang w:val="es-ES"/>
        </w:rPr>
      </w:pPr>
      <w:r>
        <w:rPr>
          <w:rFonts w:eastAsia="Times New Roman"/>
          <w:b/>
          <w:bCs/>
          <w:i/>
          <w:iCs/>
          <w:sz w:val="30"/>
          <w:szCs w:val="30"/>
          <w:lang w:val="es-ES"/>
        </w:rPr>
        <w:t>Art. 2.-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Las Co</w:t>
      </w:r>
      <w:r>
        <w:rPr>
          <w:rFonts w:eastAsia="Times New Roman"/>
          <w:i/>
          <w:iCs/>
          <w:sz w:val="30"/>
          <w:szCs w:val="30"/>
          <w:lang w:val="es-ES"/>
        </w:rPr>
        <w:t>misarías de la Mujer y la Familia, dependerán jerárquicamente de la Intendencia de su respectiva jurisdicción; y, tendrán el mismo nivel jerárquico establecido para las Comisarías Nacionales.</w:t>
      </w:r>
    </w:p>
    <w:p w:rsidR="00000000" w:rsidRDefault="00D0184D">
      <w:pPr>
        <w:divId w:val="1781366257"/>
        <w:rPr>
          <w:rFonts w:eastAsia="Times New Roman"/>
          <w:i/>
          <w:iCs/>
          <w:sz w:val="30"/>
          <w:szCs w:val="30"/>
          <w:lang w:val="es-ES"/>
        </w:rPr>
      </w:pPr>
      <w:r>
        <w:rPr>
          <w:rFonts w:eastAsia="Times New Roman"/>
          <w:b/>
          <w:bCs/>
          <w:i/>
          <w:iCs/>
          <w:sz w:val="30"/>
          <w:szCs w:val="30"/>
          <w:lang w:val="es-ES"/>
        </w:rPr>
        <w:lastRenderedPageBreak/>
        <w:t xml:space="preserve">Art. 3.- </w:t>
      </w:r>
      <w:r>
        <w:rPr>
          <w:rFonts w:eastAsia="Times New Roman"/>
          <w:i/>
          <w:iCs/>
          <w:sz w:val="30"/>
          <w:szCs w:val="30"/>
          <w:lang w:val="es-ES"/>
        </w:rPr>
        <w:t>Son funciones de las Comisarías de la Mujer y la Famili</w:t>
      </w:r>
      <w:r>
        <w:rPr>
          <w:rFonts w:eastAsia="Times New Roman"/>
          <w:i/>
          <w:iCs/>
          <w:sz w:val="30"/>
          <w:szCs w:val="30"/>
          <w:lang w:val="es-ES"/>
        </w:rPr>
        <w:t>a, las siguientes: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a.- Conceder boletas de auxilio que fueren solicitadas por la mujer o demás miembros del núcleo familiar;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b.- Ordenar la salida de la vivienda del agresor, si la convivencia implica un riesgo para la seguridad física, psíquica o la lib</w:t>
      </w:r>
      <w:r>
        <w:rPr>
          <w:rFonts w:eastAsia="Times New Roman"/>
          <w:i/>
          <w:iCs/>
          <w:sz w:val="30"/>
          <w:szCs w:val="30"/>
          <w:lang w:val="es-ES"/>
        </w:rPr>
        <w:t>ertad sexual de la familia;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c.- Imponer al agresor la prohibición de acercarse a la agredida en su lugar de trabajo o de estudio;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d.- Prohibir o restringir al agresor el acceso a la persona violentada;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 xml:space="preserve">e.- Evitar que el agresor, por sí mismo o a través </w:t>
      </w:r>
      <w:r>
        <w:rPr>
          <w:rFonts w:eastAsia="Times New Roman"/>
          <w:i/>
          <w:iCs/>
          <w:sz w:val="30"/>
          <w:szCs w:val="30"/>
          <w:lang w:val="es-ES"/>
        </w:rPr>
        <w:t>de terceras personas, realice actos de persecución o de intimidación a la víctima u otro miembro de su familia;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f.- Reintegrarle a su domicilio a la persona agredida, disponiendo la salida simultánea del agresor, cuando se tratase de una vivienda común, i</w:t>
      </w:r>
      <w:r>
        <w:rPr>
          <w:rFonts w:eastAsia="Times New Roman"/>
          <w:i/>
          <w:iCs/>
          <w:sz w:val="30"/>
          <w:szCs w:val="30"/>
          <w:lang w:val="es-ES"/>
        </w:rPr>
        <w:t>mpidiéndole que retire los enseres de uso familiar;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g.- Otorgar la custodia de la víctima menor de edad o incapaz a persona idónea, siguiendo lo dispuesto en el Art. 107 (108), Regla Sexta del Código Civil y las disposiciones del Código de Menores;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h.- L</w:t>
      </w:r>
      <w:r>
        <w:rPr>
          <w:rFonts w:eastAsia="Times New Roman"/>
          <w:i/>
          <w:iCs/>
          <w:sz w:val="30"/>
          <w:szCs w:val="30"/>
          <w:lang w:val="es-ES"/>
        </w:rPr>
        <w:t>as demás que contemplan la Ley, Reglamentos y disposiciones que para el efecto rijan.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b/>
          <w:bCs/>
          <w:i/>
          <w:iCs/>
          <w:sz w:val="30"/>
          <w:szCs w:val="30"/>
          <w:u w:val="single"/>
          <w:lang w:val="es-ES"/>
        </w:rPr>
        <w:t>Nota:</w:t>
      </w:r>
      <w:r>
        <w:rPr>
          <w:rFonts w:eastAsia="Times New Roman"/>
          <w:i/>
          <w:iCs/>
          <w:sz w:val="30"/>
          <w:szCs w:val="30"/>
          <w:lang w:val="es-ES"/>
        </w:rPr>
        <w:br/>
        <w:t xml:space="preserve">El Código de Menores fue derogado por el Código de la Niñez y Adolescencia (R.O. 737, 3-I-2003), que rige desde el 3 de julio de 2003. </w:t>
      </w:r>
    </w:p>
    <w:p w:rsidR="00000000" w:rsidRDefault="00D0184D">
      <w:pPr>
        <w:divId w:val="809707437"/>
        <w:rPr>
          <w:rFonts w:eastAsia="Times New Roman"/>
          <w:i/>
          <w:iCs/>
          <w:sz w:val="30"/>
          <w:szCs w:val="30"/>
          <w:lang w:val="es-ES"/>
        </w:rPr>
      </w:pPr>
      <w:r>
        <w:rPr>
          <w:rFonts w:eastAsia="Times New Roman"/>
          <w:b/>
          <w:bCs/>
          <w:i/>
          <w:iCs/>
          <w:sz w:val="30"/>
          <w:szCs w:val="30"/>
          <w:lang w:val="es-ES"/>
        </w:rPr>
        <w:t>Art. 4.-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Los recursos neces</w:t>
      </w:r>
      <w:r>
        <w:rPr>
          <w:rFonts w:eastAsia="Times New Roman"/>
          <w:i/>
          <w:iCs/>
          <w:sz w:val="30"/>
          <w:szCs w:val="30"/>
          <w:lang w:val="es-ES"/>
        </w:rPr>
        <w:t>arios para el funcionamiento de las Comisarías de la Mujer y la Familia, deberán constar en la respectiva proforma del Ministerio de Gobierno.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b/>
          <w:bCs/>
          <w:i/>
          <w:iCs/>
          <w:sz w:val="30"/>
          <w:szCs w:val="30"/>
          <w:u w:val="single"/>
          <w:lang w:val="es-ES"/>
        </w:rPr>
        <w:t>Nota:</w:t>
      </w:r>
      <w:r>
        <w:rPr>
          <w:rFonts w:eastAsia="Times New Roman"/>
          <w:b/>
          <w:bCs/>
          <w:i/>
          <w:iCs/>
          <w:sz w:val="30"/>
          <w:szCs w:val="30"/>
          <w:u w:val="single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t xml:space="preserve">El Art. 1 del D.E. 410 (R.O. 235, 14-VII-2010), cambió la </w:t>
      </w:r>
      <w:r>
        <w:rPr>
          <w:rFonts w:eastAsia="Times New Roman"/>
          <w:i/>
          <w:iCs/>
          <w:sz w:val="30"/>
          <w:szCs w:val="30"/>
          <w:lang w:val="es-ES"/>
        </w:rPr>
        <w:lastRenderedPageBreak/>
        <w:t>denominación del Ministerio de Gobierno, Policía</w:t>
      </w:r>
      <w:r>
        <w:rPr>
          <w:rFonts w:eastAsia="Times New Roman"/>
          <w:i/>
          <w:iCs/>
          <w:sz w:val="30"/>
          <w:szCs w:val="30"/>
          <w:lang w:val="es-ES"/>
        </w:rPr>
        <w:t>, Cultos y Municipalidades, por la de Ministerio del Interior.</w:t>
      </w:r>
    </w:p>
    <w:p w:rsidR="00000000" w:rsidRDefault="00D0184D">
      <w:pPr>
        <w:divId w:val="1018235798"/>
        <w:rPr>
          <w:rFonts w:eastAsia="Times New Roman"/>
          <w:i/>
          <w:iCs/>
          <w:sz w:val="30"/>
          <w:szCs w:val="30"/>
          <w:lang w:val="es-ES"/>
        </w:rPr>
      </w:pPr>
      <w:r>
        <w:rPr>
          <w:rFonts w:eastAsia="Times New Roman"/>
          <w:b/>
          <w:bCs/>
          <w:i/>
          <w:iCs/>
          <w:sz w:val="30"/>
          <w:szCs w:val="30"/>
          <w:lang w:val="es-ES"/>
        </w:rPr>
        <w:t>Art. 5.-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De la ejecución del presente Acuerdo, el que entrará en vigencia a partir de su publicación en el Registro Oficial, encárguense los Directores Financiero, de Recursos Humanos y Adminis</w:t>
      </w:r>
      <w:r>
        <w:rPr>
          <w:rFonts w:eastAsia="Times New Roman"/>
          <w:i/>
          <w:iCs/>
          <w:sz w:val="30"/>
          <w:szCs w:val="30"/>
          <w:lang w:val="es-ES"/>
        </w:rPr>
        <w:t>trativo, de este Ministerio.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Comuníquese.- Dado en la sala del despacho en Quito, a 9 junio de 1997.</w:t>
      </w:r>
    </w:p>
    <w:p w:rsidR="00000000" w:rsidRDefault="00D0184D">
      <w:pPr>
        <w:jc w:val="center"/>
        <w:divId w:val="1923833393"/>
        <w:rPr>
          <w:rFonts w:eastAsia="Times New Roman"/>
          <w:i/>
          <w:iCs/>
          <w:sz w:val="30"/>
          <w:szCs w:val="30"/>
          <w:lang w:val="es-ES"/>
        </w:rPr>
      </w:pP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FUENTES DE LA PRESENTE EDICIÓN DEL ACUERDO QUE CREA LAS COMISARÍAS DE LA MUJER Y LA FAMILIA Y SU ESTRUCTURA ORGÁNICA Y FUNCIONAL</w:t>
      </w:r>
    </w:p>
    <w:p w:rsidR="00D0184D" w:rsidRDefault="00D0184D">
      <w:pPr>
        <w:divId w:val="220675860"/>
        <w:rPr>
          <w:rFonts w:eastAsia="Times New Roman"/>
          <w:i/>
          <w:iCs/>
          <w:sz w:val="30"/>
          <w:szCs w:val="30"/>
          <w:lang w:val="es-ES"/>
        </w:rPr>
      </w:pP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1.- Acuerdo 235 (Regi</w:t>
      </w:r>
      <w:r>
        <w:rPr>
          <w:rFonts w:eastAsia="Times New Roman"/>
          <w:i/>
          <w:iCs/>
          <w:sz w:val="30"/>
          <w:szCs w:val="30"/>
          <w:lang w:val="es-ES"/>
        </w:rPr>
        <w:t>stro Oficial 92, 23-VI-1979)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  <w:t>2.- Acuerdo 305 (Registro Oficial 119, 30-VII-1997).</w:t>
      </w:r>
    </w:p>
    <w:sectPr w:rsidR="00D01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7AC1"/>
    <w:rsid w:val="00307AC1"/>
    <w:rsid w:val="00D0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29903D-2C85-4939-B7F0-F0ADEC65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2018-03-23T20:58:00Z</dcterms:created>
  <dcterms:modified xsi:type="dcterms:W3CDTF">2018-03-23T20:58:00Z</dcterms:modified>
</cp:coreProperties>
</file>