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707B5">
      <w:pPr>
        <w:pStyle w:val="NormalWeb"/>
      </w:pPr>
      <w:bookmarkStart w:id="0" w:name="_GoBack"/>
      <w:bookmarkEnd w:id="0"/>
      <w:r>
        <w:rPr>
          <w:b/>
          <w:bCs/>
        </w:rPr>
        <w:t>Suplemento del Registro Oficial No. 526 , 2 de Septiembre 2011</w:t>
      </w:r>
    </w:p>
    <w:p w:rsidR="00000000" w:rsidRDefault="001707B5">
      <w:pPr>
        <w:pStyle w:val="NormalWeb"/>
      </w:pPr>
      <w:r>
        <w:rPr>
          <w:b/>
          <w:bCs/>
        </w:rPr>
        <w:t>Normativa:</w:t>
      </w:r>
      <w:r>
        <w:t xml:space="preserve"> Vigente</w:t>
      </w:r>
    </w:p>
    <w:p w:rsidR="00000000" w:rsidRDefault="001707B5">
      <w:pPr>
        <w:jc w:val="center"/>
        <w:rPr>
          <w:rFonts w:eastAsia="Times New Roman"/>
          <w:sz w:val="27"/>
          <w:szCs w:val="27"/>
        </w:rPr>
      </w:pPr>
      <w:r>
        <w:rPr>
          <w:rFonts w:eastAsia="Times New Roman"/>
          <w:b/>
          <w:bCs/>
          <w:sz w:val="27"/>
          <w:szCs w:val="27"/>
        </w:rPr>
        <w:br/>
      </w:r>
      <w:r>
        <w:rPr>
          <w:rFonts w:eastAsia="Times New Roman"/>
          <w:b/>
          <w:bCs/>
          <w:sz w:val="27"/>
          <w:szCs w:val="27"/>
        </w:rPr>
        <w:br/>
      </w:r>
      <w:r>
        <w:rPr>
          <w:rFonts w:eastAsia="Times New Roman"/>
          <w:b/>
          <w:bCs/>
          <w:sz w:val="27"/>
          <w:szCs w:val="27"/>
        </w:rPr>
        <w:t>REGLAMENTO GENERAL A LA LEY ORGÁNICA DE EDUCACIÓN SUPERIOR</w:t>
      </w:r>
    </w:p>
    <w:p w:rsidR="00000000" w:rsidRDefault="001707B5">
      <w:pPr>
        <w:jc w:val="center"/>
        <w:rPr>
          <w:rFonts w:eastAsia="Times New Roman"/>
          <w:sz w:val="22"/>
          <w:szCs w:val="22"/>
        </w:rPr>
      </w:pPr>
      <w:r>
        <w:rPr>
          <w:rFonts w:eastAsia="Times New Roman"/>
          <w:sz w:val="22"/>
          <w:szCs w:val="22"/>
        </w:rPr>
        <w:t>(Decreto No. 865)</w:t>
      </w:r>
    </w:p>
    <w:p w:rsidR="00000000" w:rsidRDefault="001707B5">
      <w:pPr>
        <w:divId w:val="1106729205"/>
        <w:rPr>
          <w:rFonts w:eastAsia="Times New Roman"/>
          <w:sz w:val="22"/>
          <w:szCs w:val="22"/>
        </w:rPr>
      </w:pPr>
      <w:r>
        <w:rPr>
          <w:rFonts w:eastAsia="Times New Roman"/>
          <w:sz w:val="22"/>
          <w:szCs w:val="22"/>
        </w:rPr>
        <w:br/>
      </w:r>
      <w:r>
        <w:rPr>
          <w:rFonts w:eastAsia="Times New Roman"/>
          <w:sz w:val="22"/>
          <w:szCs w:val="22"/>
        </w:rPr>
        <w:br/>
        <w:t>Rafael Correa Delgado</w:t>
      </w:r>
      <w:r>
        <w:rPr>
          <w:rFonts w:eastAsia="Times New Roman"/>
          <w:sz w:val="22"/>
          <w:szCs w:val="22"/>
        </w:rPr>
        <w:br/>
        <w:t>PRESIDENTE CONSTITUCIONAL DE LA REPÚBLICA</w:t>
      </w:r>
      <w:r>
        <w:rPr>
          <w:rFonts w:eastAsia="Times New Roman"/>
          <w:sz w:val="22"/>
          <w:szCs w:val="22"/>
        </w:rPr>
        <w:br/>
      </w:r>
      <w:r>
        <w:rPr>
          <w:rFonts w:eastAsia="Times New Roman"/>
          <w:sz w:val="22"/>
          <w:szCs w:val="22"/>
        </w:rPr>
        <w:br/>
      </w:r>
      <w:r>
        <w:rPr>
          <w:rFonts w:eastAsia="Times New Roman"/>
          <w:b/>
          <w:bCs/>
          <w:sz w:val="22"/>
          <w:szCs w:val="22"/>
        </w:rPr>
        <w:t>Considerando:</w:t>
      </w:r>
      <w:r>
        <w:rPr>
          <w:rFonts w:eastAsia="Times New Roman"/>
          <w:sz w:val="22"/>
          <w:szCs w:val="22"/>
        </w:rPr>
        <w:br/>
      </w:r>
      <w:r>
        <w:rPr>
          <w:rFonts w:eastAsia="Times New Roman"/>
          <w:sz w:val="22"/>
          <w:szCs w:val="22"/>
        </w:rPr>
        <w:br/>
      </w:r>
      <w:r>
        <w:rPr>
          <w:rFonts w:eastAsia="Times New Roman"/>
          <w:sz w:val="22"/>
          <w:szCs w:val="22"/>
        </w:rPr>
        <w:t>Que el número 5 del artículo 147 de la Constitución de la República del Ecuador establece que corresponde al Presidente de la República dirigir la administración pública en forma desconcentrada y expedir los decretos necesarios para su organización, regula</w:t>
      </w:r>
      <w:r>
        <w:rPr>
          <w:rFonts w:eastAsia="Times New Roman"/>
          <w:sz w:val="22"/>
          <w:szCs w:val="22"/>
        </w:rPr>
        <w:t>ción y control;</w:t>
      </w:r>
      <w:r>
        <w:rPr>
          <w:rFonts w:eastAsia="Times New Roman"/>
          <w:sz w:val="22"/>
          <w:szCs w:val="22"/>
        </w:rPr>
        <w:br/>
      </w:r>
      <w:r>
        <w:rPr>
          <w:rFonts w:eastAsia="Times New Roman"/>
          <w:sz w:val="22"/>
          <w:szCs w:val="22"/>
        </w:rPr>
        <w:br/>
        <w:t>Que en cumplimiento con la Disposición Transitoria Primera de la Constitución de la República del Ecuador, la Asamblea Nacional, expide la Ley Orgánica de Educación Superior, publicada en el Segundo Suplemento del Registro Oficial No.298 d</w:t>
      </w:r>
      <w:r>
        <w:rPr>
          <w:rFonts w:eastAsia="Times New Roman"/>
          <w:sz w:val="22"/>
          <w:szCs w:val="22"/>
        </w:rPr>
        <w:t>el 12 de octubre de 2010;</w:t>
      </w:r>
      <w:r>
        <w:rPr>
          <w:rFonts w:eastAsia="Times New Roman"/>
          <w:sz w:val="22"/>
          <w:szCs w:val="22"/>
        </w:rPr>
        <w:br/>
      </w:r>
      <w:r>
        <w:rPr>
          <w:rFonts w:eastAsia="Times New Roman"/>
          <w:sz w:val="22"/>
          <w:szCs w:val="22"/>
        </w:rPr>
        <w:br/>
        <w:t>Que la Ley Orgánica de Educación Superior, define los principios, garantiza el derecho a la educación superior de calidad que propenda a la excelencia, al acceso universal, permanencia, movilidad y egreso sin discriminación algun</w:t>
      </w:r>
      <w:r>
        <w:rPr>
          <w:rFonts w:eastAsia="Times New Roman"/>
          <w:sz w:val="22"/>
          <w:szCs w:val="22"/>
        </w:rPr>
        <w:t>a;</w:t>
      </w:r>
      <w:r>
        <w:rPr>
          <w:rFonts w:eastAsia="Times New Roman"/>
          <w:sz w:val="22"/>
          <w:szCs w:val="22"/>
        </w:rPr>
        <w:br/>
      </w:r>
      <w:r>
        <w:rPr>
          <w:rFonts w:eastAsia="Times New Roman"/>
          <w:sz w:val="22"/>
          <w:szCs w:val="22"/>
        </w:rPr>
        <w:br/>
        <w:t xml:space="preserve">Que con la vigencia de la Ley Orgánica de Educación Superior se establecen las regulaciones para el Sistema de Educación Superior, los organismos e instituciones que lo integran, determina los derechos, deberes y obligaciones de las personas naturales </w:t>
      </w:r>
      <w:r>
        <w:rPr>
          <w:rFonts w:eastAsia="Times New Roman"/>
          <w:sz w:val="22"/>
          <w:szCs w:val="22"/>
        </w:rPr>
        <w:t>y jurídicas, y establece las respectivas sanciones por el incumplimiento de las disposiciones constitucionales y las contenidas en ese instrumento legal;</w:t>
      </w:r>
      <w:r>
        <w:rPr>
          <w:rFonts w:eastAsia="Times New Roman"/>
          <w:sz w:val="22"/>
          <w:szCs w:val="22"/>
        </w:rPr>
        <w:br/>
      </w:r>
      <w:r>
        <w:rPr>
          <w:rFonts w:eastAsia="Times New Roman"/>
          <w:sz w:val="22"/>
          <w:szCs w:val="22"/>
        </w:rPr>
        <w:br/>
        <w:t>Que la Educación Superior tiene como fines ser de carácter humanista, cultural y científica, constitu</w:t>
      </w:r>
      <w:r>
        <w:rPr>
          <w:rFonts w:eastAsia="Times New Roman"/>
          <w:sz w:val="22"/>
          <w:szCs w:val="22"/>
        </w:rPr>
        <w:t>yéndose como un derecho de las personas y un bien público social que, de conformidad con la Constitución de la República, responderá al interés público y no estará al servicio de intereses individuales y corporativos;</w:t>
      </w:r>
      <w:r>
        <w:rPr>
          <w:rFonts w:eastAsia="Times New Roman"/>
          <w:sz w:val="22"/>
          <w:szCs w:val="22"/>
        </w:rPr>
        <w:br/>
      </w:r>
      <w:r>
        <w:rPr>
          <w:rFonts w:eastAsia="Times New Roman"/>
          <w:sz w:val="22"/>
          <w:szCs w:val="22"/>
        </w:rPr>
        <w:br/>
        <w:t>Que para cumplir con el objetivo esta</w:t>
      </w:r>
      <w:r>
        <w:rPr>
          <w:rFonts w:eastAsia="Times New Roman"/>
          <w:sz w:val="22"/>
          <w:szCs w:val="22"/>
        </w:rPr>
        <w:t>blecido en la Ley Orgánica de Educación Superior y alcanzar sus fines, es necesario expedir un reglamento general que permita la correcta aplicación de los principios constitucionales y legales en el ámbito de aplicación de la Ley Orgánica de Educación Sup</w:t>
      </w:r>
      <w:r>
        <w:rPr>
          <w:rFonts w:eastAsia="Times New Roman"/>
          <w:sz w:val="22"/>
          <w:szCs w:val="22"/>
        </w:rPr>
        <w:t>erior;</w:t>
      </w:r>
      <w:r>
        <w:rPr>
          <w:rFonts w:eastAsia="Times New Roman"/>
          <w:sz w:val="22"/>
          <w:szCs w:val="22"/>
        </w:rPr>
        <w:br/>
      </w:r>
      <w:r>
        <w:rPr>
          <w:rFonts w:eastAsia="Times New Roman"/>
          <w:sz w:val="22"/>
          <w:szCs w:val="22"/>
        </w:rPr>
        <w:br/>
        <w:t>En ejercicio de las facultades previstas en el número 13 del artículo 147 de la Constitución de la República;</w:t>
      </w:r>
      <w:r>
        <w:rPr>
          <w:rFonts w:eastAsia="Times New Roman"/>
          <w:sz w:val="22"/>
          <w:szCs w:val="22"/>
        </w:rPr>
        <w:br/>
      </w:r>
      <w:r>
        <w:rPr>
          <w:rFonts w:eastAsia="Times New Roman"/>
          <w:sz w:val="22"/>
          <w:szCs w:val="22"/>
        </w:rPr>
        <w:br/>
      </w:r>
      <w:r>
        <w:rPr>
          <w:rFonts w:eastAsia="Times New Roman"/>
          <w:b/>
          <w:bCs/>
          <w:sz w:val="22"/>
          <w:szCs w:val="22"/>
        </w:rPr>
        <w:t>Decreta:</w:t>
      </w:r>
      <w:r>
        <w:rPr>
          <w:rFonts w:eastAsia="Times New Roman"/>
          <w:sz w:val="22"/>
          <w:szCs w:val="22"/>
        </w:rPr>
        <w:br/>
      </w:r>
      <w:r>
        <w:rPr>
          <w:rFonts w:eastAsia="Times New Roman"/>
          <w:sz w:val="22"/>
          <w:szCs w:val="22"/>
        </w:rPr>
        <w:br/>
        <w:t>EXPEDIR EL PRESENTE REGLAMENTO GENERAL A LA LEY ORGÁNICA DE EDUCACIÓN SUPERIOR:</w:t>
      </w:r>
    </w:p>
    <w:p w:rsidR="00000000" w:rsidRDefault="001707B5">
      <w:pPr>
        <w:jc w:val="center"/>
        <w:rPr>
          <w:rFonts w:eastAsia="Times New Roman"/>
        </w:rPr>
      </w:pPr>
      <w:r>
        <w:rPr>
          <w:rFonts w:eastAsia="Times New Roman"/>
          <w:b/>
          <w:bCs/>
        </w:rPr>
        <w:br/>
        <w:t>Título I</w:t>
      </w:r>
      <w:r>
        <w:rPr>
          <w:rFonts w:eastAsia="Times New Roman"/>
          <w:b/>
          <w:bCs/>
        </w:rPr>
        <w:br/>
      </w:r>
      <w:r>
        <w:rPr>
          <w:rFonts w:eastAsia="Times New Roman"/>
          <w:b/>
          <w:bCs/>
        </w:rPr>
        <w:lastRenderedPageBreak/>
        <w:t>DE LAS NORMAS RELATIVAS A LOS PRINCIP</w:t>
      </w:r>
      <w:r>
        <w:rPr>
          <w:rFonts w:eastAsia="Times New Roman"/>
          <w:b/>
          <w:bCs/>
        </w:rPr>
        <w:t>IOS RECTORES DEL SISTEMA DE EDUCACIÓN SUPERIOR</w:t>
      </w:r>
    </w:p>
    <w:p w:rsidR="00000000" w:rsidRDefault="001707B5">
      <w:pPr>
        <w:jc w:val="center"/>
        <w:rPr>
          <w:rFonts w:eastAsia="Times New Roman"/>
        </w:rPr>
      </w:pPr>
      <w:r>
        <w:rPr>
          <w:rFonts w:eastAsia="Times New Roman"/>
          <w:b/>
          <w:bCs/>
        </w:rPr>
        <w:br/>
        <w:t>Capítulo I</w:t>
      </w:r>
      <w:r>
        <w:rPr>
          <w:rFonts w:eastAsia="Times New Roman"/>
          <w:b/>
          <w:bCs/>
        </w:rPr>
        <w:br/>
        <w:t>DE LAS AUTORIDADES ACADÉMICAS</w:t>
      </w:r>
    </w:p>
    <w:p w:rsidR="00000000" w:rsidRDefault="001707B5">
      <w:pPr>
        <w:divId w:val="1441991794"/>
        <w:rPr>
          <w:rFonts w:eastAsia="Times New Roman"/>
          <w:sz w:val="22"/>
          <w:szCs w:val="22"/>
        </w:rPr>
      </w:pPr>
      <w:r>
        <w:rPr>
          <w:rFonts w:eastAsia="Times New Roman"/>
          <w:sz w:val="22"/>
          <w:szCs w:val="22"/>
        </w:rPr>
        <w:t>Art. 1.-</w:t>
      </w:r>
      <w:r>
        <w:rPr>
          <w:rFonts w:eastAsia="Times New Roman"/>
          <w:b/>
          <w:bCs/>
          <w:sz w:val="22"/>
          <w:szCs w:val="22"/>
        </w:rPr>
        <w:t xml:space="preserve"> De la gestión educativa universitaria.- </w:t>
      </w:r>
      <w:r>
        <w:rPr>
          <w:rFonts w:eastAsia="Times New Roman"/>
          <w:sz w:val="22"/>
          <w:szCs w:val="22"/>
        </w:rPr>
        <w:t>La gestión educativa universitaria comprende el ejercicio de funciones de rector, vicerrector, decano, subdecano, dire</w:t>
      </w:r>
      <w:r>
        <w:rPr>
          <w:rFonts w:eastAsia="Times New Roman"/>
          <w:sz w:val="22"/>
          <w:szCs w:val="22"/>
        </w:rPr>
        <w:t>ctor de escuela, departamento o de un centro o instituto de investigación, coordinador de programa, editor académico, director o miembro editorial de una revista indexada o miembro del máximo órgano colegiado académico superior de una universidad o escuela</w:t>
      </w:r>
      <w:r>
        <w:rPr>
          <w:rFonts w:eastAsia="Times New Roman"/>
          <w:sz w:val="22"/>
          <w:szCs w:val="22"/>
        </w:rPr>
        <w:t xml:space="preserve"> politécnica.</w:t>
      </w:r>
      <w:r>
        <w:rPr>
          <w:rFonts w:eastAsia="Times New Roman"/>
          <w:sz w:val="22"/>
          <w:szCs w:val="22"/>
        </w:rPr>
        <w:br/>
      </w:r>
      <w:r>
        <w:rPr>
          <w:rFonts w:eastAsia="Times New Roman"/>
          <w:sz w:val="22"/>
          <w:szCs w:val="22"/>
        </w:rPr>
        <w:br/>
        <w:t>El ejercicio de funciones en el nivel jerárquico superior en el sector público y sus equivalentes en el sector privado, se entenderá como experiencia en gestión para efectos de aplicación de la ley y este reglamento.</w:t>
      </w:r>
    </w:p>
    <w:p w:rsidR="00000000" w:rsidRDefault="001707B5">
      <w:pPr>
        <w:divId w:val="43220931"/>
        <w:rPr>
          <w:rFonts w:eastAsia="Times New Roman"/>
          <w:sz w:val="22"/>
          <w:szCs w:val="22"/>
        </w:rPr>
      </w:pPr>
      <w:r>
        <w:rPr>
          <w:rFonts w:eastAsia="Times New Roman"/>
          <w:sz w:val="22"/>
          <w:szCs w:val="22"/>
        </w:rPr>
        <w:t>Art. 2.-</w:t>
      </w:r>
      <w:r>
        <w:rPr>
          <w:rFonts w:eastAsia="Times New Roman"/>
          <w:b/>
          <w:bCs/>
          <w:sz w:val="22"/>
          <w:szCs w:val="22"/>
        </w:rPr>
        <w:t xml:space="preserve"> De las Autorida</w:t>
      </w:r>
      <w:r>
        <w:rPr>
          <w:rFonts w:eastAsia="Times New Roman"/>
          <w:b/>
          <w:bCs/>
          <w:sz w:val="22"/>
          <w:szCs w:val="22"/>
        </w:rPr>
        <w:t xml:space="preserve">des Académicas.- </w:t>
      </w:r>
      <w:r>
        <w:rPr>
          <w:rFonts w:eastAsia="Times New Roman"/>
          <w:sz w:val="22"/>
          <w:szCs w:val="22"/>
        </w:rPr>
        <w:t>Las autoridades académicas serán designadas conforme lo establezca el estatuto de cada universidad o escuela politécnica. Esta designación no podrá realizarse mediante elecciones universales.</w:t>
      </w:r>
      <w:r>
        <w:rPr>
          <w:rFonts w:eastAsia="Times New Roman"/>
          <w:sz w:val="22"/>
          <w:szCs w:val="22"/>
        </w:rPr>
        <w:br/>
      </w:r>
      <w:r>
        <w:rPr>
          <w:rFonts w:eastAsia="Times New Roman"/>
          <w:sz w:val="22"/>
          <w:szCs w:val="22"/>
        </w:rPr>
        <w:br/>
        <w:t xml:space="preserve">Se entiende por reelección de las autoridades </w:t>
      </w:r>
      <w:r>
        <w:rPr>
          <w:rFonts w:eastAsia="Times New Roman"/>
          <w:sz w:val="22"/>
          <w:szCs w:val="22"/>
        </w:rPr>
        <w:t>académicas una segunda designación consecutiva o no.</w:t>
      </w:r>
    </w:p>
    <w:p w:rsidR="00000000" w:rsidRDefault="001707B5">
      <w:pPr>
        <w:jc w:val="center"/>
        <w:rPr>
          <w:rFonts w:eastAsia="Times New Roman"/>
        </w:rPr>
      </w:pPr>
      <w:r>
        <w:rPr>
          <w:rFonts w:eastAsia="Times New Roman"/>
          <w:b/>
          <w:bCs/>
        </w:rPr>
        <w:br/>
        <w:t>Capítulo II</w:t>
      </w:r>
      <w:r>
        <w:rPr>
          <w:rFonts w:eastAsia="Times New Roman"/>
          <w:b/>
          <w:bCs/>
        </w:rPr>
        <w:br/>
        <w:t>DE LA IGUALDAD DE OPORTUNIDADES</w:t>
      </w:r>
    </w:p>
    <w:p w:rsidR="00000000" w:rsidRDefault="001707B5">
      <w:pPr>
        <w:divId w:val="165363592"/>
        <w:rPr>
          <w:rFonts w:eastAsia="Times New Roman"/>
          <w:sz w:val="22"/>
          <w:szCs w:val="22"/>
        </w:rPr>
      </w:pPr>
      <w:r>
        <w:rPr>
          <w:rFonts w:eastAsia="Times New Roman"/>
          <w:sz w:val="22"/>
          <w:szCs w:val="22"/>
        </w:rPr>
        <w:t>Art. 3.-</w:t>
      </w:r>
      <w:r>
        <w:rPr>
          <w:rFonts w:eastAsia="Times New Roman"/>
          <w:b/>
          <w:bCs/>
          <w:sz w:val="22"/>
          <w:szCs w:val="22"/>
        </w:rPr>
        <w:t xml:space="preserve"> Del sistema de nivelación y admisión.- </w:t>
      </w:r>
      <w:r>
        <w:rPr>
          <w:rFonts w:eastAsia="Times New Roman"/>
          <w:sz w:val="22"/>
          <w:szCs w:val="22"/>
        </w:rPr>
        <w:t>La Secretaría Nacional de Educación Superior, Ciencia, Tecnología e Innovación, SENESCYT, implementará el Sist</w:t>
      </w:r>
      <w:r>
        <w:rPr>
          <w:rFonts w:eastAsia="Times New Roman"/>
          <w:sz w:val="22"/>
          <w:szCs w:val="22"/>
        </w:rPr>
        <w:t>ema de Nivelación y Admisión para el ingreso a las instituciones de educación superior públicas.</w:t>
      </w:r>
      <w:r>
        <w:rPr>
          <w:rFonts w:eastAsia="Times New Roman"/>
          <w:sz w:val="22"/>
          <w:szCs w:val="22"/>
        </w:rPr>
        <w:br/>
      </w:r>
      <w:r>
        <w:rPr>
          <w:rFonts w:eastAsia="Times New Roman"/>
          <w:sz w:val="22"/>
          <w:szCs w:val="22"/>
        </w:rPr>
        <w:br/>
        <w:t>El Sistema de Nivelación y Admisión tendrá dos componentes. El de admisión tendrá el carácter de permanente y establecerá un sistema nacional unificado de ins</w:t>
      </w:r>
      <w:r>
        <w:rPr>
          <w:rFonts w:eastAsia="Times New Roman"/>
          <w:sz w:val="22"/>
          <w:szCs w:val="22"/>
        </w:rPr>
        <w:t>cripciones, evaluación y asignación de cupos en función al mérito de cada estudiante.</w:t>
      </w:r>
      <w:r>
        <w:rPr>
          <w:rFonts w:eastAsia="Times New Roman"/>
          <w:sz w:val="22"/>
          <w:szCs w:val="22"/>
        </w:rPr>
        <w:br/>
      </w:r>
      <w:r>
        <w:rPr>
          <w:rFonts w:eastAsia="Times New Roman"/>
          <w:sz w:val="22"/>
          <w:szCs w:val="22"/>
        </w:rPr>
        <w:br/>
        <w:t>El componente de nivelación tomará en cuenta la heterogeneidad en la formación del bachillerato y/o las características de las carreras universitarias.</w:t>
      </w:r>
    </w:p>
    <w:p w:rsidR="00000000" w:rsidRDefault="001707B5">
      <w:pPr>
        <w:divId w:val="1838962932"/>
        <w:rPr>
          <w:rFonts w:eastAsia="Times New Roman"/>
          <w:sz w:val="22"/>
          <w:szCs w:val="22"/>
        </w:rPr>
      </w:pPr>
      <w:r>
        <w:rPr>
          <w:rFonts w:eastAsia="Times New Roman"/>
          <w:sz w:val="22"/>
          <w:szCs w:val="22"/>
        </w:rPr>
        <w:t>Art. 4.-</w:t>
      </w:r>
      <w:r>
        <w:rPr>
          <w:rFonts w:eastAsia="Times New Roman"/>
          <w:b/>
          <w:bCs/>
          <w:sz w:val="22"/>
          <w:szCs w:val="22"/>
        </w:rPr>
        <w:t xml:space="preserve"> De los r</w:t>
      </w:r>
      <w:r>
        <w:rPr>
          <w:rFonts w:eastAsia="Times New Roman"/>
          <w:b/>
          <w:bCs/>
          <w:sz w:val="22"/>
          <w:szCs w:val="22"/>
        </w:rPr>
        <w:t xml:space="preserve">equisitos para el ingreso a las instituciones del sistema de educación superior.- </w:t>
      </w:r>
      <w:r>
        <w:rPr>
          <w:rFonts w:eastAsia="Times New Roman"/>
          <w:sz w:val="22"/>
          <w:szCs w:val="22"/>
        </w:rPr>
        <w:t>Las instituciones de educación superior particulares podrán establecer, en sus respectivos estatutos, requisitos adicionales a los determinados en la ley para el ingreso de s</w:t>
      </w:r>
      <w:r>
        <w:rPr>
          <w:rFonts w:eastAsia="Times New Roman"/>
          <w:sz w:val="22"/>
          <w:szCs w:val="22"/>
        </w:rPr>
        <w:t>us estudiantes, observando los principios de igualdad de oportunidades, mérito y capacidad.</w:t>
      </w:r>
      <w:r>
        <w:rPr>
          <w:rFonts w:eastAsia="Times New Roman"/>
          <w:sz w:val="22"/>
          <w:szCs w:val="22"/>
        </w:rPr>
        <w:br/>
      </w:r>
      <w:r>
        <w:rPr>
          <w:rFonts w:eastAsia="Times New Roman"/>
          <w:sz w:val="22"/>
          <w:szCs w:val="22"/>
        </w:rPr>
        <w:br/>
        <w:t>La SENESCYT observará que se cumplan los principios de igualdad de oportunidad, mérito y capacidad.</w:t>
      </w:r>
    </w:p>
    <w:p w:rsidR="00000000" w:rsidRDefault="001707B5">
      <w:pPr>
        <w:divId w:val="687021389"/>
        <w:rPr>
          <w:rFonts w:eastAsia="Times New Roman"/>
          <w:sz w:val="22"/>
          <w:szCs w:val="22"/>
        </w:rPr>
      </w:pPr>
      <w:r>
        <w:rPr>
          <w:rFonts w:eastAsia="Times New Roman"/>
          <w:sz w:val="22"/>
          <w:szCs w:val="22"/>
        </w:rPr>
        <w:t>Art. 5.-</w:t>
      </w:r>
      <w:r>
        <w:rPr>
          <w:rFonts w:eastAsia="Times New Roman"/>
          <w:b/>
          <w:bCs/>
          <w:sz w:val="22"/>
          <w:szCs w:val="22"/>
        </w:rPr>
        <w:t xml:space="preserve"> De los estudiantes regulares de las instituciones del </w:t>
      </w:r>
      <w:r>
        <w:rPr>
          <w:rFonts w:eastAsia="Times New Roman"/>
          <w:b/>
          <w:bCs/>
          <w:sz w:val="22"/>
          <w:szCs w:val="22"/>
        </w:rPr>
        <w:t xml:space="preserve">sistema de educación superior.- </w:t>
      </w:r>
      <w:r>
        <w:rPr>
          <w:rFonts w:eastAsia="Times New Roman"/>
          <w:sz w:val="22"/>
          <w:szCs w:val="22"/>
        </w:rPr>
        <w:t>Se entiende por estudiantes regulares aquellos estudiantes que se matriculen en por lo menos el sesenta por ciento de todas las materias o créditos que permite su malla curricular en cada período, ciclo o nivel académico.</w:t>
      </w:r>
      <w:r>
        <w:rPr>
          <w:rFonts w:eastAsia="Times New Roman"/>
          <w:sz w:val="22"/>
          <w:szCs w:val="22"/>
        </w:rPr>
        <w:br/>
      </w:r>
      <w:r>
        <w:rPr>
          <w:rFonts w:eastAsia="Times New Roman"/>
          <w:sz w:val="22"/>
          <w:szCs w:val="22"/>
        </w:rPr>
        <w:br/>
        <w:t>L</w:t>
      </w:r>
      <w:r>
        <w:rPr>
          <w:rFonts w:eastAsia="Times New Roman"/>
          <w:sz w:val="22"/>
          <w:szCs w:val="22"/>
        </w:rPr>
        <w:t>as instituciones del sistema de educación superior reportarán periódicamente la información de sus estudiantes en los formatos establecidos por la SENESCYT, la misma que formará parte del Sistema Nacional de Información de la Educación Superior del Ecuador</w:t>
      </w:r>
      <w:r>
        <w:rPr>
          <w:rFonts w:eastAsia="Times New Roman"/>
          <w:sz w:val="22"/>
          <w:szCs w:val="22"/>
        </w:rPr>
        <w:t>, SNIESE.</w:t>
      </w:r>
      <w:r>
        <w:rPr>
          <w:rFonts w:eastAsia="Times New Roman"/>
          <w:sz w:val="22"/>
          <w:szCs w:val="22"/>
        </w:rPr>
        <w:br/>
      </w:r>
      <w:r>
        <w:rPr>
          <w:rFonts w:eastAsia="Times New Roman"/>
          <w:sz w:val="22"/>
          <w:szCs w:val="22"/>
        </w:rPr>
        <w:br/>
        <w:t>Los formatos establecidos por la SENESCYT contemplarán entre otros aspectos los siguientes: número de postulantes inscritos, números de estudiantes matriculados, número de créditos tomados, horas de asistencia, cumplimiento de las obligaciones a</w:t>
      </w:r>
      <w:r>
        <w:rPr>
          <w:rFonts w:eastAsia="Times New Roman"/>
          <w:sz w:val="22"/>
          <w:szCs w:val="22"/>
        </w:rPr>
        <w:t>cadémicas.</w:t>
      </w:r>
      <w:r>
        <w:rPr>
          <w:rFonts w:eastAsia="Times New Roman"/>
          <w:sz w:val="22"/>
          <w:szCs w:val="22"/>
        </w:rPr>
        <w:br/>
      </w:r>
      <w:r>
        <w:rPr>
          <w:rFonts w:eastAsia="Times New Roman"/>
          <w:sz w:val="22"/>
          <w:szCs w:val="22"/>
        </w:rPr>
        <w:br/>
      </w:r>
      <w:r>
        <w:rPr>
          <w:rFonts w:eastAsia="Times New Roman"/>
          <w:sz w:val="22"/>
          <w:szCs w:val="22"/>
        </w:rPr>
        <w:lastRenderedPageBreak/>
        <w:t>Las instituciones de educación superior reportarán obligatoriamente a la SENESCYT dicha información al cierre de cada periodo de matrículas.</w:t>
      </w:r>
    </w:p>
    <w:p w:rsidR="00000000" w:rsidRDefault="001707B5">
      <w:pPr>
        <w:divId w:val="903757570"/>
        <w:rPr>
          <w:rFonts w:eastAsia="Times New Roman"/>
          <w:sz w:val="22"/>
          <w:szCs w:val="22"/>
        </w:rPr>
      </w:pPr>
      <w:r>
        <w:rPr>
          <w:rFonts w:eastAsia="Times New Roman"/>
          <w:sz w:val="22"/>
          <w:szCs w:val="22"/>
        </w:rPr>
        <w:t>Art. 6.-</w:t>
      </w:r>
      <w:r>
        <w:rPr>
          <w:rFonts w:eastAsia="Times New Roman"/>
          <w:b/>
          <w:bCs/>
          <w:sz w:val="22"/>
          <w:szCs w:val="22"/>
        </w:rPr>
        <w:t xml:space="preserve"> De la Unidad de bienestar estudiantil.- </w:t>
      </w:r>
      <w:r>
        <w:rPr>
          <w:rFonts w:eastAsia="Times New Roman"/>
          <w:sz w:val="22"/>
          <w:szCs w:val="22"/>
        </w:rPr>
        <w:t>Con el propósito de garantizar el funcionamiento y cum</w:t>
      </w:r>
      <w:r>
        <w:rPr>
          <w:rFonts w:eastAsia="Times New Roman"/>
          <w:sz w:val="22"/>
          <w:szCs w:val="22"/>
        </w:rPr>
        <w:t>plimiento de las actividades de la Unidad de Bienestar Estudiantil, las instituciones de educación superior establecerán en sus planes operativos el presupuesto correspondiente.</w:t>
      </w:r>
      <w:r>
        <w:rPr>
          <w:rFonts w:eastAsia="Times New Roman"/>
          <w:sz w:val="22"/>
          <w:szCs w:val="22"/>
        </w:rPr>
        <w:br/>
      </w:r>
      <w:r>
        <w:rPr>
          <w:rFonts w:eastAsia="Times New Roman"/>
          <w:sz w:val="22"/>
          <w:szCs w:val="22"/>
        </w:rPr>
        <w:br/>
        <w:t>Los planes operativos de desarrollo institucional serán remitidos a la SENESC</w:t>
      </w:r>
      <w:r>
        <w:rPr>
          <w:rFonts w:eastAsia="Times New Roman"/>
          <w:sz w:val="22"/>
          <w:szCs w:val="22"/>
        </w:rPr>
        <w:t>YT para articularlos con las iniciativas de política pública.</w:t>
      </w:r>
    </w:p>
    <w:p w:rsidR="00000000" w:rsidRDefault="001707B5">
      <w:pPr>
        <w:divId w:val="1061904875"/>
        <w:rPr>
          <w:rFonts w:eastAsia="Times New Roman"/>
          <w:sz w:val="22"/>
          <w:szCs w:val="22"/>
        </w:rPr>
      </w:pPr>
      <w:r>
        <w:rPr>
          <w:rFonts w:eastAsia="Times New Roman"/>
          <w:sz w:val="22"/>
          <w:szCs w:val="22"/>
        </w:rPr>
        <w:t>Art. 7.-</w:t>
      </w:r>
      <w:r>
        <w:rPr>
          <w:rFonts w:eastAsia="Times New Roman"/>
          <w:b/>
          <w:bCs/>
          <w:sz w:val="22"/>
          <w:szCs w:val="22"/>
        </w:rPr>
        <w:t xml:space="preserve"> De los servicios a la comunidad.- </w:t>
      </w:r>
      <w:r>
        <w:rPr>
          <w:rFonts w:eastAsia="Times New Roman"/>
          <w:sz w:val="22"/>
          <w:szCs w:val="22"/>
        </w:rPr>
        <w:t>Los servicios a la comunidad se realizarán mediante prácticas y pasantías preprofesionales, en los ámbitos urbano y rural, según las propias caracterís</w:t>
      </w:r>
      <w:r>
        <w:rPr>
          <w:rFonts w:eastAsia="Times New Roman"/>
          <w:sz w:val="22"/>
          <w:szCs w:val="22"/>
        </w:rPr>
        <w:t>ticas de la carrera y las necesidades de la sociedad.</w:t>
      </w:r>
      <w:r>
        <w:rPr>
          <w:rFonts w:eastAsia="Times New Roman"/>
          <w:sz w:val="22"/>
          <w:szCs w:val="22"/>
        </w:rPr>
        <w:br/>
      </w:r>
      <w:r>
        <w:rPr>
          <w:rFonts w:eastAsia="Times New Roman"/>
          <w:sz w:val="22"/>
          <w:szCs w:val="22"/>
        </w:rPr>
        <w:br/>
        <w:t>La SENESCYT establecerá los mecanismos de articulación de los servicios a la comunidad con los requerimientos que demande el Sistema de Nivelación y Admisión, en coordinación con las instituciones de e</w:t>
      </w:r>
      <w:r>
        <w:rPr>
          <w:rFonts w:eastAsia="Times New Roman"/>
          <w:sz w:val="22"/>
          <w:szCs w:val="22"/>
        </w:rPr>
        <w:t>ducación superior públicas.</w:t>
      </w:r>
    </w:p>
    <w:p w:rsidR="00000000" w:rsidRDefault="001707B5">
      <w:pPr>
        <w:divId w:val="452751196"/>
        <w:rPr>
          <w:rFonts w:eastAsia="Times New Roman"/>
          <w:sz w:val="22"/>
          <w:szCs w:val="22"/>
        </w:rPr>
      </w:pPr>
      <w:r>
        <w:rPr>
          <w:rFonts w:eastAsia="Times New Roman"/>
          <w:sz w:val="22"/>
          <w:szCs w:val="22"/>
        </w:rPr>
        <w:t>Art. 8.-</w:t>
      </w:r>
      <w:r>
        <w:rPr>
          <w:rFonts w:eastAsia="Times New Roman"/>
          <w:b/>
          <w:bCs/>
          <w:sz w:val="22"/>
          <w:szCs w:val="22"/>
        </w:rPr>
        <w:t xml:space="preserve"> De los aranceles para los estudiantes en las instituciones de educación superior particulares.- </w:t>
      </w:r>
      <w:r>
        <w:rPr>
          <w:rFonts w:eastAsia="Times New Roman"/>
          <w:sz w:val="22"/>
          <w:szCs w:val="22"/>
        </w:rPr>
        <w:t>Los excedentes que las instituciones de educación superior particulares obtengan en virtud del cobro de aranceles a sus est</w:t>
      </w:r>
      <w:r>
        <w:rPr>
          <w:rFonts w:eastAsia="Times New Roman"/>
          <w:sz w:val="22"/>
          <w:szCs w:val="22"/>
        </w:rPr>
        <w:t>udiantes, serán destinados a incrementar su patrimonio institucional preferentemente en las áreas de investigación, becas, capacitación y formación de profesores y material bibliográfico.</w:t>
      </w:r>
      <w:r>
        <w:rPr>
          <w:rFonts w:eastAsia="Times New Roman"/>
          <w:sz w:val="22"/>
          <w:szCs w:val="22"/>
        </w:rPr>
        <w:br/>
      </w:r>
      <w:r>
        <w:rPr>
          <w:rFonts w:eastAsia="Times New Roman"/>
          <w:sz w:val="22"/>
          <w:szCs w:val="22"/>
        </w:rPr>
        <w:br/>
        <w:t xml:space="preserve">En caso de incumplimiento del inciso anterior las instituciones de </w:t>
      </w:r>
      <w:r>
        <w:rPr>
          <w:rFonts w:eastAsia="Times New Roman"/>
          <w:sz w:val="22"/>
          <w:szCs w:val="22"/>
        </w:rPr>
        <w:t>educación superior serán sancionadas económicamente, con una multa equivalente al doble del valor destinado a fines distintos a los señalados en este artículo.</w:t>
      </w:r>
    </w:p>
    <w:p w:rsidR="00000000" w:rsidRDefault="001707B5">
      <w:pPr>
        <w:jc w:val="center"/>
        <w:rPr>
          <w:rFonts w:eastAsia="Times New Roman"/>
        </w:rPr>
      </w:pPr>
      <w:r>
        <w:rPr>
          <w:rFonts w:eastAsia="Times New Roman"/>
          <w:b/>
          <w:bCs/>
        </w:rPr>
        <w:br/>
        <w:t>Capítulo III</w:t>
      </w:r>
      <w:r>
        <w:rPr>
          <w:rFonts w:eastAsia="Times New Roman"/>
          <w:b/>
          <w:bCs/>
        </w:rPr>
        <w:br/>
        <w:t>DE LA CALIDAD DE LA EDUCACIÓN SUPERIOR</w:t>
      </w:r>
    </w:p>
    <w:p w:rsidR="00000000" w:rsidRDefault="001707B5">
      <w:pPr>
        <w:divId w:val="951741996"/>
        <w:rPr>
          <w:rFonts w:eastAsia="Times New Roman"/>
          <w:sz w:val="22"/>
          <w:szCs w:val="22"/>
        </w:rPr>
      </w:pPr>
      <w:r>
        <w:rPr>
          <w:rFonts w:eastAsia="Times New Roman"/>
          <w:sz w:val="22"/>
          <w:szCs w:val="22"/>
        </w:rPr>
        <w:t>Art. 9.-</w:t>
      </w:r>
      <w:r>
        <w:rPr>
          <w:rFonts w:eastAsia="Times New Roman"/>
          <w:b/>
          <w:bCs/>
          <w:sz w:val="22"/>
          <w:szCs w:val="22"/>
        </w:rPr>
        <w:t xml:space="preserve"> De la Evaluación de la calidad.- </w:t>
      </w:r>
      <w:r>
        <w:rPr>
          <w:rFonts w:eastAsia="Times New Roman"/>
          <w:sz w:val="22"/>
          <w:szCs w:val="22"/>
        </w:rPr>
        <w:t>L</w:t>
      </w:r>
      <w:r>
        <w:rPr>
          <w:rFonts w:eastAsia="Times New Roman"/>
          <w:sz w:val="22"/>
          <w:szCs w:val="22"/>
        </w:rPr>
        <w:t>a evaluación de la calidad se realizará de manera periódica de conformidad con la normativa que expida el Consejo de Evaluación, Acreditación y Aseguramiento de la Calidad de la Educación Superior, CEAACES.</w:t>
      </w:r>
    </w:p>
    <w:p w:rsidR="00000000" w:rsidRDefault="001707B5">
      <w:pPr>
        <w:divId w:val="1222013201"/>
        <w:rPr>
          <w:rFonts w:eastAsia="Times New Roman"/>
          <w:sz w:val="22"/>
          <w:szCs w:val="22"/>
        </w:rPr>
      </w:pPr>
      <w:r>
        <w:rPr>
          <w:rFonts w:eastAsia="Times New Roman"/>
          <w:sz w:val="22"/>
          <w:szCs w:val="22"/>
        </w:rPr>
        <w:t>Art. 10.-</w:t>
      </w:r>
      <w:r>
        <w:rPr>
          <w:rFonts w:eastAsia="Times New Roman"/>
          <w:b/>
          <w:bCs/>
          <w:sz w:val="22"/>
          <w:szCs w:val="22"/>
        </w:rPr>
        <w:t xml:space="preserve"> De la oferta de carrera en modalidad de</w:t>
      </w:r>
      <w:r>
        <w:rPr>
          <w:rFonts w:eastAsia="Times New Roman"/>
          <w:b/>
          <w:bCs/>
          <w:sz w:val="22"/>
          <w:szCs w:val="22"/>
        </w:rPr>
        <w:t xml:space="preserve"> estudios.- </w:t>
      </w:r>
      <w:r>
        <w:rPr>
          <w:rFonts w:eastAsia="Times New Roman"/>
          <w:sz w:val="22"/>
          <w:szCs w:val="22"/>
        </w:rPr>
        <w:t>Para garantizar la calidad de las carreras y programas académicos de las instituciones de educación superior, el CES determinará las carreras que no podrán ser ofertadas en las modalidades semipresencial, a distancia y virtual.</w:t>
      </w:r>
    </w:p>
    <w:p w:rsidR="00000000" w:rsidRDefault="001707B5">
      <w:pPr>
        <w:divId w:val="1287082943"/>
        <w:rPr>
          <w:rFonts w:eastAsia="Times New Roman"/>
          <w:sz w:val="22"/>
          <w:szCs w:val="22"/>
        </w:rPr>
      </w:pPr>
      <w:r>
        <w:rPr>
          <w:rFonts w:eastAsia="Times New Roman"/>
          <w:sz w:val="22"/>
          <w:szCs w:val="22"/>
        </w:rPr>
        <w:t>Art. 11.-</w:t>
      </w:r>
      <w:r>
        <w:rPr>
          <w:rFonts w:eastAsia="Times New Roman"/>
          <w:b/>
          <w:bCs/>
          <w:sz w:val="22"/>
          <w:szCs w:val="22"/>
        </w:rPr>
        <w:t xml:space="preserve"> Del ex</w:t>
      </w:r>
      <w:r>
        <w:rPr>
          <w:rFonts w:eastAsia="Times New Roman"/>
          <w:b/>
          <w:bCs/>
          <w:sz w:val="22"/>
          <w:szCs w:val="22"/>
        </w:rPr>
        <w:t xml:space="preserve">amen nacional de evaluación de carreras y programas académicos de último año.- </w:t>
      </w:r>
      <w:r>
        <w:rPr>
          <w:rFonts w:eastAsia="Times New Roman"/>
          <w:sz w:val="22"/>
          <w:szCs w:val="22"/>
        </w:rPr>
        <w:t>El CEAACES diseñará y aplicará el examen nacional de evaluación de carreras y programas académicos para estudiantes de último año, por lo menos cada dos años.</w:t>
      </w:r>
      <w:r>
        <w:rPr>
          <w:rFonts w:eastAsia="Times New Roman"/>
          <w:sz w:val="22"/>
          <w:szCs w:val="22"/>
        </w:rPr>
        <w:br/>
      </w:r>
      <w:r>
        <w:rPr>
          <w:rFonts w:eastAsia="Times New Roman"/>
          <w:sz w:val="22"/>
          <w:szCs w:val="22"/>
        </w:rPr>
        <w:br/>
        <w:t>Los resultados de</w:t>
      </w:r>
      <w:r>
        <w:rPr>
          <w:rFonts w:eastAsia="Times New Roman"/>
          <w:sz w:val="22"/>
          <w:szCs w:val="22"/>
        </w:rPr>
        <w:t xml:space="preserve"> este examen serán considerados para el otorgamiento de becas para estudios de cuarto nivel y para el ingreso al servicio público.</w:t>
      </w:r>
    </w:p>
    <w:p w:rsidR="00000000" w:rsidRDefault="001707B5">
      <w:pPr>
        <w:divId w:val="1830706735"/>
        <w:rPr>
          <w:rFonts w:eastAsia="Times New Roman"/>
          <w:sz w:val="22"/>
          <w:szCs w:val="22"/>
        </w:rPr>
      </w:pPr>
      <w:r>
        <w:rPr>
          <w:rFonts w:eastAsia="Times New Roman"/>
          <w:sz w:val="22"/>
          <w:szCs w:val="22"/>
        </w:rPr>
        <w:t>Art. 12.-</w:t>
      </w:r>
      <w:r>
        <w:rPr>
          <w:rFonts w:eastAsia="Times New Roman"/>
          <w:b/>
          <w:bCs/>
          <w:sz w:val="22"/>
          <w:szCs w:val="22"/>
        </w:rPr>
        <w:t xml:space="preserve"> Del examen de habilitación.- </w:t>
      </w:r>
      <w:r>
        <w:rPr>
          <w:rFonts w:eastAsia="Times New Roman"/>
          <w:sz w:val="22"/>
          <w:szCs w:val="22"/>
        </w:rPr>
        <w:t>El CEAACES expedirá el reglamento para el diseño, aplicación y evaluación del examen d</w:t>
      </w:r>
      <w:r>
        <w:rPr>
          <w:rFonts w:eastAsia="Times New Roman"/>
          <w:sz w:val="22"/>
          <w:szCs w:val="22"/>
        </w:rPr>
        <w:t>e habilitación para el ejercicio profesional, el que será actualizado anualmente en virtud de los resultados de sus evaluaciones.</w:t>
      </w:r>
    </w:p>
    <w:p w:rsidR="00000000" w:rsidRDefault="001707B5">
      <w:pPr>
        <w:jc w:val="center"/>
        <w:rPr>
          <w:rFonts w:eastAsia="Times New Roman"/>
        </w:rPr>
      </w:pPr>
      <w:r>
        <w:rPr>
          <w:rFonts w:eastAsia="Times New Roman"/>
          <w:b/>
          <w:bCs/>
        </w:rPr>
        <w:br/>
        <w:t>Capítulo IV</w:t>
      </w:r>
      <w:r>
        <w:rPr>
          <w:rFonts w:eastAsia="Times New Roman"/>
          <w:b/>
          <w:bCs/>
        </w:rPr>
        <w:br/>
        <w:t>DEL PRINCIPIO DE PERTINENCIA</w:t>
      </w:r>
    </w:p>
    <w:p w:rsidR="00000000" w:rsidRDefault="001707B5">
      <w:pPr>
        <w:divId w:val="1641838843"/>
        <w:rPr>
          <w:rFonts w:eastAsia="Times New Roman"/>
          <w:sz w:val="22"/>
          <w:szCs w:val="22"/>
        </w:rPr>
      </w:pPr>
      <w:r>
        <w:rPr>
          <w:rFonts w:eastAsia="Times New Roman"/>
          <w:sz w:val="22"/>
          <w:szCs w:val="22"/>
        </w:rPr>
        <w:t>Art. 13.-</w:t>
      </w:r>
      <w:r>
        <w:rPr>
          <w:rFonts w:eastAsia="Times New Roman"/>
          <w:b/>
          <w:bCs/>
          <w:sz w:val="22"/>
          <w:szCs w:val="22"/>
        </w:rPr>
        <w:t xml:space="preserve"> De la transferencia de dominio de bienes y recursos de los patrocinadores.</w:t>
      </w:r>
      <w:r>
        <w:rPr>
          <w:rFonts w:eastAsia="Times New Roman"/>
          <w:b/>
          <w:bCs/>
          <w:sz w:val="22"/>
          <w:szCs w:val="22"/>
        </w:rPr>
        <w:t xml:space="preserve">- </w:t>
      </w:r>
      <w:r>
        <w:rPr>
          <w:rFonts w:eastAsia="Times New Roman"/>
          <w:sz w:val="22"/>
          <w:szCs w:val="22"/>
        </w:rPr>
        <w:t>Una vez creada la institución de educación superior y transferido el dominio de todos los bienes y recursos que sirvieron de sustento para la solicitud de creación por parte de los promotores, estos presentarán inmediatamente al CES y a la SENESCYT copia</w:t>
      </w:r>
      <w:r>
        <w:rPr>
          <w:rFonts w:eastAsia="Times New Roman"/>
          <w:sz w:val="22"/>
          <w:szCs w:val="22"/>
        </w:rPr>
        <w:t>s certificadas de los títulos de transferencia de dominio.</w:t>
      </w:r>
    </w:p>
    <w:p w:rsidR="00000000" w:rsidRDefault="001707B5">
      <w:pPr>
        <w:jc w:val="center"/>
        <w:rPr>
          <w:rFonts w:eastAsia="Times New Roman"/>
        </w:rPr>
      </w:pPr>
      <w:r>
        <w:rPr>
          <w:rFonts w:eastAsia="Times New Roman"/>
          <w:b/>
          <w:bCs/>
        </w:rPr>
        <w:br/>
        <w:t>Capítulo V</w:t>
      </w:r>
      <w:r>
        <w:rPr>
          <w:rFonts w:eastAsia="Times New Roman"/>
          <w:b/>
          <w:bCs/>
        </w:rPr>
        <w:br/>
        <w:t>DE LA TIPOLOGÍA</w:t>
      </w:r>
    </w:p>
    <w:p w:rsidR="00000000" w:rsidRDefault="001707B5">
      <w:pPr>
        <w:divId w:val="1719277384"/>
        <w:rPr>
          <w:rFonts w:eastAsia="Times New Roman"/>
          <w:sz w:val="22"/>
          <w:szCs w:val="22"/>
        </w:rPr>
      </w:pPr>
      <w:r>
        <w:rPr>
          <w:rFonts w:eastAsia="Times New Roman"/>
          <w:sz w:val="22"/>
          <w:szCs w:val="22"/>
        </w:rPr>
        <w:lastRenderedPageBreak/>
        <w:t>Art. 14.-</w:t>
      </w:r>
      <w:r>
        <w:rPr>
          <w:rFonts w:eastAsia="Times New Roman"/>
          <w:b/>
          <w:bCs/>
          <w:sz w:val="22"/>
          <w:szCs w:val="22"/>
        </w:rPr>
        <w:t xml:space="preserve"> De la tipología de instituciones de educación superior.- </w:t>
      </w:r>
      <w:r>
        <w:rPr>
          <w:rFonts w:eastAsia="Times New Roman"/>
          <w:sz w:val="22"/>
          <w:szCs w:val="22"/>
        </w:rPr>
        <w:t>Para el establecimiento de la tipología de las universidades y escuelas politécnicas, el CEAACES deter</w:t>
      </w:r>
      <w:r>
        <w:rPr>
          <w:rFonts w:eastAsia="Times New Roman"/>
          <w:sz w:val="22"/>
          <w:szCs w:val="22"/>
        </w:rPr>
        <w:t>minará los criterios técnicos así como los requisitos mínimos que una institución de educación superior de carácter universitario o politécnico debe cumplir para ser clasificada de acuerdo con el ámbito de actividades académicas que realice.</w:t>
      </w:r>
      <w:r>
        <w:rPr>
          <w:rFonts w:eastAsia="Times New Roman"/>
          <w:sz w:val="22"/>
          <w:szCs w:val="22"/>
        </w:rPr>
        <w:br/>
      </w:r>
      <w:r>
        <w:rPr>
          <w:rFonts w:eastAsia="Times New Roman"/>
          <w:sz w:val="22"/>
          <w:szCs w:val="22"/>
        </w:rPr>
        <w:br/>
        <w:t>Únicamente la</w:t>
      </w:r>
      <w:r>
        <w:rPr>
          <w:rFonts w:eastAsia="Times New Roman"/>
          <w:sz w:val="22"/>
          <w:szCs w:val="22"/>
        </w:rPr>
        <w:t>s universidades de docencia con investigación podrán otorgar los títulos profesionales de especialización y los grados académicos de maestría y de PhD o su equivalente; las universidades orientadas a la docencia podrán otorgar títulos profesionales de espe</w:t>
      </w:r>
      <w:r>
        <w:rPr>
          <w:rFonts w:eastAsia="Times New Roman"/>
          <w:sz w:val="22"/>
          <w:szCs w:val="22"/>
        </w:rPr>
        <w:t>cialización y grados académicos de maestría profesionalizante; y las de educación continua no podrán ofertar ninguno de los grados académicos indicados anteriormente.</w:t>
      </w:r>
      <w:r>
        <w:rPr>
          <w:rFonts w:eastAsia="Times New Roman"/>
          <w:sz w:val="22"/>
          <w:szCs w:val="22"/>
        </w:rPr>
        <w:br/>
      </w:r>
      <w:r>
        <w:rPr>
          <w:rFonts w:eastAsia="Times New Roman"/>
          <w:sz w:val="22"/>
          <w:szCs w:val="22"/>
        </w:rPr>
        <w:br/>
        <w:t>Para que una universidad o escuela politécnica sea considerada de investigación deberá c</w:t>
      </w:r>
      <w:r>
        <w:rPr>
          <w:rFonts w:eastAsia="Times New Roman"/>
          <w:sz w:val="22"/>
          <w:szCs w:val="22"/>
        </w:rPr>
        <w:t>ontar, al menos, con un setenta por ciento (70%) de profesores con doctorado o PhD de acuerdo a la ley.</w:t>
      </w:r>
    </w:p>
    <w:p w:rsidR="00000000" w:rsidRDefault="001707B5">
      <w:pPr>
        <w:divId w:val="1135220940"/>
        <w:rPr>
          <w:rFonts w:eastAsia="Times New Roman"/>
          <w:sz w:val="22"/>
          <w:szCs w:val="22"/>
        </w:rPr>
      </w:pPr>
      <w:r>
        <w:rPr>
          <w:rFonts w:eastAsia="Times New Roman"/>
          <w:sz w:val="22"/>
          <w:szCs w:val="22"/>
        </w:rPr>
        <w:t>Art. 15.-</w:t>
      </w:r>
      <w:r>
        <w:rPr>
          <w:rFonts w:eastAsia="Times New Roman"/>
          <w:b/>
          <w:bCs/>
          <w:sz w:val="22"/>
          <w:szCs w:val="22"/>
        </w:rPr>
        <w:t xml:space="preserve"> De la evaluación según la tipología de las instituciones de educación superior.- </w:t>
      </w:r>
      <w:r>
        <w:rPr>
          <w:rFonts w:eastAsia="Times New Roman"/>
          <w:sz w:val="22"/>
          <w:szCs w:val="22"/>
        </w:rPr>
        <w:t xml:space="preserve">Todas las universidades o escuelas politécnicas se someterán </w:t>
      </w:r>
      <w:r>
        <w:rPr>
          <w:rFonts w:eastAsia="Times New Roman"/>
          <w:sz w:val="22"/>
          <w:szCs w:val="22"/>
        </w:rPr>
        <w:t>a la tipología establecida por el CEAACES, la que será tomada en cuenta en los procesos de evaluación, acreditación y categorización.</w:t>
      </w:r>
      <w:r>
        <w:rPr>
          <w:rFonts w:eastAsia="Times New Roman"/>
          <w:sz w:val="22"/>
          <w:szCs w:val="22"/>
        </w:rPr>
        <w:br/>
      </w:r>
      <w:r>
        <w:rPr>
          <w:rFonts w:eastAsia="Times New Roman"/>
          <w:sz w:val="22"/>
          <w:szCs w:val="22"/>
        </w:rPr>
        <w:br/>
        <w:t>En virtud de la tipología de universidades y escuelas politécnicas, el CEAACES establecerá los tipos de carreras o progra</w:t>
      </w:r>
      <w:r>
        <w:rPr>
          <w:rFonts w:eastAsia="Times New Roman"/>
          <w:sz w:val="22"/>
          <w:szCs w:val="22"/>
        </w:rPr>
        <w:t>mas que estas instituciones podrán ofertar, de lo cual notificará al CES para la aprobación de carreras y programas.</w:t>
      </w:r>
    </w:p>
    <w:p w:rsidR="00000000" w:rsidRDefault="001707B5">
      <w:pPr>
        <w:divId w:val="1187479415"/>
        <w:rPr>
          <w:rFonts w:eastAsia="Times New Roman"/>
          <w:sz w:val="22"/>
          <w:szCs w:val="22"/>
        </w:rPr>
      </w:pPr>
      <w:r>
        <w:rPr>
          <w:rFonts w:eastAsia="Times New Roman"/>
          <w:sz w:val="22"/>
          <w:szCs w:val="22"/>
        </w:rPr>
        <w:t>Art. 16.-</w:t>
      </w:r>
      <w:r>
        <w:rPr>
          <w:rFonts w:eastAsia="Times New Roman"/>
          <w:b/>
          <w:bCs/>
          <w:sz w:val="22"/>
          <w:szCs w:val="22"/>
        </w:rPr>
        <w:t xml:space="preserve"> De los institutos de educación superior creados por las universidades y escuelas politécnicas.- </w:t>
      </w:r>
      <w:r>
        <w:rPr>
          <w:rFonts w:eastAsia="Times New Roman"/>
          <w:sz w:val="22"/>
          <w:szCs w:val="22"/>
        </w:rPr>
        <w:t>Los institutos de educación super</w:t>
      </w:r>
      <w:r>
        <w:rPr>
          <w:rFonts w:eastAsia="Times New Roman"/>
          <w:sz w:val="22"/>
          <w:szCs w:val="22"/>
        </w:rPr>
        <w:t>ior creados por las universidades y escuelas politécnicas tendrán personería jurídica propia y para su creación deberán cumplir con todos los requisitos establecidos en la Ley y el presente reglamento.</w:t>
      </w:r>
      <w:r>
        <w:rPr>
          <w:rFonts w:eastAsia="Times New Roman"/>
          <w:sz w:val="22"/>
          <w:szCs w:val="22"/>
        </w:rPr>
        <w:br/>
      </w:r>
      <w:r>
        <w:rPr>
          <w:rFonts w:eastAsia="Times New Roman"/>
          <w:sz w:val="22"/>
          <w:szCs w:val="22"/>
        </w:rPr>
        <w:br/>
        <w:t>Podrán compartir infraestructura física de laboratori</w:t>
      </w:r>
      <w:r>
        <w:rPr>
          <w:rFonts w:eastAsia="Times New Roman"/>
          <w:sz w:val="22"/>
          <w:szCs w:val="22"/>
        </w:rPr>
        <w:t>os con la universidad o escuela politécnica que los patrocinó, debiendo estas obligarse a facilitar su uso cuando el instituto lo requiera.</w:t>
      </w:r>
    </w:p>
    <w:p w:rsidR="00000000" w:rsidRDefault="001707B5">
      <w:pPr>
        <w:divId w:val="744499240"/>
        <w:rPr>
          <w:rFonts w:eastAsia="Times New Roman"/>
          <w:sz w:val="22"/>
          <w:szCs w:val="22"/>
        </w:rPr>
      </w:pPr>
      <w:r>
        <w:rPr>
          <w:rFonts w:eastAsia="Times New Roman"/>
          <w:sz w:val="22"/>
          <w:szCs w:val="22"/>
        </w:rPr>
        <w:t>Art. 17.-</w:t>
      </w:r>
      <w:r>
        <w:rPr>
          <w:rFonts w:eastAsia="Times New Roman"/>
          <w:b/>
          <w:bCs/>
          <w:sz w:val="22"/>
          <w:szCs w:val="22"/>
        </w:rPr>
        <w:t xml:space="preserve"> De los programas y cursos de vinculación con la sociedad.- </w:t>
      </w:r>
      <w:r>
        <w:rPr>
          <w:rFonts w:eastAsia="Times New Roman"/>
          <w:sz w:val="22"/>
          <w:szCs w:val="22"/>
        </w:rPr>
        <w:t>El Reglamento de Régimen Académico normará lo r</w:t>
      </w:r>
      <w:r>
        <w:rPr>
          <w:rFonts w:eastAsia="Times New Roman"/>
          <w:sz w:val="22"/>
          <w:szCs w:val="22"/>
        </w:rPr>
        <w:t>elacionado con los programas y cursos de vinculación con la sociedad así como los cursos de educación continua, tomando en cuenta las características de la institución de educación superior, sus carreras y programas y las necesidades del desarrollo naciona</w:t>
      </w:r>
      <w:r>
        <w:rPr>
          <w:rFonts w:eastAsia="Times New Roman"/>
          <w:sz w:val="22"/>
          <w:szCs w:val="22"/>
        </w:rPr>
        <w:t>l, regional y local.</w:t>
      </w:r>
    </w:p>
    <w:p w:rsidR="00000000" w:rsidRDefault="001707B5">
      <w:pPr>
        <w:divId w:val="154499525"/>
        <w:rPr>
          <w:rFonts w:eastAsia="Times New Roman"/>
          <w:sz w:val="22"/>
          <w:szCs w:val="22"/>
        </w:rPr>
      </w:pPr>
      <w:r>
        <w:rPr>
          <w:rFonts w:eastAsia="Times New Roman"/>
          <w:sz w:val="22"/>
          <w:szCs w:val="22"/>
        </w:rPr>
        <w:t>Art. 18.-</w:t>
      </w:r>
      <w:r>
        <w:rPr>
          <w:rFonts w:eastAsia="Times New Roman"/>
          <w:b/>
          <w:bCs/>
          <w:sz w:val="22"/>
          <w:szCs w:val="22"/>
        </w:rPr>
        <w:t xml:space="preserve"> Del reconocimiento, homologación y revalidación de títulos.- </w:t>
      </w:r>
      <w:r>
        <w:rPr>
          <w:rFonts w:eastAsia="Times New Roman"/>
          <w:sz w:val="22"/>
          <w:szCs w:val="22"/>
        </w:rPr>
        <w:t>La SENESCYT garantizará la agilidad y gratuidad en el trámite de reconocimiento, homologación y revalidación de los títulos obtenidos en el extranjero.</w:t>
      </w:r>
    </w:p>
    <w:p w:rsidR="00000000" w:rsidRDefault="001707B5">
      <w:pPr>
        <w:divId w:val="445083806"/>
        <w:rPr>
          <w:rFonts w:eastAsia="Times New Roman"/>
          <w:sz w:val="22"/>
          <w:szCs w:val="22"/>
        </w:rPr>
      </w:pPr>
      <w:r>
        <w:rPr>
          <w:rFonts w:eastAsia="Times New Roman"/>
          <w:sz w:val="22"/>
          <w:szCs w:val="22"/>
        </w:rPr>
        <w:t>Art. 19.-</w:t>
      </w:r>
      <w:r>
        <w:rPr>
          <w:rFonts w:eastAsia="Times New Roman"/>
          <w:b/>
          <w:bCs/>
          <w:sz w:val="22"/>
          <w:szCs w:val="22"/>
        </w:rPr>
        <w:t xml:space="preserve"> </w:t>
      </w:r>
      <w:r>
        <w:rPr>
          <w:rFonts w:eastAsia="Times New Roman"/>
          <w:b/>
          <w:bCs/>
          <w:sz w:val="22"/>
          <w:szCs w:val="22"/>
        </w:rPr>
        <w:t xml:space="preserve">De la nómina de graduados y la notificación a la Secretaría Nacional de Educación Superior, Ciencia, Tecnología e Innovación.- </w:t>
      </w:r>
      <w:r>
        <w:rPr>
          <w:rFonts w:eastAsia="Times New Roman"/>
          <w:sz w:val="22"/>
          <w:szCs w:val="22"/>
        </w:rPr>
        <w:t>Las instituciones de educación superior notificarán obligatoriamente a la SENESCYT la nómina de los graduados y las especificacio</w:t>
      </w:r>
      <w:r>
        <w:rPr>
          <w:rFonts w:eastAsia="Times New Roman"/>
          <w:sz w:val="22"/>
          <w:szCs w:val="22"/>
        </w:rPr>
        <w:t>nes de los títulos que expida, en un plazo no mayor de treinta días contados a partir de la fecha de graduación.</w:t>
      </w:r>
      <w:r>
        <w:rPr>
          <w:rFonts w:eastAsia="Times New Roman"/>
          <w:sz w:val="22"/>
          <w:szCs w:val="22"/>
        </w:rPr>
        <w:br/>
      </w:r>
      <w:r>
        <w:rPr>
          <w:rFonts w:eastAsia="Times New Roman"/>
          <w:sz w:val="22"/>
          <w:szCs w:val="22"/>
        </w:rPr>
        <w:br/>
        <w:t>Una vez verificada la consistencia de la información proporcionada por las instituciones de educación superior, la nómina de graduados será pa</w:t>
      </w:r>
      <w:r>
        <w:rPr>
          <w:rFonts w:eastAsia="Times New Roman"/>
          <w:sz w:val="22"/>
          <w:szCs w:val="22"/>
        </w:rPr>
        <w:t>rte del SNIESE y este será el único medio oficial a través del cual se verificará el reconocimiento y validez del título en el Ecuador. La SENESCYT emitirá certificados impresos únicamente cuando sean requeridos para uso en el extranjero o para fines judic</w:t>
      </w:r>
      <w:r>
        <w:rPr>
          <w:rFonts w:eastAsia="Times New Roman"/>
          <w:sz w:val="22"/>
          <w:szCs w:val="22"/>
        </w:rPr>
        <w:t>iales. El título emitido por cualquier Universidad o Instituto de Educación Superior existente en el Ecuador no requerirá validación alguna, ni del CES ni del SENESCYT.</w:t>
      </w:r>
      <w:r>
        <w:rPr>
          <w:rFonts w:eastAsia="Times New Roman"/>
          <w:sz w:val="22"/>
          <w:szCs w:val="22"/>
        </w:rPr>
        <w:br/>
      </w:r>
      <w:r>
        <w:rPr>
          <w:rFonts w:eastAsia="Times New Roman"/>
          <w:sz w:val="22"/>
          <w:szCs w:val="22"/>
        </w:rPr>
        <w:br/>
        <w:t>Para verificar la veracidad de la información proporcionada por las instituciones de e</w:t>
      </w:r>
      <w:r>
        <w:rPr>
          <w:rFonts w:eastAsia="Times New Roman"/>
          <w:sz w:val="22"/>
          <w:szCs w:val="22"/>
        </w:rPr>
        <w:t>ducación superior, la SENESCYT implementará procesos de auditoría cuyos informes serán presentados al CES para que tome las medidas pertinentes.</w:t>
      </w:r>
    </w:p>
    <w:p w:rsidR="00000000" w:rsidRDefault="001707B5">
      <w:pPr>
        <w:divId w:val="2077773387"/>
        <w:rPr>
          <w:rFonts w:eastAsia="Times New Roman"/>
          <w:sz w:val="22"/>
          <w:szCs w:val="22"/>
        </w:rPr>
      </w:pPr>
      <w:r>
        <w:rPr>
          <w:rFonts w:eastAsia="Times New Roman"/>
          <w:sz w:val="22"/>
          <w:szCs w:val="22"/>
        </w:rPr>
        <w:lastRenderedPageBreak/>
        <w:t>Art. 20</w:t>
      </w:r>
      <w:r>
        <w:rPr>
          <w:rFonts w:eastAsia="Times New Roman"/>
          <w:b/>
          <w:bCs/>
          <w:sz w:val="22"/>
          <w:szCs w:val="22"/>
        </w:rPr>
        <w:t xml:space="preserve">.- De la nomenclatura de los títulos.- </w:t>
      </w:r>
      <w:r>
        <w:rPr>
          <w:rFonts w:eastAsia="Times New Roman"/>
          <w:sz w:val="22"/>
          <w:szCs w:val="22"/>
        </w:rPr>
        <w:t>El Reglamento de Régimen Académico incorporará la nomenclatura de</w:t>
      </w:r>
      <w:r>
        <w:rPr>
          <w:rFonts w:eastAsia="Times New Roman"/>
          <w:sz w:val="22"/>
          <w:szCs w:val="22"/>
        </w:rPr>
        <w:t xml:space="preserve"> los títulos profesionales y los grados académicos que expidan las instituciones de educación superior estableciendo su unificación y armonización nacional, tomando en cuenta los parámetros internacionales.</w:t>
      </w:r>
    </w:p>
    <w:p w:rsidR="00000000" w:rsidRDefault="001707B5">
      <w:pPr>
        <w:divId w:val="550918654"/>
        <w:rPr>
          <w:rFonts w:eastAsia="Times New Roman"/>
          <w:sz w:val="22"/>
          <w:szCs w:val="22"/>
        </w:rPr>
      </w:pPr>
      <w:r>
        <w:rPr>
          <w:rFonts w:eastAsia="Times New Roman"/>
          <w:sz w:val="22"/>
          <w:szCs w:val="22"/>
        </w:rPr>
        <w:t>Art. 21</w:t>
      </w:r>
      <w:r>
        <w:rPr>
          <w:rFonts w:eastAsia="Times New Roman"/>
          <w:b/>
          <w:bCs/>
          <w:sz w:val="22"/>
          <w:szCs w:val="22"/>
        </w:rPr>
        <w:t>.- De la oferta y ejecución de programas d</w:t>
      </w:r>
      <w:r>
        <w:rPr>
          <w:rFonts w:eastAsia="Times New Roman"/>
          <w:b/>
          <w:bCs/>
          <w:sz w:val="22"/>
          <w:szCs w:val="22"/>
        </w:rPr>
        <w:t xml:space="preserve">e educación superior.- </w:t>
      </w:r>
      <w:r>
        <w:rPr>
          <w:rFonts w:eastAsia="Times New Roman"/>
          <w:sz w:val="22"/>
          <w:szCs w:val="22"/>
        </w:rPr>
        <w:t>La SENESCYT será el organismo encargado de verificar que la oferta y ejecución de los programas de educación superior que se imparten en el país cuenten con las autorizaciones respectivas y sean ofertados por instituciones de educaci</w:t>
      </w:r>
      <w:r>
        <w:rPr>
          <w:rFonts w:eastAsia="Times New Roman"/>
          <w:sz w:val="22"/>
          <w:szCs w:val="22"/>
        </w:rPr>
        <w:t>ón superior legalmente reconocidas.</w:t>
      </w:r>
      <w:r>
        <w:rPr>
          <w:rFonts w:eastAsia="Times New Roman"/>
          <w:sz w:val="22"/>
          <w:szCs w:val="22"/>
        </w:rPr>
        <w:br/>
      </w:r>
      <w:r>
        <w:rPr>
          <w:rFonts w:eastAsia="Times New Roman"/>
          <w:sz w:val="22"/>
          <w:szCs w:val="22"/>
        </w:rPr>
        <w:br/>
        <w:t>En caso de incumplimiento, la SENESCYT emitirá el informe respectivo y notificará al CEACCES para que dé inicio a las acciones legales correspondientes.</w:t>
      </w:r>
      <w:r>
        <w:rPr>
          <w:rFonts w:eastAsia="Times New Roman"/>
          <w:sz w:val="22"/>
          <w:szCs w:val="22"/>
        </w:rPr>
        <w:br/>
      </w:r>
      <w:r>
        <w:rPr>
          <w:rFonts w:eastAsia="Times New Roman"/>
          <w:sz w:val="22"/>
          <w:szCs w:val="22"/>
        </w:rPr>
        <w:br/>
        <w:t>La información de la oferta y ejecución de las carreras y program</w:t>
      </w:r>
      <w:r>
        <w:rPr>
          <w:rFonts w:eastAsia="Times New Roman"/>
          <w:sz w:val="22"/>
          <w:szCs w:val="22"/>
        </w:rPr>
        <w:t>as académicos que se imparten en el país, será publicada y actualizada periódicamente por la SENESCYT.</w:t>
      </w:r>
    </w:p>
    <w:p w:rsidR="00000000" w:rsidRDefault="001707B5">
      <w:pPr>
        <w:divId w:val="2023433437"/>
        <w:rPr>
          <w:rFonts w:eastAsia="Times New Roman"/>
          <w:sz w:val="22"/>
          <w:szCs w:val="22"/>
        </w:rPr>
      </w:pPr>
      <w:r>
        <w:rPr>
          <w:rFonts w:eastAsia="Times New Roman"/>
          <w:sz w:val="22"/>
          <w:szCs w:val="22"/>
        </w:rPr>
        <w:t>Art. 22.-</w:t>
      </w:r>
      <w:r>
        <w:rPr>
          <w:rFonts w:eastAsia="Times New Roman"/>
          <w:b/>
          <w:bCs/>
          <w:sz w:val="22"/>
          <w:szCs w:val="22"/>
        </w:rPr>
        <w:t xml:space="preserve"> De los trabajos realizados por investigadores y expertos nacionales y extranjeros.- </w:t>
      </w:r>
      <w:r>
        <w:rPr>
          <w:rFonts w:eastAsia="Times New Roman"/>
          <w:sz w:val="22"/>
          <w:szCs w:val="22"/>
        </w:rPr>
        <w:t>La SENESCYT establecerá la normativa para que los proyectos</w:t>
      </w:r>
      <w:r>
        <w:rPr>
          <w:rFonts w:eastAsia="Times New Roman"/>
          <w:sz w:val="22"/>
          <w:szCs w:val="22"/>
        </w:rPr>
        <w:t xml:space="preserve"> de investigación realizados por investigadores nacionales o extranjeros sean parte del SNIESE para garantizar el acceso público a dichas investigaciones.</w:t>
      </w:r>
    </w:p>
    <w:p w:rsidR="00000000" w:rsidRDefault="001707B5">
      <w:pPr>
        <w:divId w:val="932207674"/>
        <w:rPr>
          <w:rFonts w:eastAsia="Times New Roman"/>
          <w:sz w:val="22"/>
          <w:szCs w:val="22"/>
        </w:rPr>
      </w:pPr>
      <w:r>
        <w:rPr>
          <w:rFonts w:eastAsia="Times New Roman"/>
          <w:sz w:val="22"/>
          <w:szCs w:val="22"/>
        </w:rPr>
        <w:t>Art. 23.-</w:t>
      </w:r>
      <w:r>
        <w:rPr>
          <w:rFonts w:eastAsia="Times New Roman"/>
          <w:b/>
          <w:bCs/>
          <w:sz w:val="22"/>
          <w:szCs w:val="22"/>
        </w:rPr>
        <w:t xml:space="preserve"> De la articulación de los conservatorios superiores con la Universidad de las Artes.- </w:t>
      </w:r>
      <w:r>
        <w:rPr>
          <w:rFonts w:eastAsia="Times New Roman"/>
          <w:sz w:val="22"/>
          <w:szCs w:val="22"/>
        </w:rPr>
        <w:t>El Mi</w:t>
      </w:r>
      <w:r>
        <w:rPr>
          <w:rFonts w:eastAsia="Times New Roman"/>
          <w:sz w:val="22"/>
          <w:szCs w:val="22"/>
        </w:rPr>
        <w:t>nisterio de Cultura en coordinación con la SENESCYT establecerá los mecanismos de articulación entre los institutos superiores de artes y los conservatorios superiores con la Universidad de las Artes.</w:t>
      </w:r>
    </w:p>
    <w:p w:rsidR="00000000" w:rsidRDefault="001707B5">
      <w:pPr>
        <w:divId w:val="1306591896"/>
        <w:rPr>
          <w:rFonts w:eastAsia="Times New Roman"/>
          <w:sz w:val="22"/>
          <w:szCs w:val="22"/>
        </w:rPr>
      </w:pPr>
      <w:r>
        <w:rPr>
          <w:rFonts w:eastAsia="Times New Roman"/>
          <w:sz w:val="22"/>
          <w:szCs w:val="22"/>
        </w:rPr>
        <w:t>Art. 24.-</w:t>
      </w:r>
      <w:r>
        <w:rPr>
          <w:rFonts w:eastAsia="Times New Roman"/>
          <w:b/>
          <w:bCs/>
          <w:sz w:val="22"/>
          <w:szCs w:val="22"/>
        </w:rPr>
        <w:t xml:space="preserve"> De la articulación de los programas y activid</w:t>
      </w:r>
      <w:r>
        <w:rPr>
          <w:rFonts w:eastAsia="Times New Roman"/>
          <w:b/>
          <w:bCs/>
          <w:sz w:val="22"/>
          <w:szCs w:val="22"/>
        </w:rPr>
        <w:t xml:space="preserve">ades de investigación del sector público con el Sistema de Educación Superior.- </w:t>
      </w:r>
      <w:r>
        <w:rPr>
          <w:rFonts w:eastAsia="Times New Roman"/>
          <w:sz w:val="22"/>
          <w:szCs w:val="22"/>
        </w:rPr>
        <w:t xml:space="preserve">La SENESCYT como organismo rector de la política pública en educación superior, ciencia, tecnología e innovación, establecerá y definirá los mecanismos de articulación con los </w:t>
      </w:r>
      <w:r>
        <w:rPr>
          <w:rFonts w:eastAsia="Times New Roman"/>
          <w:sz w:val="22"/>
          <w:szCs w:val="22"/>
        </w:rPr>
        <w:t>centros e instituciones del sector público que realicen investigación, y de estos con las universidades o escuelas politécnicas públicas.</w:t>
      </w:r>
    </w:p>
    <w:p w:rsidR="00000000" w:rsidRDefault="001707B5">
      <w:pPr>
        <w:divId w:val="218978394"/>
        <w:rPr>
          <w:rFonts w:eastAsia="Times New Roman"/>
          <w:sz w:val="22"/>
          <w:szCs w:val="22"/>
        </w:rPr>
      </w:pPr>
      <w:r>
        <w:rPr>
          <w:rFonts w:eastAsia="Times New Roman"/>
          <w:sz w:val="22"/>
          <w:szCs w:val="22"/>
        </w:rPr>
        <w:t>Art. 25.-</w:t>
      </w:r>
      <w:r>
        <w:rPr>
          <w:rFonts w:eastAsia="Times New Roman"/>
          <w:b/>
          <w:bCs/>
          <w:sz w:val="22"/>
          <w:szCs w:val="22"/>
        </w:rPr>
        <w:t xml:space="preserve"> Difusión y promoción de carreras o programas académicos.- </w:t>
      </w:r>
      <w:r>
        <w:rPr>
          <w:rFonts w:eastAsia="Times New Roman"/>
          <w:sz w:val="22"/>
          <w:szCs w:val="22"/>
        </w:rPr>
        <w:t>En la difusión que realicen las instituciones de e</w:t>
      </w:r>
      <w:r>
        <w:rPr>
          <w:rFonts w:eastAsia="Times New Roman"/>
          <w:sz w:val="22"/>
          <w:szCs w:val="22"/>
        </w:rPr>
        <w:t xml:space="preserve">ducación superior de sus carreras y programas académicos se incluirá de forma clara y obligatoria la categorización otorgada por el CEAACES. Los resultados de la autoevaluación realizada por las instituciones de educación superior no podrán ser utilizados </w:t>
      </w:r>
      <w:r>
        <w:rPr>
          <w:rFonts w:eastAsia="Times New Roman"/>
          <w:sz w:val="22"/>
          <w:szCs w:val="22"/>
        </w:rPr>
        <w:t>con fines publicitarios que induzcan al engaño.</w:t>
      </w:r>
      <w:r>
        <w:rPr>
          <w:rFonts w:eastAsia="Times New Roman"/>
          <w:sz w:val="22"/>
          <w:szCs w:val="22"/>
        </w:rPr>
        <w:br/>
      </w:r>
      <w:r>
        <w:rPr>
          <w:rFonts w:eastAsia="Times New Roman"/>
          <w:sz w:val="22"/>
          <w:szCs w:val="22"/>
        </w:rPr>
        <w:br/>
        <w:t>La SENESCYT verificará el cumplimiento de esta disposición e informará al CES para los fines pertinentes.</w:t>
      </w:r>
    </w:p>
    <w:p w:rsidR="00000000" w:rsidRDefault="001707B5">
      <w:pPr>
        <w:divId w:val="457069688"/>
        <w:rPr>
          <w:rFonts w:eastAsia="Times New Roman"/>
          <w:sz w:val="22"/>
          <w:szCs w:val="22"/>
        </w:rPr>
      </w:pPr>
      <w:r>
        <w:rPr>
          <w:rFonts w:eastAsia="Times New Roman"/>
          <w:sz w:val="22"/>
          <w:szCs w:val="22"/>
        </w:rPr>
        <w:t>Art. 26.-</w:t>
      </w:r>
      <w:r>
        <w:rPr>
          <w:rFonts w:eastAsia="Times New Roman"/>
          <w:b/>
          <w:bCs/>
          <w:sz w:val="22"/>
          <w:szCs w:val="22"/>
        </w:rPr>
        <w:t xml:space="preserve"> Del sistema de seguimiento a graduados.- </w:t>
      </w:r>
      <w:r>
        <w:rPr>
          <w:rFonts w:eastAsia="Times New Roman"/>
          <w:sz w:val="22"/>
          <w:szCs w:val="22"/>
        </w:rPr>
        <w:t>La SENESCYT diseñará los procedimientos necesarios</w:t>
      </w:r>
      <w:r>
        <w:rPr>
          <w:rFonts w:eastAsia="Times New Roman"/>
          <w:sz w:val="22"/>
          <w:szCs w:val="22"/>
        </w:rPr>
        <w:t xml:space="preserve"> para que las instituciones de educación superior instrumenten un sistema de seguimiento a los graduados, el cual será parte del SNIESE.</w:t>
      </w:r>
      <w:r>
        <w:rPr>
          <w:rFonts w:eastAsia="Times New Roman"/>
          <w:sz w:val="22"/>
          <w:szCs w:val="22"/>
        </w:rPr>
        <w:br/>
      </w:r>
      <w:r>
        <w:rPr>
          <w:rFonts w:eastAsia="Times New Roman"/>
          <w:sz w:val="22"/>
          <w:szCs w:val="22"/>
        </w:rPr>
        <w:br/>
        <w:t>Los resultados de este sistema serán notificados al CEAACES anualmente.</w:t>
      </w:r>
    </w:p>
    <w:p w:rsidR="00000000" w:rsidRDefault="001707B5">
      <w:pPr>
        <w:jc w:val="center"/>
        <w:rPr>
          <w:rFonts w:eastAsia="Times New Roman"/>
        </w:rPr>
      </w:pPr>
      <w:r>
        <w:rPr>
          <w:rFonts w:eastAsia="Times New Roman"/>
          <w:b/>
          <w:bCs/>
        </w:rPr>
        <w:br/>
        <w:t>Capítulo VI</w:t>
      </w:r>
      <w:r>
        <w:rPr>
          <w:rFonts w:eastAsia="Times New Roman"/>
          <w:b/>
          <w:bCs/>
        </w:rPr>
        <w:br/>
      </w:r>
      <w:r>
        <w:rPr>
          <w:rFonts w:eastAsia="Times New Roman"/>
          <w:b/>
          <w:bCs/>
        </w:rPr>
        <w:t>DE LA AUTODETERMINACIÓN PARA LA PRODUCCIÓN DEL PENSAMIENTO Y CONOCIMIENTO</w:t>
      </w:r>
    </w:p>
    <w:p w:rsidR="00000000" w:rsidRDefault="001707B5">
      <w:pPr>
        <w:divId w:val="826168055"/>
        <w:rPr>
          <w:rFonts w:eastAsia="Times New Roman"/>
          <w:sz w:val="22"/>
          <w:szCs w:val="22"/>
        </w:rPr>
      </w:pPr>
      <w:r>
        <w:rPr>
          <w:rFonts w:eastAsia="Times New Roman"/>
          <w:sz w:val="22"/>
          <w:szCs w:val="22"/>
        </w:rPr>
        <w:t>Art. 27.-</w:t>
      </w:r>
      <w:r>
        <w:rPr>
          <w:rFonts w:eastAsia="Times New Roman"/>
          <w:b/>
          <w:bCs/>
          <w:sz w:val="22"/>
          <w:szCs w:val="22"/>
        </w:rPr>
        <w:t xml:space="preserve"> Obtención de doctorado (PhD o su equivalente) para el ejercicio de la docencia.- </w:t>
      </w:r>
      <w:r>
        <w:rPr>
          <w:rFonts w:eastAsia="Times New Roman"/>
          <w:sz w:val="22"/>
          <w:szCs w:val="22"/>
        </w:rPr>
        <w:t>El requisito de tener título de posgrado correspondiente a doctorado (PhD o su equivalente)</w:t>
      </w:r>
      <w:r>
        <w:rPr>
          <w:rFonts w:eastAsia="Times New Roman"/>
          <w:sz w:val="22"/>
          <w:szCs w:val="22"/>
        </w:rPr>
        <w:t xml:space="preserve"> en el área afín en que se ejercerá la cátedra para ser profesor titular principal, deberá ser obtenido en una de las universidades con reconocimiento internacional establecida en un listado específico elaborado por la SENESCYT.</w:t>
      </w:r>
    </w:p>
    <w:p w:rsidR="00000000" w:rsidRDefault="001707B5">
      <w:pPr>
        <w:divId w:val="1692030745"/>
        <w:rPr>
          <w:rFonts w:eastAsia="Times New Roman"/>
          <w:sz w:val="22"/>
          <w:szCs w:val="22"/>
        </w:rPr>
      </w:pPr>
      <w:r>
        <w:rPr>
          <w:rFonts w:eastAsia="Times New Roman"/>
          <w:sz w:val="22"/>
          <w:szCs w:val="22"/>
        </w:rPr>
        <w:t>Art.</w:t>
      </w:r>
      <w:r>
        <w:rPr>
          <w:rFonts w:eastAsia="Times New Roman"/>
          <w:b/>
          <w:bCs/>
          <w:sz w:val="22"/>
          <w:szCs w:val="22"/>
        </w:rPr>
        <w:t xml:space="preserve"> </w:t>
      </w:r>
      <w:r>
        <w:rPr>
          <w:rFonts w:eastAsia="Times New Roman"/>
          <w:sz w:val="22"/>
          <w:szCs w:val="22"/>
        </w:rPr>
        <w:t>28.-</w:t>
      </w:r>
      <w:r>
        <w:rPr>
          <w:rFonts w:eastAsia="Times New Roman"/>
          <w:b/>
          <w:bCs/>
          <w:sz w:val="22"/>
          <w:szCs w:val="22"/>
        </w:rPr>
        <w:t xml:space="preserve"> Formación y capac</w:t>
      </w:r>
      <w:r>
        <w:rPr>
          <w:rFonts w:eastAsia="Times New Roman"/>
          <w:b/>
          <w:bCs/>
          <w:sz w:val="22"/>
          <w:szCs w:val="22"/>
        </w:rPr>
        <w:t xml:space="preserve">itación de los profesores o profesoras e investigadores o investigadoras.- </w:t>
      </w:r>
      <w:r>
        <w:rPr>
          <w:rFonts w:eastAsia="Times New Roman"/>
          <w:sz w:val="22"/>
          <w:szCs w:val="22"/>
        </w:rPr>
        <w:t>Para garantizar el derecho de los profesores e investigadores de acceder a la formación y capacitación, las instituciones de educación superior establecerán en sus presupuestos anua</w:t>
      </w:r>
      <w:r>
        <w:rPr>
          <w:rFonts w:eastAsia="Times New Roman"/>
          <w:sz w:val="22"/>
          <w:szCs w:val="22"/>
        </w:rPr>
        <w:t>les al menos el uno por ciento (1%), para el cumplimiento de este fin.</w:t>
      </w:r>
      <w:r>
        <w:rPr>
          <w:rFonts w:eastAsia="Times New Roman"/>
          <w:sz w:val="22"/>
          <w:szCs w:val="22"/>
        </w:rPr>
        <w:br/>
      </w:r>
      <w:r>
        <w:rPr>
          <w:rFonts w:eastAsia="Times New Roman"/>
          <w:sz w:val="22"/>
          <w:szCs w:val="22"/>
        </w:rPr>
        <w:lastRenderedPageBreak/>
        <w:br/>
        <w:t>Esta información será remitida anualmente a la SENESCYT para su conocimiento.</w:t>
      </w:r>
    </w:p>
    <w:p w:rsidR="00000000" w:rsidRDefault="001707B5">
      <w:pPr>
        <w:jc w:val="center"/>
        <w:rPr>
          <w:rFonts w:eastAsia="Times New Roman"/>
        </w:rPr>
      </w:pPr>
      <w:r>
        <w:rPr>
          <w:rFonts w:eastAsia="Times New Roman"/>
          <w:b/>
          <w:bCs/>
        </w:rPr>
        <w:br/>
        <w:t>Título II</w:t>
      </w:r>
      <w:r>
        <w:rPr>
          <w:rFonts w:eastAsia="Times New Roman"/>
          <w:b/>
          <w:bCs/>
        </w:rPr>
        <w:br/>
        <w:t>DE LAS INSTITUCIONES Y ORGANISMOS DEL SISTEMA DE EDUCACIÓN SUPERIOR</w:t>
      </w:r>
    </w:p>
    <w:p w:rsidR="00000000" w:rsidRDefault="001707B5">
      <w:pPr>
        <w:jc w:val="center"/>
        <w:rPr>
          <w:rFonts w:eastAsia="Times New Roman"/>
        </w:rPr>
      </w:pPr>
      <w:r>
        <w:rPr>
          <w:rFonts w:eastAsia="Times New Roman"/>
          <w:b/>
          <w:bCs/>
        </w:rPr>
        <w:br/>
        <w:t>Capítulo I</w:t>
      </w:r>
      <w:r>
        <w:rPr>
          <w:rFonts w:eastAsia="Times New Roman"/>
          <w:b/>
          <w:bCs/>
        </w:rPr>
        <w:br/>
        <w:t>DE LOS ORGANISM</w:t>
      </w:r>
      <w:r>
        <w:rPr>
          <w:rFonts w:eastAsia="Times New Roman"/>
          <w:b/>
          <w:bCs/>
        </w:rPr>
        <w:t>OS PÚBLICOS DEL SISTEMA DE EDUCACIÓN SUPERIOR</w:t>
      </w:r>
    </w:p>
    <w:p w:rsidR="00000000" w:rsidRDefault="001707B5">
      <w:pPr>
        <w:divId w:val="204681095"/>
        <w:rPr>
          <w:rFonts w:eastAsia="Times New Roman"/>
          <w:sz w:val="22"/>
          <w:szCs w:val="22"/>
        </w:rPr>
      </w:pPr>
      <w:r>
        <w:rPr>
          <w:rFonts w:eastAsia="Times New Roman"/>
          <w:sz w:val="22"/>
          <w:szCs w:val="22"/>
        </w:rPr>
        <w:t>Art. 29.-</w:t>
      </w:r>
      <w:r>
        <w:rPr>
          <w:rFonts w:eastAsia="Times New Roman"/>
          <w:b/>
          <w:bCs/>
          <w:sz w:val="22"/>
          <w:szCs w:val="22"/>
        </w:rPr>
        <w:t xml:space="preserve"> Del reemplazo de los miembros académicos y estudiantiles del CES.- </w:t>
      </w:r>
      <w:r>
        <w:rPr>
          <w:rFonts w:eastAsia="Times New Roman"/>
          <w:sz w:val="22"/>
          <w:szCs w:val="22"/>
        </w:rPr>
        <w:t>En caso de ausencia definitiva de un miembro académico o estudiantil del CES, los reemplazarán en sus funciones el siguiente candidat</w:t>
      </w:r>
      <w:r>
        <w:rPr>
          <w:rFonts w:eastAsia="Times New Roman"/>
          <w:sz w:val="22"/>
          <w:szCs w:val="22"/>
        </w:rPr>
        <w:t>o/a mejor puntuado en el concurso público de merecimiento y oposición. Serán posesionados por el Consejo Nacional Electoral y desempeñarán sus funciones por el tiempo que le faltaba cumplir al miembro principal.</w:t>
      </w:r>
      <w:r>
        <w:rPr>
          <w:rFonts w:eastAsia="Times New Roman"/>
          <w:sz w:val="22"/>
          <w:szCs w:val="22"/>
        </w:rPr>
        <w:br/>
      </w:r>
      <w:r>
        <w:rPr>
          <w:rFonts w:eastAsia="Times New Roman"/>
          <w:sz w:val="22"/>
          <w:szCs w:val="22"/>
        </w:rPr>
        <w:br/>
        <w:t>El Reglamento Interno del CES regulará el r</w:t>
      </w:r>
      <w:r>
        <w:rPr>
          <w:rFonts w:eastAsia="Times New Roman"/>
          <w:sz w:val="22"/>
          <w:szCs w:val="22"/>
        </w:rPr>
        <w:t>eemplazo del presidente/a o de los miembros, por ausencia temporal.</w:t>
      </w:r>
      <w:r>
        <w:rPr>
          <w:rFonts w:eastAsia="Times New Roman"/>
          <w:sz w:val="22"/>
          <w:szCs w:val="22"/>
        </w:rPr>
        <w:br/>
      </w:r>
      <w:r>
        <w:rPr>
          <w:rFonts w:eastAsia="Times New Roman"/>
          <w:sz w:val="22"/>
          <w:szCs w:val="22"/>
        </w:rPr>
        <w:br/>
        <w:t>El Presidente del CES nombrará a su subrogante en caso de ausencia temporal, de entre los miembros con derecho a voto.</w:t>
      </w:r>
    </w:p>
    <w:p w:rsidR="00000000" w:rsidRDefault="001707B5">
      <w:pPr>
        <w:divId w:val="1658879838"/>
        <w:rPr>
          <w:rFonts w:eastAsia="Times New Roman"/>
          <w:sz w:val="22"/>
          <w:szCs w:val="22"/>
        </w:rPr>
      </w:pPr>
      <w:r>
        <w:rPr>
          <w:rFonts w:eastAsia="Times New Roman"/>
          <w:sz w:val="22"/>
          <w:szCs w:val="22"/>
        </w:rPr>
        <w:t>Art. 30</w:t>
      </w:r>
      <w:r>
        <w:rPr>
          <w:rFonts w:eastAsia="Times New Roman"/>
          <w:b/>
          <w:bCs/>
          <w:sz w:val="22"/>
          <w:szCs w:val="22"/>
        </w:rPr>
        <w:t xml:space="preserve">.- Del reemplazo de los miembros académicos del CEAACES.- </w:t>
      </w:r>
      <w:r>
        <w:rPr>
          <w:rFonts w:eastAsia="Times New Roman"/>
          <w:sz w:val="22"/>
          <w:szCs w:val="22"/>
        </w:rPr>
        <w:t xml:space="preserve">En </w:t>
      </w:r>
      <w:r>
        <w:rPr>
          <w:rFonts w:eastAsia="Times New Roman"/>
          <w:sz w:val="22"/>
          <w:szCs w:val="22"/>
        </w:rPr>
        <w:t>caso de ausencia definitiva de un miembro académico del CEAACES, seleccionado por concurso público de merecimiento y oposición, lo reemplazará en sus funciones el candidato o candidata mejor puntuado en el concurso público efectuado para el período respect</w:t>
      </w:r>
      <w:r>
        <w:rPr>
          <w:rFonts w:eastAsia="Times New Roman"/>
          <w:sz w:val="22"/>
          <w:szCs w:val="22"/>
        </w:rPr>
        <w:t>ivo.</w:t>
      </w:r>
      <w:r>
        <w:rPr>
          <w:rFonts w:eastAsia="Times New Roman"/>
          <w:sz w:val="22"/>
          <w:szCs w:val="22"/>
        </w:rPr>
        <w:br/>
      </w:r>
      <w:r>
        <w:rPr>
          <w:rFonts w:eastAsia="Times New Roman"/>
          <w:sz w:val="22"/>
          <w:szCs w:val="22"/>
        </w:rPr>
        <w:br/>
        <w:t>En caso de ausencia definitiva de un miembro del CEAACES que proviene del Ejecutivo, el Presidente de la República procederá a su designación en el plazo máximo de treinta días.</w:t>
      </w:r>
      <w:r>
        <w:rPr>
          <w:rFonts w:eastAsia="Times New Roman"/>
          <w:sz w:val="22"/>
          <w:szCs w:val="22"/>
        </w:rPr>
        <w:br/>
      </w:r>
      <w:r>
        <w:rPr>
          <w:rFonts w:eastAsia="Times New Roman"/>
          <w:sz w:val="22"/>
          <w:szCs w:val="22"/>
        </w:rPr>
        <w:br/>
        <w:t>En caso de ausencia definitiva del Presidente del Consejo, el nuevo pre</w:t>
      </w:r>
      <w:r>
        <w:rPr>
          <w:rFonts w:eastAsia="Times New Roman"/>
          <w:sz w:val="22"/>
          <w:szCs w:val="22"/>
        </w:rPr>
        <w:t>sidente será designado una vez que el Presidente de la República haya designado al miembro faltante.</w:t>
      </w:r>
    </w:p>
    <w:p w:rsidR="00000000" w:rsidRDefault="001707B5">
      <w:pPr>
        <w:divId w:val="1869833575"/>
        <w:rPr>
          <w:rFonts w:eastAsia="Times New Roman"/>
          <w:sz w:val="22"/>
          <w:szCs w:val="22"/>
        </w:rPr>
      </w:pPr>
      <w:r>
        <w:rPr>
          <w:rFonts w:eastAsia="Times New Roman"/>
          <w:sz w:val="22"/>
          <w:szCs w:val="22"/>
        </w:rPr>
        <w:t>Art. 31.-</w:t>
      </w:r>
      <w:r>
        <w:rPr>
          <w:rFonts w:eastAsia="Times New Roman"/>
          <w:b/>
          <w:bCs/>
          <w:sz w:val="22"/>
          <w:szCs w:val="22"/>
        </w:rPr>
        <w:t xml:space="preserve"> Deberes y atribuciones del Presidente del CEAACES.- </w:t>
      </w:r>
      <w:r>
        <w:rPr>
          <w:rFonts w:eastAsia="Times New Roman"/>
          <w:sz w:val="22"/>
          <w:szCs w:val="22"/>
        </w:rPr>
        <w:t>Sin perjuicio de los deberes y atribuciones establecidas en la Ley, el Presidente del CEAACES</w:t>
      </w:r>
      <w:r>
        <w:rPr>
          <w:rFonts w:eastAsia="Times New Roman"/>
          <w:sz w:val="22"/>
          <w:szCs w:val="22"/>
        </w:rPr>
        <w:t>, tendrá los siguientes deberes y atribuciones:</w:t>
      </w:r>
      <w:r>
        <w:rPr>
          <w:rFonts w:eastAsia="Times New Roman"/>
          <w:sz w:val="22"/>
          <w:szCs w:val="22"/>
        </w:rPr>
        <w:br/>
      </w:r>
      <w:r>
        <w:rPr>
          <w:rFonts w:eastAsia="Times New Roman"/>
          <w:sz w:val="22"/>
          <w:szCs w:val="22"/>
        </w:rPr>
        <w:br/>
        <w:t>1. Ejercer el voto dirimente en las decisiones del CEAACES;</w:t>
      </w:r>
      <w:r>
        <w:rPr>
          <w:rFonts w:eastAsia="Times New Roman"/>
          <w:sz w:val="22"/>
          <w:szCs w:val="22"/>
        </w:rPr>
        <w:br/>
      </w:r>
      <w:r>
        <w:rPr>
          <w:rFonts w:eastAsia="Times New Roman"/>
          <w:sz w:val="22"/>
          <w:szCs w:val="22"/>
        </w:rPr>
        <w:br/>
        <w:t>2. Expedir acuerdos, resoluciones y suscribir en representación del CEAACES los contratos y convenios en el ámbito de su competencia;</w:t>
      </w:r>
      <w:r>
        <w:rPr>
          <w:rFonts w:eastAsia="Times New Roman"/>
          <w:sz w:val="22"/>
          <w:szCs w:val="22"/>
        </w:rPr>
        <w:br/>
      </w:r>
      <w:r>
        <w:rPr>
          <w:rFonts w:eastAsia="Times New Roman"/>
          <w:sz w:val="22"/>
          <w:szCs w:val="22"/>
        </w:rPr>
        <w:br/>
        <w:t xml:space="preserve">3. Dirigir </w:t>
      </w:r>
      <w:r>
        <w:rPr>
          <w:rFonts w:eastAsia="Times New Roman"/>
          <w:sz w:val="22"/>
          <w:szCs w:val="22"/>
        </w:rPr>
        <w:t>a las unidades técnicas y administrativas del CEAACES;</w:t>
      </w:r>
      <w:r>
        <w:rPr>
          <w:rFonts w:eastAsia="Times New Roman"/>
          <w:sz w:val="22"/>
          <w:szCs w:val="22"/>
        </w:rPr>
        <w:br/>
      </w:r>
      <w:r>
        <w:rPr>
          <w:rFonts w:eastAsia="Times New Roman"/>
          <w:sz w:val="22"/>
          <w:szCs w:val="22"/>
        </w:rPr>
        <w:br/>
        <w:t>4 Delegar y desconcentrar aquellas atribuciones de gestión administrativa y técnica del CEAACES; y,</w:t>
      </w:r>
      <w:r>
        <w:rPr>
          <w:rFonts w:eastAsia="Times New Roman"/>
          <w:sz w:val="22"/>
          <w:szCs w:val="22"/>
        </w:rPr>
        <w:br/>
      </w:r>
      <w:r>
        <w:rPr>
          <w:rFonts w:eastAsia="Times New Roman"/>
          <w:sz w:val="22"/>
          <w:szCs w:val="22"/>
        </w:rPr>
        <w:br/>
        <w:t>5. Autorizar los gastos e inversiones, la contratación de bienes, obras y servicios, y, en general,</w:t>
      </w:r>
      <w:r>
        <w:rPr>
          <w:rFonts w:eastAsia="Times New Roman"/>
          <w:sz w:val="22"/>
          <w:szCs w:val="22"/>
        </w:rPr>
        <w:t xml:space="preserve"> cualquier acto que comprometa fondos que estén contemplados en los presupuestos del CEAACES y que de acuerdo a la ley sean de su competencia.</w:t>
      </w:r>
    </w:p>
    <w:p w:rsidR="00000000" w:rsidRDefault="001707B5">
      <w:pPr>
        <w:divId w:val="1007248412"/>
        <w:rPr>
          <w:rFonts w:eastAsia="Times New Roman"/>
          <w:sz w:val="22"/>
          <w:szCs w:val="22"/>
        </w:rPr>
      </w:pPr>
      <w:r>
        <w:rPr>
          <w:rFonts w:eastAsia="Times New Roman"/>
          <w:sz w:val="22"/>
          <w:szCs w:val="22"/>
        </w:rPr>
        <w:t>Art. 32.-</w:t>
      </w:r>
      <w:r>
        <w:rPr>
          <w:rFonts w:eastAsia="Times New Roman"/>
          <w:b/>
          <w:bCs/>
          <w:sz w:val="22"/>
          <w:szCs w:val="22"/>
        </w:rPr>
        <w:t xml:space="preserve"> De las certificaciones otorgadas por el CEAACES.- </w:t>
      </w:r>
      <w:r>
        <w:rPr>
          <w:rFonts w:eastAsia="Times New Roman"/>
          <w:sz w:val="22"/>
          <w:szCs w:val="22"/>
        </w:rPr>
        <w:t>El CEAACES será el organismo encargado de verificar y</w:t>
      </w:r>
      <w:r>
        <w:rPr>
          <w:rFonts w:eastAsia="Times New Roman"/>
          <w:sz w:val="22"/>
          <w:szCs w:val="22"/>
        </w:rPr>
        <w:t xml:space="preserve"> emitir las certificaciones que acrediten experiencia en procesos de evaluación, acreditación y categorización de instituciones de educación superior.</w:t>
      </w:r>
    </w:p>
    <w:p w:rsidR="00000000" w:rsidRDefault="001707B5">
      <w:pPr>
        <w:jc w:val="center"/>
        <w:rPr>
          <w:rFonts w:eastAsia="Times New Roman"/>
        </w:rPr>
      </w:pPr>
      <w:r>
        <w:rPr>
          <w:rFonts w:eastAsia="Times New Roman"/>
          <w:b/>
          <w:bCs/>
        </w:rPr>
        <w:br/>
        <w:t>Título III</w:t>
      </w:r>
      <w:r>
        <w:rPr>
          <w:rFonts w:eastAsia="Times New Roman"/>
          <w:b/>
          <w:bCs/>
        </w:rPr>
        <w:br/>
      </w:r>
      <w:r>
        <w:rPr>
          <w:rFonts w:eastAsia="Times New Roman"/>
          <w:b/>
          <w:bCs/>
        </w:rPr>
        <w:lastRenderedPageBreak/>
        <w:t>DEL PATRIMONIO Y FINANCIAMIENTO DE LAS INSTITUCIONES DE EDUCACIÓN SUPERIOR</w:t>
      </w:r>
    </w:p>
    <w:p w:rsidR="00000000" w:rsidRDefault="001707B5">
      <w:pPr>
        <w:jc w:val="center"/>
        <w:rPr>
          <w:rFonts w:eastAsia="Times New Roman"/>
        </w:rPr>
      </w:pPr>
      <w:r>
        <w:rPr>
          <w:rFonts w:eastAsia="Times New Roman"/>
          <w:b/>
          <w:bCs/>
        </w:rPr>
        <w:br/>
        <w:t>Capítulo Único</w:t>
      </w:r>
    </w:p>
    <w:p w:rsidR="00000000" w:rsidRDefault="001707B5">
      <w:pPr>
        <w:divId w:val="1029263415"/>
        <w:rPr>
          <w:rFonts w:eastAsia="Times New Roman"/>
          <w:sz w:val="22"/>
          <w:szCs w:val="22"/>
        </w:rPr>
      </w:pPr>
      <w:r>
        <w:rPr>
          <w:rFonts w:eastAsia="Times New Roman"/>
          <w:sz w:val="22"/>
          <w:szCs w:val="22"/>
        </w:rPr>
        <w:t>Ar</w:t>
      </w:r>
      <w:r>
        <w:rPr>
          <w:rFonts w:eastAsia="Times New Roman"/>
          <w:sz w:val="22"/>
          <w:szCs w:val="22"/>
        </w:rPr>
        <w:t>t. 33.-</w:t>
      </w:r>
      <w:r>
        <w:rPr>
          <w:rFonts w:eastAsia="Times New Roman"/>
          <w:b/>
          <w:bCs/>
          <w:sz w:val="22"/>
          <w:szCs w:val="22"/>
        </w:rPr>
        <w:t xml:space="preserve"> Asignaciones y rentas del Estado para las universidades y escuelas politécnicas particulares.- </w:t>
      </w:r>
      <w:r>
        <w:rPr>
          <w:rFonts w:eastAsia="Times New Roman"/>
          <w:sz w:val="22"/>
          <w:szCs w:val="22"/>
        </w:rPr>
        <w:t>Las universidades y escuelas politécnicas particulares que reciban asignaciones y rentas del Estado presentarán a la SENESCYT, el primer mes de cada año,</w:t>
      </w:r>
      <w:r>
        <w:rPr>
          <w:rFonts w:eastAsia="Times New Roman"/>
          <w:sz w:val="22"/>
          <w:szCs w:val="22"/>
        </w:rPr>
        <w:t xml:space="preserve"> un Plan Anual de uso de dichos fondos, debiendo especificarse el número de becas a otorgarse y justificar los montos destinados a cada una de ellas en función del costo de carrera por estudiante establecido por la SENESCYT.</w:t>
      </w:r>
    </w:p>
    <w:p w:rsidR="00000000" w:rsidRDefault="001707B5">
      <w:pPr>
        <w:divId w:val="1617060279"/>
        <w:rPr>
          <w:rFonts w:eastAsia="Times New Roman"/>
          <w:sz w:val="22"/>
          <w:szCs w:val="22"/>
        </w:rPr>
      </w:pPr>
      <w:r>
        <w:rPr>
          <w:rFonts w:eastAsia="Times New Roman"/>
          <w:sz w:val="22"/>
          <w:szCs w:val="22"/>
        </w:rPr>
        <w:t>Art. 34.-</w:t>
      </w:r>
      <w:r>
        <w:rPr>
          <w:rFonts w:eastAsia="Times New Roman"/>
          <w:b/>
          <w:bCs/>
          <w:sz w:val="22"/>
          <w:szCs w:val="22"/>
        </w:rPr>
        <w:t xml:space="preserve"> De la asignación de r</w:t>
      </w:r>
      <w:r>
        <w:rPr>
          <w:rFonts w:eastAsia="Times New Roman"/>
          <w:b/>
          <w:bCs/>
          <w:sz w:val="22"/>
          <w:szCs w:val="22"/>
        </w:rPr>
        <w:t xml:space="preserve">ecursos para publicaciones, becas para profesores o profesoras e investigaciones.- </w:t>
      </w:r>
      <w:r>
        <w:rPr>
          <w:rFonts w:eastAsia="Times New Roman"/>
          <w:sz w:val="22"/>
          <w:szCs w:val="22"/>
        </w:rPr>
        <w:t>Las instituciones de educación superior presentarán anualmente a la SENESCYT, la programación de la asignación del porcentaje establecido en el artículo 36 de la Ley de Educ</w:t>
      </w:r>
      <w:r>
        <w:rPr>
          <w:rFonts w:eastAsia="Times New Roman"/>
          <w:sz w:val="22"/>
          <w:szCs w:val="22"/>
        </w:rPr>
        <w:t>ación Superior, la que velará por la aplicación de esta disposición. La distribución de este porcentaje para cada actividad será establecida por cada institución de educación superior dependiendo de su tipología institucional, sus necesidades y/o prioridad</w:t>
      </w:r>
      <w:r>
        <w:rPr>
          <w:rFonts w:eastAsia="Times New Roman"/>
          <w:sz w:val="22"/>
          <w:szCs w:val="22"/>
        </w:rPr>
        <w:t>es institucionales.</w:t>
      </w:r>
      <w:r>
        <w:rPr>
          <w:rFonts w:eastAsia="Times New Roman"/>
          <w:sz w:val="22"/>
          <w:szCs w:val="22"/>
        </w:rPr>
        <w:br/>
      </w:r>
      <w:r>
        <w:rPr>
          <w:rFonts w:eastAsia="Times New Roman"/>
          <w:sz w:val="22"/>
          <w:szCs w:val="22"/>
        </w:rPr>
        <w:br/>
        <w:t>Las instituciones de educación superior que incumplieren lo dispuesto en el artículo 36 de la Ley, serán sancionadas con una multa equivalente al doble del valor no invertido.</w:t>
      </w:r>
    </w:p>
    <w:p w:rsidR="00000000" w:rsidRDefault="001707B5">
      <w:pPr>
        <w:divId w:val="1142772429"/>
        <w:rPr>
          <w:rFonts w:eastAsia="Times New Roman"/>
          <w:sz w:val="22"/>
          <w:szCs w:val="22"/>
        </w:rPr>
      </w:pPr>
      <w:r>
        <w:rPr>
          <w:rFonts w:eastAsia="Times New Roman"/>
          <w:sz w:val="22"/>
          <w:szCs w:val="22"/>
        </w:rPr>
        <w:t>Art. 35.-</w:t>
      </w:r>
      <w:r>
        <w:rPr>
          <w:rFonts w:eastAsia="Times New Roman"/>
          <w:b/>
          <w:bCs/>
          <w:sz w:val="22"/>
          <w:szCs w:val="22"/>
        </w:rPr>
        <w:t xml:space="preserve"> Del destino de los bienes de una institución de e</w:t>
      </w:r>
      <w:r>
        <w:rPr>
          <w:rFonts w:eastAsia="Times New Roman"/>
          <w:b/>
          <w:bCs/>
          <w:sz w:val="22"/>
          <w:szCs w:val="22"/>
        </w:rPr>
        <w:t xml:space="preserve">ducación superior extinguida.- </w:t>
      </w:r>
      <w:r>
        <w:rPr>
          <w:rFonts w:eastAsia="Times New Roman"/>
          <w:sz w:val="22"/>
          <w:szCs w:val="22"/>
        </w:rPr>
        <w:t>Cuando la declaratoria de extinción de una institución de educación superior corresponda a una universidad o escuela politécnica pública o particular que recibe rentas y asignaciones del Estado, la derogatoria del instrumento</w:t>
      </w:r>
      <w:r>
        <w:rPr>
          <w:rFonts w:eastAsia="Times New Roman"/>
          <w:sz w:val="22"/>
          <w:szCs w:val="22"/>
        </w:rPr>
        <w:t xml:space="preserve"> legal de creación de la universidad o escuela politécnica que expida la Asamblea Nacional o el órgano competente incluirá el destino de ese patrimonio, definido previamente por el CES, de conformidad con la ley.</w:t>
      </w:r>
      <w:r>
        <w:rPr>
          <w:rFonts w:eastAsia="Times New Roman"/>
          <w:sz w:val="22"/>
          <w:szCs w:val="22"/>
        </w:rPr>
        <w:br/>
      </w:r>
      <w:r>
        <w:rPr>
          <w:rFonts w:eastAsia="Times New Roman"/>
          <w:sz w:val="22"/>
          <w:szCs w:val="22"/>
        </w:rPr>
        <w:br/>
        <w:t>Cuando la declaratoria de extinción corres</w:t>
      </w:r>
      <w:r>
        <w:rPr>
          <w:rFonts w:eastAsia="Times New Roman"/>
          <w:sz w:val="22"/>
          <w:szCs w:val="22"/>
        </w:rPr>
        <w:t>ponda a una universidad o escuela politécnica particular que no reciba asignaciones o rentas del estado, la derogatoria del instrumento legal de creación de la universidad o escuela politécnica que expida la Asamblea Nacional o el órgano competente estable</w:t>
      </w:r>
      <w:r>
        <w:rPr>
          <w:rFonts w:eastAsia="Times New Roman"/>
          <w:sz w:val="22"/>
          <w:szCs w:val="22"/>
        </w:rPr>
        <w:t>cerá el destino de su patrimonio en virtud de lo determinado en su estatuto.</w:t>
      </w:r>
      <w:r>
        <w:rPr>
          <w:rFonts w:eastAsia="Times New Roman"/>
          <w:sz w:val="22"/>
          <w:szCs w:val="22"/>
        </w:rPr>
        <w:br/>
      </w:r>
      <w:r>
        <w:rPr>
          <w:rFonts w:eastAsia="Times New Roman"/>
          <w:sz w:val="22"/>
          <w:szCs w:val="22"/>
        </w:rPr>
        <w:br/>
        <w:t>Cuando la declaratoria de extinción corresponda a un instituto superior técnico, tecnológico, pedagógico, de artes o conservatorio superior, público o particular que recibe renta</w:t>
      </w:r>
      <w:r>
        <w:rPr>
          <w:rFonts w:eastAsia="Times New Roman"/>
          <w:sz w:val="22"/>
          <w:szCs w:val="22"/>
        </w:rPr>
        <w:t>s y asignaciones del Estado, la SENESCYT establecerá el destino de su patrimonio que preferentemente beneficiará a una institución de educación superior de similar nivel de formación; y en caso de ser particular que no reciba asignaciones o rentas del esta</w:t>
      </w:r>
      <w:r>
        <w:rPr>
          <w:rFonts w:eastAsia="Times New Roman"/>
          <w:sz w:val="22"/>
          <w:szCs w:val="22"/>
        </w:rPr>
        <w:t>do, la SENESCYT observará lo establecido en los estatutos de cada institución.</w:t>
      </w:r>
    </w:p>
    <w:p w:rsidR="00000000" w:rsidRDefault="001707B5">
      <w:pPr>
        <w:jc w:val="center"/>
        <w:rPr>
          <w:rFonts w:eastAsia="Times New Roman"/>
        </w:rPr>
      </w:pPr>
      <w:r>
        <w:rPr>
          <w:rFonts w:eastAsia="Times New Roman"/>
          <w:b/>
          <w:bCs/>
        </w:rPr>
        <w:br/>
        <w:t>Título IV</w:t>
      </w:r>
      <w:r>
        <w:rPr>
          <w:rFonts w:eastAsia="Times New Roman"/>
          <w:b/>
          <w:bCs/>
        </w:rPr>
        <w:br/>
        <w:t>DE LOS PROCESOS DE INTERVENCIÓN Y SUSPENSIÓN</w:t>
      </w:r>
    </w:p>
    <w:p w:rsidR="00000000" w:rsidRDefault="001707B5">
      <w:pPr>
        <w:jc w:val="center"/>
        <w:rPr>
          <w:rFonts w:eastAsia="Times New Roman"/>
        </w:rPr>
      </w:pPr>
      <w:r>
        <w:rPr>
          <w:rFonts w:eastAsia="Times New Roman"/>
          <w:b/>
          <w:bCs/>
        </w:rPr>
        <w:br/>
        <w:t>Capítulo I</w:t>
      </w:r>
      <w:r>
        <w:rPr>
          <w:rFonts w:eastAsia="Times New Roman"/>
          <w:b/>
          <w:bCs/>
        </w:rPr>
        <w:br/>
        <w:t>DE LA INTERVENCIÓN A LAS UNIVERSIDADES Y ESCUELAS POLITÉCNICAS</w:t>
      </w:r>
    </w:p>
    <w:p w:rsidR="00000000" w:rsidRDefault="001707B5">
      <w:pPr>
        <w:divId w:val="881478291"/>
        <w:rPr>
          <w:rFonts w:eastAsia="Times New Roman"/>
          <w:sz w:val="22"/>
          <w:szCs w:val="22"/>
        </w:rPr>
      </w:pPr>
      <w:r>
        <w:rPr>
          <w:rFonts w:eastAsia="Times New Roman"/>
          <w:sz w:val="22"/>
          <w:szCs w:val="22"/>
        </w:rPr>
        <w:t>Art. 36.-</w:t>
      </w:r>
      <w:r>
        <w:rPr>
          <w:rFonts w:eastAsia="Times New Roman"/>
          <w:b/>
          <w:bCs/>
          <w:sz w:val="22"/>
          <w:szCs w:val="22"/>
        </w:rPr>
        <w:t xml:space="preserve"> Del inicio del proceso de intervenci</w:t>
      </w:r>
      <w:r>
        <w:rPr>
          <w:rFonts w:eastAsia="Times New Roman"/>
          <w:b/>
          <w:bCs/>
          <w:sz w:val="22"/>
          <w:szCs w:val="22"/>
        </w:rPr>
        <w:t xml:space="preserve">ón.- </w:t>
      </w:r>
      <w:r>
        <w:rPr>
          <w:rFonts w:eastAsia="Times New Roman"/>
          <w:sz w:val="22"/>
          <w:szCs w:val="22"/>
        </w:rPr>
        <w:t>El CES podrá resolver el inicio del proceso de intervención a las universidades y escuelas politécnicas por iniciativa propia, por recomendación de la SENESCYT o por denuncias debidamente documentadas.</w:t>
      </w:r>
      <w:r>
        <w:rPr>
          <w:rFonts w:eastAsia="Times New Roman"/>
          <w:sz w:val="22"/>
          <w:szCs w:val="22"/>
        </w:rPr>
        <w:br/>
      </w:r>
      <w:r>
        <w:rPr>
          <w:rFonts w:eastAsia="Times New Roman"/>
          <w:sz w:val="22"/>
          <w:szCs w:val="22"/>
        </w:rPr>
        <w:br/>
        <w:t>El CES inmediatamente dará inicio a las investig</w:t>
      </w:r>
      <w:r>
        <w:rPr>
          <w:rFonts w:eastAsia="Times New Roman"/>
          <w:sz w:val="22"/>
          <w:szCs w:val="22"/>
        </w:rPr>
        <w:t>aciones tendientes a verificar la veracidad de los actos o hechos denunciados, para lo cual solicitará a la SENESCYT el apoyo respectivo.</w:t>
      </w:r>
      <w:r>
        <w:rPr>
          <w:rFonts w:eastAsia="Times New Roman"/>
          <w:sz w:val="22"/>
          <w:szCs w:val="22"/>
        </w:rPr>
        <w:br/>
      </w:r>
      <w:r>
        <w:rPr>
          <w:rFonts w:eastAsia="Times New Roman"/>
          <w:sz w:val="22"/>
          <w:szCs w:val="22"/>
        </w:rPr>
        <w:br/>
        <w:t>Si se comprueba la veracidad de los actos o hechos denunciados, el CES notificará al CEAACES para que dé inicio al tr</w:t>
      </w:r>
      <w:r>
        <w:rPr>
          <w:rFonts w:eastAsia="Times New Roman"/>
          <w:sz w:val="22"/>
          <w:szCs w:val="22"/>
        </w:rPr>
        <w:t>ámite respectivo.</w:t>
      </w:r>
      <w:r>
        <w:rPr>
          <w:rFonts w:eastAsia="Times New Roman"/>
          <w:sz w:val="22"/>
          <w:szCs w:val="22"/>
        </w:rPr>
        <w:br/>
      </w:r>
      <w:r>
        <w:rPr>
          <w:rFonts w:eastAsia="Times New Roman"/>
          <w:sz w:val="22"/>
          <w:szCs w:val="22"/>
        </w:rPr>
        <w:lastRenderedPageBreak/>
        <w:br/>
        <w:t>El CEAACES tendrá el plazo de treinta días para emitir los informes respectivos, los que incluirán las recomendaciones del caso.</w:t>
      </w:r>
    </w:p>
    <w:p w:rsidR="00000000" w:rsidRDefault="001707B5">
      <w:pPr>
        <w:jc w:val="center"/>
        <w:rPr>
          <w:rFonts w:eastAsia="Times New Roman"/>
        </w:rPr>
      </w:pPr>
      <w:r>
        <w:rPr>
          <w:rFonts w:eastAsia="Times New Roman"/>
          <w:b/>
          <w:bCs/>
        </w:rPr>
        <w:br/>
        <w:t>Capítulo II</w:t>
      </w:r>
      <w:r>
        <w:rPr>
          <w:rFonts w:eastAsia="Times New Roman"/>
          <w:b/>
          <w:bCs/>
        </w:rPr>
        <w:br/>
        <w:t>DE LA SUSPENSIÓN</w:t>
      </w:r>
    </w:p>
    <w:p w:rsidR="00000000" w:rsidRDefault="001707B5">
      <w:pPr>
        <w:divId w:val="2045904555"/>
        <w:rPr>
          <w:rFonts w:eastAsia="Times New Roman"/>
          <w:sz w:val="22"/>
          <w:szCs w:val="22"/>
        </w:rPr>
      </w:pPr>
      <w:r>
        <w:rPr>
          <w:rFonts w:eastAsia="Times New Roman"/>
          <w:sz w:val="22"/>
          <w:szCs w:val="22"/>
        </w:rPr>
        <w:t>Art. 37.-</w:t>
      </w:r>
      <w:r>
        <w:rPr>
          <w:rFonts w:eastAsia="Times New Roman"/>
          <w:b/>
          <w:bCs/>
          <w:sz w:val="22"/>
          <w:szCs w:val="22"/>
        </w:rPr>
        <w:t xml:space="preserve"> Del procedimiento de la suspensión por el CES.- </w:t>
      </w:r>
      <w:r>
        <w:rPr>
          <w:rFonts w:eastAsia="Times New Roman"/>
          <w:sz w:val="22"/>
          <w:szCs w:val="22"/>
        </w:rPr>
        <w:t>El CES garantizará e</w:t>
      </w:r>
      <w:r>
        <w:rPr>
          <w:rFonts w:eastAsia="Times New Roman"/>
          <w:sz w:val="22"/>
          <w:szCs w:val="22"/>
        </w:rPr>
        <w:t>l debido proceso al tenor del siguiente procedimiento:</w:t>
      </w:r>
      <w:r>
        <w:rPr>
          <w:rFonts w:eastAsia="Times New Roman"/>
          <w:sz w:val="22"/>
          <w:szCs w:val="22"/>
        </w:rPr>
        <w:br/>
      </w:r>
      <w:r>
        <w:rPr>
          <w:rFonts w:eastAsia="Times New Roman"/>
          <w:sz w:val="22"/>
          <w:szCs w:val="22"/>
        </w:rPr>
        <w:br/>
        <w:t>1. El procedimiento de suspensión dará inicio con la resolución del CES, que determine, luego del proceso de intervención, que no existen las condiciones favorables para la regularización de la univer</w:t>
      </w:r>
      <w:r>
        <w:rPr>
          <w:rFonts w:eastAsia="Times New Roman"/>
          <w:sz w:val="22"/>
          <w:szCs w:val="22"/>
        </w:rPr>
        <w:t>sidad o escuela politécnica intervenida.</w:t>
      </w:r>
      <w:r>
        <w:rPr>
          <w:rFonts w:eastAsia="Times New Roman"/>
          <w:sz w:val="22"/>
          <w:szCs w:val="22"/>
        </w:rPr>
        <w:br/>
      </w:r>
      <w:r>
        <w:rPr>
          <w:rFonts w:eastAsia="Times New Roman"/>
          <w:sz w:val="22"/>
          <w:szCs w:val="22"/>
        </w:rPr>
        <w:br/>
        <w:t>2. La medida de la suspensión, resuelta por el CES, será notificada por su Presidente al rector o representante legal de la universidad o escuela politécnica.</w:t>
      </w:r>
      <w:r>
        <w:rPr>
          <w:rFonts w:eastAsia="Times New Roman"/>
          <w:sz w:val="22"/>
          <w:szCs w:val="22"/>
        </w:rPr>
        <w:br/>
      </w:r>
      <w:r>
        <w:rPr>
          <w:rFonts w:eastAsia="Times New Roman"/>
          <w:sz w:val="22"/>
          <w:szCs w:val="22"/>
        </w:rPr>
        <w:br/>
        <w:t xml:space="preserve">3. El CES remitirá la solicitud de la derogatoria del </w:t>
      </w:r>
      <w:r>
        <w:rPr>
          <w:rFonts w:eastAsia="Times New Roman"/>
          <w:sz w:val="22"/>
          <w:szCs w:val="22"/>
        </w:rPr>
        <w:t>instrumento legal de creación de la institución de educación superior suspendida a la Asamblea Nacional o al órgano competente, en un plazo no mayor a treinta días desde el momento en que se notificó al rector o representante legal de la universidad o escu</w:t>
      </w:r>
      <w:r>
        <w:rPr>
          <w:rFonts w:eastAsia="Times New Roman"/>
          <w:sz w:val="22"/>
          <w:szCs w:val="22"/>
        </w:rPr>
        <w:t>ela politécnica.</w:t>
      </w:r>
      <w:r>
        <w:rPr>
          <w:rFonts w:eastAsia="Times New Roman"/>
          <w:sz w:val="22"/>
          <w:szCs w:val="22"/>
        </w:rPr>
        <w:br/>
      </w:r>
      <w:r>
        <w:rPr>
          <w:rFonts w:eastAsia="Times New Roman"/>
          <w:sz w:val="22"/>
          <w:szCs w:val="22"/>
        </w:rPr>
        <w:br/>
        <w:t>4. El CES garantizará los derechos de los estudiantes de las universidades y escuelas politécnicas en proceso de suspensión, para que puedan continuar sus estudios regulares en otros centros de educación superior, rigiéndose por las norma</w:t>
      </w:r>
      <w:r>
        <w:rPr>
          <w:rFonts w:eastAsia="Times New Roman"/>
          <w:sz w:val="22"/>
          <w:szCs w:val="22"/>
        </w:rPr>
        <w:t>s propias de estas instituciones.</w:t>
      </w:r>
      <w:r>
        <w:rPr>
          <w:rFonts w:eastAsia="Times New Roman"/>
          <w:sz w:val="22"/>
          <w:szCs w:val="22"/>
        </w:rPr>
        <w:br/>
      </w:r>
      <w:r>
        <w:rPr>
          <w:rFonts w:eastAsia="Times New Roman"/>
          <w:sz w:val="22"/>
          <w:szCs w:val="22"/>
        </w:rPr>
        <w:br/>
        <w:t>5. El CES en un plazo de treinta días, aprobará un Plan de Acción para resolver las situaciones derivadas de la suspensión y futura extinción del centro de educación superior.</w:t>
      </w:r>
    </w:p>
    <w:p w:rsidR="00000000" w:rsidRDefault="001707B5">
      <w:pPr>
        <w:divId w:val="1770275733"/>
        <w:rPr>
          <w:rFonts w:eastAsia="Times New Roman"/>
          <w:sz w:val="22"/>
          <w:szCs w:val="22"/>
        </w:rPr>
      </w:pPr>
      <w:r>
        <w:rPr>
          <w:rFonts w:eastAsia="Times New Roman"/>
          <w:sz w:val="22"/>
          <w:szCs w:val="22"/>
        </w:rPr>
        <w:t>Art. 38.-</w:t>
      </w:r>
      <w:r>
        <w:rPr>
          <w:rFonts w:eastAsia="Times New Roman"/>
          <w:b/>
          <w:bCs/>
          <w:sz w:val="22"/>
          <w:szCs w:val="22"/>
        </w:rPr>
        <w:t xml:space="preserve"> </w:t>
      </w:r>
      <w:r>
        <w:rPr>
          <w:rFonts w:eastAsia="Times New Roman"/>
          <w:b/>
          <w:bCs/>
          <w:sz w:val="22"/>
          <w:szCs w:val="22"/>
        </w:rPr>
        <w:t xml:space="preserve">Del procedimiento de la suspensión por el CEAACES.- </w:t>
      </w:r>
      <w:r>
        <w:rPr>
          <w:rFonts w:eastAsia="Times New Roman"/>
          <w:sz w:val="22"/>
          <w:szCs w:val="22"/>
        </w:rPr>
        <w:t>El CEAACES, en base a sus atribuciones y funciones de acreditación y aseguramiento de la calidad, expedirá el reglamento que normará el procedimiento para la suspensión de instituciones de educación super</w:t>
      </w:r>
      <w:r>
        <w:rPr>
          <w:rFonts w:eastAsia="Times New Roman"/>
          <w:sz w:val="22"/>
          <w:szCs w:val="22"/>
        </w:rPr>
        <w:t>ior, el cual garantizará los derechos de los estudiantes a continuar sus estudios.</w:t>
      </w:r>
      <w:r>
        <w:rPr>
          <w:rFonts w:eastAsia="Times New Roman"/>
          <w:sz w:val="22"/>
          <w:szCs w:val="22"/>
        </w:rPr>
        <w:br/>
      </w:r>
      <w:r>
        <w:rPr>
          <w:rFonts w:eastAsia="Times New Roman"/>
          <w:sz w:val="22"/>
          <w:szCs w:val="22"/>
        </w:rPr>
        <w:br/>
        <w:t>Una vez resuelta la suspensión por parte del CEAACES, notificará al CES para que de manera inmediata inicie el trámite de derogatoria de la ley o del instrumento legal de c</w:t>
      </w:r>
      <w:r>
        <w:rPr>
          <w:rFonts w:eastAsia="Times New Roman"/>
          <w:sz w:val="22"/>
          <w:szCs w:val="22"/>
        </w:rPr>
        <w:t>reación de la institución de educación superior.</w:t>
      </w:r>
    </w:p>
    <w:p w:rsidR="00000000" w:rsidRDefault="001707B5">
      <w:pPr>
        <w:jc w:val="center"/>
        <w:rPr>
          <w:rFonts w:eastAsia="Times New Roman"/>
        </w:rPr>
      </w:pPr>
      <w:r>
        <w:rPr>
          <w:rFonts w:eastAsia="Times New Roman"/>
          <w:b/>
          <w:bCs/>
        </w:rPr>
        <w:br/>
        <w:t>Título V</w:t>
      </w:r>
      <w:r>
        <w:rPr>
          <w:rFonts w:eastAsia="Times New Roman"/>
          <w:b/>
          <w:bCs/>
        </w:rPr>
        <w:br/>
        <w:t>DE LAS SANCIONES</w:t>
      </w:r>
    </w:p>
    <w:p w:rsidR="00000000" w:rsidRDefault="001707B5">
      <w:pPr>
        <w:jc w:val="center"/>
        <w:rPr>
          <w:rFonts w:eastAsia="Times New Roman"/>
        </w:rPr>
      </w:pPr>
      <w:r>
        <w:rPr>
          <w:rFonts w:eastAsia="Times New Roman"/>
          <w:b/>
          <w:bCs/>
        </w:rPr>
        <w:br/>
        <w:t>Capítulo Único</w:t>
      </w:r>
      <w:r>
        <w:rPr>
          <w:rFonts w:eastAsia="Times New Roman"/>
          <w:b/>
          <w:bCs/>
        </w:rPr>
        <w:br/>
        <w:t>DEL PROCEDIMIENTO PARA IMPONER SANCIONES A LAS INSTITUCIONES DE EDUCACIÓN SUPERIOR</w:t>
      </w:r>
    </w:p>
    <w:p w:rsidR="00000000" w:rsidRDefault="001707B5">
      <w:pPr>
        <w:divId w:val="884484750"/>
        <w:rPr>
          <w:rFonts w:eastAsia="Times New Roman"/>
          <w:sz w:val="22"/>
          <w:szCs w:val="22"/>
        </w:rPr>
      </w:pPr>
      <w:r>
        <w:rPr>
          <w:rFonts w:eastAsia="Times New Roman"/>
          <w:sz w:val="22"/>
          <w:szCs w:val="22"/>
        </w:rPr>
        <w:t>Art. 39</w:t>
      </w:r>
      <w:r>
        <w:rPr>
          <w:rFonts w:eastAsia="Times New Roman"/>
          <w:b/>
          <w:bCs/>
          <w:sz w:val="22"/>
          <w:szCs w:val="22"/>
        </w:rPr>
        <w:t>.- De la imposición de sanciones a las instituciones del Sistema de Educac</w:t>
      </w:r>
      <w:r>
        <w:rPr>
          <w:rFonts w:eastAsia="Times New Roman"/>
          <w:b/>
          <w:bCs/>
          <w:sz w:val="22"/>
          <w:szCs w:val="22"/>
        </w:rPr>
        <w:t xml:space="preserve">ión Superior.- </w:t>
      </w:r>
      <w:r>
        <w:rPr>
          <w:rFonts w:eastAsia="Times New Roman"/>
          <w:sz w:val="22"/>
          <w:szCs w:val="22"/>
        </w:rPr>
        <w:t xml:space="preserve">Para garantizar el debido proceso en la imposición de sanciones a las instituciones o autoridades del sistema de educación superior, el CES dispondrá de oficio el inicio de las indagaciones orientadas a determinar puntuales violaciones a la </w:t>
      </w:r>
      <w:r>
        <w:rPr>
          <w:rFonts w:eastAsia="Times New Roman"/>
          <w:sz w:val="22"/>
          <w:szCs w:val="22"/>
        </w:rPr>
        <w:t>Ley Orgánica de Educación Superior, al presente reglamento, a las resoluciones del CES y al estatuto de cada universidad o escuela politécnica.</w:t>
      </w:r>
      <w:r>
        <w:rPr>
          <w:rFonts w:eastAsia="Times New Roman"/>
          <w:sz w:val="22"/>
          <w:szCs w:val="22"/>
        </w:rPr>
        <w:br/>
      </w:r>
      <w:r>
        <w:rPr>
          <w:rFonts w:eastAsia="Times New Roman"/>
          <w:sz w:val="22"/>
          <w:szCs w:val="22"/>
        </w:rPr>
        <w:br/>
        <w:t xml:space="preserve">A efectos de sancionar las infracciones a la ley y demás normas, se garantiza el derecho a presentar denuncias </w:t>
      </w:r>
      <w:r>
        <w:rPr>
          <w:rFonts w:eastAsia="Times New Roman"/>
          <w:sz w:val="22"/>
          <w:szCs w:val="22"/>
        </w:rPr>
        <w:t>y quejas debidamente fundamentadas.</w:t>
      </w:r>
      <w:r>
        <w:rPr>
          <w:rFonts w:eastAsia="Times New Roman"/>
          <w:sz w:val="22"/>
          <w:szCs w:val="22"/>
        </w:rPr>
        <w:br/>
      </w:r>
      <w:r>
        <w:rPr>
          <w:rFonts w:eastAsia="Times New Roman"/>
          <w:sz w:val="22"/>
          <w:szCs w:val="22"/>
        </w:rPr>
        <w:br/>
        <w:t>El CES expedirá el reglamento respectivo que normará los procedimientos para la imposición de las sanciones.</w:t>
      </w:r>
    </w:p>
    <w:p w:rsidR="00000000" w:rsidRDefault="001707B5">
      <w:pPr>
        <w:jc w:val="center"/>
        <w:rPr>
          <w:rFonts w:eastAsia="Times New Roman"/>
        </w:rPr>
      </w:pPr>
      <w:r>
        <w:rPr>
          <w:rFonts w:eastAsia="Times New Roman"/>
          <w:b/>
          <w:bCs/>
        </w:rPr>
        <w:lastRenderedPageBreak/>
        <w:br/>
        <w:t>DISPOSICIONES GENERALES</w:t>
      </w:r>
    </w:p>
    <w:p w:rsidR="00000000" w:rsidRDefault="001707B5">
      <w:pPr>
        <w:divId w:val="584068731"/>
        <w:rPr>
          <w:rFonts w:eastAsia="Times New Roman"/>
          <w:sz w:val="22"/>
          <w:szCs w:val="22"/>
        </w:rPr>
      </w:pPr>
      <w:r>
        <w:rPr>
          <w:rFonts w:eastAsia="Times New Roman"/>
          <w:b/>
          <w:bCs/>
          <w:sz w:val="22"/>
          <w:szCs w:val="22"/>
        </w:rPr>
        <w:t xml:space="preserve">Primera.- </w:t>
      </w:r>
      <w:r>
        <w:rPr>
          <w:rFonts w:eastAsia="Times New Roman"/>
          <w:sz w:val="22"/>
          <w:szCs w:val="22"/>
        </w:rPr>
        <w:t>El CEAACES determinará aquellas carreras, programas y posgrados que serán e</w:t>
      </w:r>
      <w:r>
        <w:rPr>
          <w:rFonts w:eastAsia="Times New Roman"/>
          <w:sz w:val="22"/>
          <w:szCs w:val="22"/>
        </w:rPr>
        <w:t>valuadas y acreditadas, priorizando a aquellas que pudieran comprometer el interés público. Las carreras, programas y posgrados seleccionados que no superen dicha evaluación serán cerrados de acuerdo con lo establecido en la Ley y la normativa expedida par</w:t>
      </w:r>
      <w:r>
        <w:rPr>
          <w:rFonts w:eastAsia="Times New Roman"/>
          <w:sz w:val="22"/>
          <w:szCs w:val="22"/>
        </w:rPr>
        <w:t>a el efecto.</w:t>
      </w:r>
    </w:p>
    <w:p w:rsidR="00000000" w:rsidRDefault="001707B5">
      <w:pPr>
        <w:divId w:val="1087770497"/>
        <w:rPr>
          <w:rFonts w:eastAsia="Times New Roman"/>
          <w:sz w:val="22"/>
          <w:szCs w:val="22"/>
        </w:rPr>
      </w:pPr>
      <w:r>
        <w:rPr>
          <w:rFonts w:eastAsia="Times New Roman"/>
          <w:b/>
          <w:bCs/>
          <w:sz w:val="22"/>
          <w:szCs w:val="22"/>
        </w:rPr>
        <w:t xml:space="preserve">Segunda.- </w:t>
      </w:r>
      <w:r>
        <w:rPr>
          <w:rFonts w:eastAsia="Times New Roman"/>
          <w:sz w:val="22"/>
          <w:szCs w:val="22"/>
        </w:rPr>
        <w:t>Para precautelar el patrimonio de las instituciones de educación superior, la SENESCYT elaborará un inventario nacional de bienes del sistema de educación superior, que será parte del SNIESE.</w:t>
      </w:r>
      <w:r>
        <w:rPr>
          <w:rFonts w:eastAsia="Times New Roman"/>
          <w:sz w:val="22"/>
          <w:szCs w:val="22"/>
        </w:rPr>
        <w:br/>
      </w:r>
      <w:r>
        <w:rPr>
          <w:rFonts w:eastAsia="Times New Roman"/>
          <w:sz w:val="22"/>
          <w:szCs w:val="22"/>
        </w:rPr>
        <w:br/>
        <w:t>El inventario nacional de bienes del sis</w:t>
      </w:r>
      <w:r>
        <w:rPr>
          <w:rFonts w:eastAsia="Times New Roman"/>
          <w:sz w:val="22"/>
          <w:szCs w:val="22"/>
        </w:rPr>
        <w:t xml:space="preserve">tema de educación superior estará conformado por todos los bienes inmuebles, títulos valores y otros activos intangibles que al promulgarse la Ley sean de propiedad de las instituciones de educación superior así como de aquellos inmuebles, títulos valores </w:t>
      </w:r>
      <w:r>
        <w:rPr>
          <w:rFonts w:eastAsia="Times New Roman"/>
          <w:sz w:val="22"/>
          <w:szCs w:val="22"/>
        </w:rPr>
        <w:t>y otros activos intangibles que adquieran en el futuro a cualquier título.</w:t>
      </w:r>
      <w:r>
        <w:rPr>
          <w:rFonts w:eastAsia="Times New Roman"/>
          <w:sz w:val="22"/>
          <w:szCs w:val="22"/>
        </w:rPr>
        <w:br/>
      </w:r>
      <w:r>
        <w:rPr>
          <w:rFonts w:eastAsia="Times New Roman"/>
          <w:sz w:val="22"/>
          <w:szCs w:val="22"/>
        </w:rPr>
        <w:br/>
        <w:t>El inventario nacional de bienes del sistema de educación superior será actualizado permanentemente por la SENESCYT, para lo cual las instituciones de educación superior están obli</w:t>
      </w:r>
      <w:r>
        <w:rPr>
          <w:rFonts w:eastAsia="Times New Roman"/>
          <w:sz w:val="22"/>
          <w:szCs w:val="22"/>
        </w:rPr>
        <w:t>gadas a notificar a la Secretaría Nacional las modificaciones que se produzcan en sus patrimonios en un plazo máximo de quince días posteriores a la inscripción legal de la transferencia.</w:t>
      </w:r>
    </w:p>
    <w:p w:rsidR="00000000" w:rsidRDefault="001707B5">
      <w:pPr>
        <w:divId w:val="1704792889"/>
        <w:rPr>
          <w:rFonts w:eastAsia="Times New Roman"/>
          <w:sz w:val="22"/>
          <w:szCs w:val="22"/>
        </w:rPr>
      </w:pPr>
      <w:r>
        <w:rPr>
          <w:rFonts w:eastAsia="Times New Roman"/>
          <w:b/>
          <w:bCs/>
          <w:sz w:val="22"/>
          <w:szCs w:val="22"/>
        </w:rPr>
        <w:t xml:space="preserve">Tercera.- </w:t>
      </w:r>
      <w:r>
        <w:rPr>
          <w:rFonts w:eastAsia="Times New Roman"/>
          <w:sz w:val="22"/>
          <w:szCs w:val="22"/>
        </w:rPr>
        <w:t>La SENESCYT notificará al Ministerio de Finanzas las asign</w:t>
      </w:r>
      <w:r>
        <w:rPr>
          <w:rFonts w:eastAsia="Times New Roman"/>
          <w:sz w:val="22"/>
          <w:szCs w:val="22"/>
        </w:rPr>
        <w:t>aciones y rentas que, por concepto de FOPEDEUPO y compensación de la gratuidad, tuvieran derecho las universidades y escuelas politécnicas conforme a la Ley, el presente reglamento y el respectivo reglamento que para el efecto expida la SENESCYT.</w:t>
      </w:r>
      <w:r>
        <w:rPr>
          <w:rFonts w:eastAsia="Times New Roman"/>
          <w:sz w:val="22"/>
          <w:szCs w:val="22"/>
        </w:rPr>
        <w:br/>
      </w:r>
      <w:r>
        <w:rPr>
          <w:rFonts w:eastAsia="Times New Roman"/>
          <w:sz w:val="22"/>
          <w:szCs w:val="22"/>
        </w:rPr>
        <w:br/>
        <w:t>El Minis</w:t>
      </w:r>
      <w:r>
        <w:rPr>
          <w:rFonts w:eastAsia="Times New Roman"/>
          <w:sz w:val="22"/>
          <w:szCs w:val="22"/>
        </w:rPr>
        <w:t>terio de Finanzas implementará el ajuste respectivo en los presupuestos de cada universidad y escuela politécnica beneficiaria de dichas rentas.</w:t>
      </w:r>
    </w:p>
    <w:p w:rsidR="00000000" w:rsidRDefault="001707B5">
      <w:pPr>
        <w:divId w:val="2081246826"/>
        <w:rPr>
          <w:rFonts w:eastAsia="Times New Roman"/>
          <w:sz w:val="22"/>
          <w:szCs w:val="22"/>
        </w:rPr>
      </w:pPr>
      <w:r>
        <w:rPr>
          <w:rFonts w:eastAsia="Times New Roman"/>
          <w:b/>
          <w:bCs/>
          <w:sz w:val="22"/>
          <w:szCs w:val="22"/>
        </w:rPr>
        <w:t xml:space="preserve">Cuarta.- </w:t>
      </w:r>
      <w:r>
        <w:rPr>
          <w:rFonts w:eastAsia="Times New Roman"/>
          <w:sz w:val="22"/>
          <w:szCs w:val="22"/>
        </w:rPr>
        <w:t>Las instituciones de educación superior obligatoriamente incorporarán el uso de programas informáticos</w:t>
      </w:r>
      <w:r>
        <w:rPr>
          <w:rFonts w:eastAsia="Times New Roman"/>
          <w:sz w:val="22"/>
          <w:szCs w:val="22"/>
        </w:rPr>
        <w:t xml:space="preserve"> de software libre en los casos que las funcionalidades de estos programas sean similares o superiores al software propietario.</w:t>
      </w:r>
      <w:r>
        <w:rPr>
          <w:rFonts w:eastAsia="Times New Roman"/>
          <w:sz w:val="22"/>
          <w:szCs w:val="22"/>
        </w:rPr>
        <w:br/>
      </w:r>
      <w:r>
        <w:rPr>
          <w:rFonts w:eastAsia="Times New Roman"/>
          <w:sz w:val="22"/>
          <w:szCs w:val="22"/>
        </w:rPr>
        <w:br/>
        <w:t>Las universidades y escuelas politécnicas serán responsables por la aplicación de este artículo.</w:t>
      </w:r>
      <w:r>
        <w:rPr>
          <w:rFonts w:eastAsia="Times New Roman"/>
          <w:sz w:val="22"/>
          <w:szCs w:val="22"/>
        </w:rPr>
        <w:br/>
      </w:r>
      <w:r>
        <w:rPr>
          <w:rFonts w:eastAsia="Times New Roman"/>
          <w:sz w:val="22"/>
          <w:szCs w:val="22"/>
        </w:rPr>
        <w:br/>
        <w:t xml:space="preserve">En el caso de los institutos </w:t>
      </w:r>
      <w:r>
        <w:rPr>
          <w:rFonts w:eastAsia="Times New Roman"/>
          <w:sz w:val="22"/>
          <w:szCs w:val="22"/>
        </w:rPr>
        <w:t>superiores será la SENESCYT la que establecerá las directrices que permitan la aplicación de este artículo.</w:t>
      </w:r>
    </w:p>
    <w:p w:rsidR="00000000" w:rsidRDefault="001707B5">
      <w:pPr>
        <w:divId w:val="1772815814"/>
        <w:rPr>
          <w:rFonts w:eastAsia="Times New Roman"/>
          <w:sz w:val="22"/>
          <w:szCs w:val="22"/>
        </w:rPr>
      </w:pPr>
      <w:r>
        <w:rPr>
          <w:rFonts w:eastAsia="Times New Roman"/>
          <w:b/>
          <w:bCs/>
          <w:sz w:val="22"/>
          <w:szCs w:val="22"/>
        </w:rPr>
        <w:t xml:space="preserve">Quinta.- </w:t>
      </w:r>
      <w:r>
        <w:rPr>
          <w:rFonts w:eastAsia="Times New Roman"/>
          <w:sz w:val="22"/>
          <w:szCs w:val="22"/>
        </w:rPr>
        <w:t>Se entenderá haber realizado o publicado obras de relevancia para efectos de aplicación de la Ley y este reglamento, cuando se ha acreditad</w:t>
      </w:r>
      <w:r>
        <w:rPr>
          <w:rFonts w:eastAsia="Times New Roman"/>
          <w:sz w:val="22"/>
          <w:szCs w:val="22"/>
        </w:rPr>
        <w:t>o la autoría, coautoría, edición académica, compilación o coordinación de obras que por carácter científico o investigativo han constituido un aporte al conocimiento, exclusivamente, en su campo de especialidad.</w:t>
      </w:r>
    </w:p>
    <w:p w:rsidR="00000000" w:rsidRDefault="001707B5">
      <w:pPr>
        <w:divId w:val="265692786"/>
        <w:rPr>
          <w:rFonts w:eastAsia="Times New Roman"/>
          <w:sz w:val="22"/>
          <w:szCs w:val="22"/>
        </w:rPr>
      </w:pPr>
      <w:r>
        <w:rPr>
          <w:rFonts w:eastAsia="Times New Roman"/>
          <w:b/>
          <w:bCs/>
          <w:sz w:val="22"/>
          <w:szCs w:val="22"/>
        </w:rPr>
        <w:t xml:space="preserve">Sexta.- </w:t>
      </w:r>
      <w:r>
        <w:rPr>
          <w:rFonts w:eastAsia="Times New Roman"/>
          <w:sz w:val="22"/>
          <w:szCs w:val="22"/>
        </w:rPr>
        <w:t>La SENESCYT definirá la política nac</w:t>
      </w:r>
      <w:r>
        <w:rPr>
          <w:rFonts w:eastAsia="Times New Roman"/>
          <w:sz w:val="22"/>
          <w:szCs w:val="22"/>
        </w:rPr>
        <w:t>ional de becas y crédito educativo para la educación superior, la misma que será revisada y actualizada en el último trimestre de cada año.</w:t>
      </w:r>
      <w:r>
        <w:rPr>
          <w:rFonts w:eastAsia="Times New Roman"/>
          <w:sz w:val="22"/>
          <w:szCs w:val="22"/>
        </w:rPr>
        <w:br/>
      </w:r>
      <w:r>
        <w:rPr>
          <w:rFonts w:eastAsia="Times New Roman"/>
          <w:sz w:val="22"/>
          <w:szCs w:val="22"/>
        </w:rPr>
        <w:br/>
        <w:t xml:space="preserve">El crédito educativo no reembolsable y las becas a favor de los estudiantes, docentes e investigadores del sistema </w:t>
      </w:r>
      <w:r>
        <w:rPr>
          <w:rFonts w:eastAsia="Times New Roman"/>
          <w:sz w:val="22"/>
          <w:szCs w:val="22"/>
        </w:rPr>
        <w:t>de educación superior que otorgue el Instituto Ecuatoriano de Crédito Educativo y Becas, IECE, con cargo al financiamiento del crédito educativo se ajustarán a los lineamientos y regulación que expida la SENESCYT.</w:t>
      </w:r>
    </w:p>
    <w:p w:rsidR="00000000" w:rsidRDefault="001707B5">
      <w:pPr>
        <w:divId w:val="1969697487"/>
        <w:rPr>
          <w:rFonts w:eastAsia="Times New Roman"/>
          <w:sz w:val="22"/>
          <w:szCs w:val="22"/>
        </w:rPr>
      </w:pPr>
      <w:r>
        <w:rPr>
          <w:rFonts w:eastAsia="Times New Roman"/>
          <w:b/>
          <w:bCs/>
          <w:sz w:val="22"/>
          <w:szCs w:val="22"/>
        </w:rPr>
        <w:t xml:space="preserve">Séptima.- </w:t>
      </w:r>
      <w:r>
        <w:rPr>
          <w:rFonts w:eastAsia="Times New Roman"/>
          <w:sz w:val="22"/>
          <w:szCs w:val="22"/>
        </w:rPr>
        <w:t>Para el financiamiento del CEAAC</w:t>
      </w:r>
      <w:r>
        <w:rPr>
          <w:rFonts w:eastAsia="Times New Roman"/>
          <w:sz w:val="22"/>
          <w:szCs w:val="22"/>
        </w:rPr>
        <w:t>ES se destinará el uno por ciento del FOPEDEUPO, creado mediante Ley s/n publicada en el Registro Oficial 940 de 7 de mayo de 1996.</w:t>
      </w:r>
    </w:p>
    <w:p w:rsidR="00000000" w:rsidRDefault="001707B5">
      <w:pPr>
        <w:divId w:val="1021781298"/>
        <w:rPr>
          <w:rFonts w:eastAsia="Times New Roman"/>
          <w:sz w:val="22"/>
          <w:szCs w:val="22"/>
        </w:rPr>
      </w:pPr>
      <w:r>
        <w:rPr>
          <w:rFonts w:eastAsia="Times New Roman"/>
          <w:b/>
          <w:bCs/>
          <w:sz w:val="22"/>
          <w:szCs w:val="22"/>
        </w:rPr>
        <w:t xml:space="preserve">Octava.- </w:t>
      </w:r>
      <w:r>
        <w:rPr>
          <w:rFonts w:eastAsia="Times New Roman"/>
          <w:sz w:val="22"/>
          <w:szCs w:val="22"/>
        </w:rPr>
        <w:t>Si la elección de los representantes de los graduados ante los organismos colegiados de cogobierno de las universid</w:t>
      </w:r>
      <w:r>
        <w:rPr>
          <w:rFonts w:eastAsia="Times New Roman"/>
          <w:sz w:val="22"/>
          <w:szCs w:val="22"/>
        </w:rPr>
        <w:t>ades y escuelas politécnicas no se pudiera realizar como lo dispone la Ley, estos se conformarán sin la presencia de dichos representantes, siempre y cuando se compruebe ante el CES la imposibilidad de elegirlos.</w:t>
      </w:r>
    </w:p>
    <w:p w:rsidR="00000000" w:rsidRDefault="001707B5">
      <w:pPr>
        <w:divId w:val="99885525"/>
        <w:rPr>
          <w:rFonts w:eastAsia="Times New Roman"/>
          <w:sz w:val="22"/>
          <w:szCs w:val="22"/>
        </w:rPr>
      </w:pPr>
      <w:r>
        <w:rPr>
          <w:rFonts w:eastAsia="Times New Roman"/>
          <w:b/>
          <w:bCs/>
          <w:sz w:val="22"/>
          <w:szCs w:val="22"/>
        </w:rPr>
        <w:lastRenderedPageBreak/>
        <w:t xml:space="preserve">Novena.- </w:t>
      </w:r>
      <w:r>
        <w:rPr>
          <w:rFonts w:eastAsia="Times New Roman"/>
          <w:sz w:val="22"/>
          <w:szCs w:val="22"/>
        </w:rPr>
        <w:t>La evaluación de la calidad se rea</w:t>
      </w:r>
      <w:r>
        <w:rPr>
          <w:rFonts w:eastAsia="Times New Roman"/>
          <w:sz w:val="22"/>
          <w:szCs w:val="22"/>
        </w:rPr>
        <w:t>lizará de manera periódica de conformidad con la normativa que expida el Consejo de Evaluación, Acreditación y Aseguramiento de la Calidad de la Educación Superior, CEAACES.</w:t>
      </w:r>
    </w:p>
    <w:p w:rsidR="00000000" w:rsidRDefault="001707B5">
      <w:pPr>
        <w:jc w:val="center"/>
        <w:rPr>
          <w:rFonts w:eastAsia="Times New Roman"/>
        </w:rPr>
      </w:pPr>
      <w:r>
        <w:rPr>
          <w:rFonts w:eastAsia="Times New Roman"/>
          <w:b/>
          <w:bCs/>
        </w:rPr>
        <w:br/>
        <w:t>DISPOSICIONES TRANSITORIAS</w:t>
      </w:r>
    </w:p>
    <w:p w:rsidR="00000000" w:rsidRDefault="001707B5">
      <w:pPr>
        <w:divId w:val="2045865200"/>
        <w:rPr>
          <w:rFonts w:eastAsia="Times New Roman"/>
          <w:sz w:val="22"/>
          <w:szCs w:val="22"/>
        </w:rPr>
      </w:pPr>
      <w:r>
        <w:rPr>
          <w:rFonts w:eastAsia="Times New Roman"/>
          <w:b/>
          <w:bCs/>
          <w:sz w:val="22"/>
          <w:szCs w:val="22"/>
        </w:rPr>
        <w:t xml:space="preserve">Primera.- </w:t>
      </w:r>
      <w:r>
        <w:rPr>
          <w:rFonts w:eastAsia="Times New Roman"/>
          <w:sz w:val="22"/>
          <w:szCs w:val="22"/>
        </w:rPr>
        <w:t>Una vez designados y posesionados los miembr</w:t>
      </w:r>
      <w:r>
        <w:rPr>
          <w:rFonts w:eastAsia="Times New Roman"/>
          <w:sz w:val="22"/>
          <w:szCs w:val="22"/>
        </w:rPr>
        <w:t>os académicos del CES por el Consejo Nacional Electoral, en un plazo máximo de quince días, el Secretario Nacional de Educación Superior, Ciencia, Tecnología e Innovación, convocará y presidirá a la reunión de instalación del Consejo para elegir a su Presi</w:t>
      </w:r>
      <w:r>
        <w:rPr>
          <w:rFonts w:eastAsia="Times New Roman"/>
          <w:sz w:val="22"/>
          <w:szCs w:val="22"/>
        </w:rPr>
        <w:t>dente.</w:t>
      </w:r>
    </w:p>
    <w:p w:rsidR="00000000" w:rsidRDefault="001707B5">
      <w:pPr>
        <w:divId w:val="1766878305"/>
        <w:rPr>
          <w:rFonts w:eastAsia="Times New Roman"/>
          <w:sz w:val="22"/>
          <w:szCs w:val="22"/>
        </w:rPr>
      </w:pPr>
      <w:r>
        <w:rPr>
          <w:rFonts w:eastAsia="Times New Roman"/>
          <w:b/>
          <w:bCs/>
          <w:sz w:val="22"/>
          <w:szCs w:val="22"/>
        </w:rPr>
        <w:t xml:space="preserve">Segunda.- </w:t>
      </w:r>
      <w:r>
        <w:rPr>
          <w:rFonts w:eastAsia="Times New Roman"/>
          <w:sz w:val="22"/>
          <w:szCs w:val="22"/>
        </w:rPr>
        <w:t>Para dar cumplimiento a lo dispuesto en la Disposición Transitoria Primera de la Ley, el CEAACES elaborará un registro de las universidades y escuelas politécnicas que tengan menos de cinco años de creación previo a la vigencia de la Ley.</w:t>
      </w:r>
      <w:r>
        <w:rPr>
          <w:rFonts w:eastAsia="Times New Roman"/>
          <w:sz w:val="22"/>
          <w:szCs w:val="22"/>
        </w:rPr>
        <w:br/>
      </w:r>
      <w:r>
        <w:rPr>
          <w:rFonts w:eastAsia="Times New Roman"/>
          <w:sz w:val="22"/>
          <w:szCs w:val="22"/>
        </w:rPr>
        <w:br/>
        <w:t>Los procesos de institucionalización que lleven adelante las instituciones registradas por el CEAACES, serán supervisados por este organismo.</w:t>
      </w:r>
      <w:r>
        <w:rPr>
          <w:rFonts w:eastAsia="Times New Roman"/>
          <w:sz w:val="22"/>
          <w:szCs w:val="22"/>
        </w:rPr>
        <w:br/>
      </w:r>
      <w:r>
        <w:rPr>
          <w:rFonts w:eastAsia="Times New Roman"/>
          <w:sz w:val="22"/>
          <w:szCs w:val="22"/>
        </w:rPr>
        <w:br/>
        <w:t>Se entiende que una institución de educación superior ha concluido su proceso de institucionalización cuando ten</w:t>
      </w:r>
      <w:r>
        <w:rPr>
          <w:rFonts w:eastAsia="Times New Roman"/>
          <w:sz w:val="22"/>
          <w:szCs w:val="22"/>
        </w:rPr>
        <w:t>ga al menos una promoción de graduados en cualquiera de sus carreras.</w:t>
      </w:r>
    </w:p>
    <w:p w:rsidR="00000000" w:rsidRDefault="001707B5">
      <w:pPr>
        <w:divId w:val="2009942146"/>
        <w:rPr>
          <w:rFonts w:eastAsia="Times New Roman"/>
          <w:sz w:val="22"/>
          <w:szCs w:val="22"/>
        </w:rPr>
      </w:pPr>
      <w:r>
        <w:rPr>
          <w:rFonts w:eastAsia="Times New Roman"/>
          <w:b/>
          <w:bCs/>
          <w:sz w:val="22"/>
          <w:szCs w:val="22"/>
        </w:rPr>
        <w:t xml:space="preserve">Tercera.- </w:t>
      </w:r>
      <w:r>
        <w:rPr>
          <w:rFonts w:eastAsia="Times New Roman"/>
          <w:sz w:val="22"/>
          <w:szCs w:val="22"/>
        </w:rPr>
        <w:t>Para dar cumplimiento a lo dispuesto en la Disposición Transitoria Tercera de la Ley, el CEAACES, ejecutará el proceso de evaluación a las instituciones de educación superior q</w:t>
      </w:r>
      <w:r>
        <w:rPr>
          <w:rFonts w:eastAsia="Times New Roman"/>
          <w:sz w:val="22"/>
          <w:szCs w:val="22"/>
        </w:rPr>
        <w:t>ue se ubicaron en la Categoría E del informe del ex CONEA, en cumplimiento al Mandato Constituyente número 14.</w:t>
      </w:r>
      <w:r>
        <w:rPr>
          <w:rFonts w:eastAsia="Times New Roman"/>
          <w:sz w:val="22"/>
          <w:szCs w:val="22"/>
        </w:rPr>
        <w:br/>
      </w:r>
      <w:r>
        <w:rPr>
          <w:rFonts w:eastAsia="Times New Roman"/>
          <w:sz w:val="22"/>
          <w:szCs w:val="22"/>
        </w:rPr>
        <w:br/>
        <w:t>El CEAACES será el organismo responsable de verificar que las universidades y escuelas politécnicas que se encuentren en este proceso de evaluac</w:t>
      </w:r>
      <w:r>
        <w:rPr>
          <w:rFonts w:eastAsia="Times New Roman"/>
          <w:sz w:val="22"/>
          <w:szCs w:val="22"/>
        </w:rPr>
        <w:t>ión no oferten nuevas matrículas en los primeros niveles de los programas académicos de grado ni de posgrado.</w:t>
      </w:r>
    </w:p>
    <w:p w:rsidR="00000000" w:rsidRDefault="001707B5">
      <w:pPr>
        <w:divId w:val="1278951621"/>
        <w:rPr>
          <w:rFonts w:eastAsia="Times New Roman"/>
          <w:sz w:val="22"/>
          <w:szCs w:val="22"/>
        </w:rPr>
      </w:pPr>
      <w:r>
        <w:rPr>
          <w:rFonts w:eastAsia="Times New Roman"/>
          <w:b/>
          <w:bCs/>
          <w:sz w:val="22"/>
          <w:szCs w:val="22"/>
        </w:rPr>
        <w:t xml:space="preserve">Cuarta.- </w:t>
      </w:r>
      <w:r>
        <w:rPr>
          <w:rFonts w:eastAsia="Times New Roman"/>
          <w:sz w:val="22"/>
          <w:szCs w:val="22"/>
        </w:rPr>
        <w:t>Para dar cumplimiento a lo dispuesto en la Disposición Transitoria Cuarta de la Ley, el CEAACES concluirá el proceso de depuración de los</w:t>
      </w:r>
      <w:r>
        <w:rPr>
          <w:rFonts w:eastAsia="Times New Roman"/>
          <w:sz w:val="22"/>
          <w:szCs w:val="22"/>
        </w:rPr>
        <w:t xml:space="preserve"> institutos superiores que no estén en funcionamiento, previo informe obligatorio de la SENESCYT, los que serán suspendidos definitivamente.</w:t>
      </w:r>
    </w:p>
    <w:p w:rsidR="00000000" w:rsidRDefault="001707B5">
      <w:pPr>
        <w:divId w:val="1360467254"/>
        <w:rPr>
          <w:rFonts w:eastAsia="Times New Roman"/>
          <w:sz w:val="22"/>
          <w:szCs w:val="22"/>
        </w:rPr>
      </w:pPr>
      <w:r>
        <w:rPr>
          <w:rFonts w:eastAsia="Times New Roman"/>
          <w:b/>
          <w:bCs/>
          <w:sz w:val="22"/>
          <w:szCs w:val="22"/>
        </w:rPr>
        <w:t xml:space="preserve">Quinta.- </w:t>
      </w:r>
      <w:r>
        <w:rPr>
          <w:rFonts w:eastAsia="Times New Roman"/>
          <w:sz w:val="22"/>
          <w:szCs w:val="22"/>
        </w:rPr>
        <w:t>Hasta cuando la SENESCYT lo determine, las universidades y escuelas politécnicas públicas estarán obligada</w:t>
      </w:r>
      <w:r>
        <w:rPr>
          <w:rFonts w:eastAsia="Times New Roman"/>
          <w:sz w:val="22"/>
          <w:szCs w:val="22"/>
        </w:rPr>
        <w:t>s a mantener o establecer un período académico de nivelación en cada una de sus carreras al que accederán los bachilleres, que en virtud de un examen nacional hayan obtenido un cupo.</w:t>
      </w:r>
      <w:r>
        <w:rPr>
          <w:rFonts w:eastAsia="Times New Roman"/>
          <w:sz w:val="22"/>
          <w:szCs w:val="22"/>
        </w:rPr>
        <w:br/>
      </w:r>
      <w:r>
        <w:rPr>
          <w:rFonts w:eastAsia="Times New Roman"/>
          <w:sz w:val="22"/>
          <w:szCs w:val="22"/>
        </w:rPr>
        <w:br/>
        <w:t>La SENESCYT diseñará e implementará, en un plazo máximo de ciento ochent</w:t>
      </w:r>
      <w:r>
        <w:rPr>
          <w:rFonts w:eastAsia="Times New Roman"/>
          <w:sz w:val="22"/>
          <w:szCs w:val="22"/>
        </w:rPr>
        <w:t>a días a partir de la expedición de este reglamento, un examen nacional al que se someterán todos los aspirantes para ingresar a las instituciones de educación superior que será parte del Sistema Nacional de Nivelación y Admisión indicado en la presente le</w:t>
      </w:r>
      <w:r>
        <w:rPr>
          <w:rFonts w:eastAsia="Times New Roman"/>
          <w:sz w:val="22"/>
          <w:szCs w:val="22"/>
        </w:rPr>
        <w:t>y.</w:t>
      </w:r>
      <w:r>
        <w:rPr>
          <w:rFonts w:eastAsia="Times New Roman"/>
          <w:sz w:val="22"/>
          <w:szCs w:val="22"/>
        </w:rPr>
        <w:br/>
      </w:r>
      <w:r>
        <w:rPr>
          <w:rFonts w:eastAsia="Times New Roman"/>
          <w:sz w:val="22"/>
          <w:szCs w:val="22"/>
        </w:rPr>
        <w:br/>
        <w:t>Las universidades y escuelas politécnicas podrán realizar un examen de evaluación de conocimientos con fines de exoneración del período de nivelación.</w:t>
      </w:r>
    </w:p>
    <w:p w:rsidR="00000000" w:rsidRDefault="001707B5">
      <w:pPr>
        <w:divId w:val="1074426203"/>
        <w:rPr>
          <w:rFonts w:eastAsia="Times New Roman"/>
          <w:sz w:val="22"/>
          <w:szCs w:val="22"/>
        </w:rPr>
      </w:pPr>
      <w:r>
        <w:rPr>
          <w:rFonts w:eastAsia="Times New Roman"/>
          <w:b/>
          <w:bCs/>
          <w:sz w:val="22"/>
          <w:szCs w:val="22"/>
        </w:rPr>
        <w:t>Sexta.-</w:t>
      </w:r>
      <w:r>
        <w:rPr>
          <w:rFonts w:eastAsia="Times New Roman"/>
          <w:sz w:val="22"/>
          <w:szCs w:val="22"/>
        </w:rPr>
        <w:t xml:space="preserve"> En cumplimiento a la Disposición Transitoria Tercera de la Ley Orgánica de Educación Superior</w:t>
      </w:r>
      <w:r>
        <w:rPr>
          <w:rFonts w:eastAsia="Times New Roman"/>
          <w:sz w:val="22"/>
          <w:szCs w:val="22"/>
        </w:rPr>
        <w:t xml:space="preserve">, los títulos expedidos o que fueran a expedirse de aquellas nuevas carreras y programas creadas a partir del 12 de octubre del 2010 hasta que se realice la respectiva evaluación de las instituciones de educación superior que se encuentren en la categoría </w:t>
      </w:r>
      <w:r>
        <w:rPr>
          <w:rFonts w:eastAsia="Times New Roman"/>
          <w:sz w:val="22"/>
          <w:szCs w:val="22"/>
        </w:rPr>
        <w:t>E, no serán reconocidos como válidos ni serán incorporados al SNIESE.</w:t>
      </w:r>
    </w:p>
    <w:p w:rsidR="00000000" w:rsidRDefault="001707B5">
      <w:pPr>
        <w:divId w:val="1722943577"/>
        <w:rPr>
          <w:rFonts w:eastAsia="Times New Roman"/>
          <w:sz w:val="22"/>
          <w:szCs w:val="22"/>
        </w:rPr>
      </w:pPr>
      <w:r>
        <w:rPr>
          <w:rFonts w:eastAsia="Times New Roman"/>
          <w:b/>
          <w:bCs/>
          <w:sz w:val="22"/>
          <w:szCs w:val="22"/>
        </w:rPr>
        <w:t xml:space="preserve">Séptima.- </w:t>
      </w:r>
      <w:r>
        <w:rPr>
          <w:rFonts w:eastAsia="Times New Roman"/>
          <w:sz w:val="22"/>
          <w:szCs w:val="22"/>
        </w:rPr>
        <w:t>Para dar cumplimiento a lo dispuesto en la Disposición Transitoria Sexta de Ley, la SENESCYT elaborará un informe sobre la transferencia de dominio de los bienes y recursos que</w:t>
      </w:r>
      <w:r>
        <w:rPr>
          <w:rFonts w:eastAsia="Times New Roman"/>
          <w:sz w:val="22"/>
          <w:szCs w:val="22"/>
        </w:rPr>
        <w:t xml:space="preserve"> sustentaron el trámite de creación de aquellas universidades y escuelas politécnicas creadas a partir de la vigencia de la anterior Ley Orgánica de Educación Superior, publicada en el Registro Oficial 77 de 15 de mayo del 2000.</w:t>
      </w:r>
      <w:r>
        <w:rPr>
          <w:rFonts w:eastAsia="Times New Roman"/>
          <w:sz w:val="22"/>
          <w:szCs w:val="22"/>
        </w:rPr>
        <w:br/>
      </w:r>
      <w:r>
        <w:rPr>
          <w:rFonts w:eastAsia="Times New Roman"/>
          <w:sz w:val="22"/>
          <w:szCs w:val="22"/>
        </w:rPr>
        <w:br/>
      </w:r>
      <w:r>
        <w:rPr>
          <w:rFonts w:eastAsia="Times New Roman"/>
          <w:sz w:val="22"/>
          <w:szCs w:val="22"/>
        </w:rPr>
        <w:lastRenderedPageBreak/>
        <w:t>Las universidades y escuel</w:t>
      </w:r>
      <w:r>
        <w:rPr>
          <w:rFonts w:eastAsia="Times New Roman"/>
          <w:sz w:val="22"/>
          <w:szCs w:val="22"/>
        </w:rPr>
        <w:t>as politécnicas que se encuentren en este proceso, están en la obligación de entregar a la SENESCYT la información que les sea solicitada.</w:t>
      </w:r>
    </w:p>
    <w:p w:rsidR="00000000" w:rsidRDefault="001707B5">
      <w:pPr>
        <w:divId w:val="924417424"/>
        <w:rPr>
          <w:rFonts w:eastAsia="Times New Roman"/>
          <w:sz w:val="22"/>
          <w:szCs w:val="22"/>
        </w:rPr>
      </w:pPr>
      <w:r>
        <w:rPr>
          <w:rFonts w:eastAsia="Times New Roman"/>
          <w:b/>
          <w:bCs/>
          <w:sz w:val="22"/>
          <w:szCs w:val="22"/>
        </w:rPr>
        <w:t xml:space="preserve">Octava.- </w:t>
      </w:r>
      <w:r>
        <w:rPr>
          <w:rFonts w:eastAsia="Times New Roman"/>
          <w:sz w:val="22"/>
          <w:szCs w:val="22"/>
        </w:rPr>
        <w:t>Para dar cumplimiento con la distribución de la variación del FOPEDEUPO correspondiente a la recaudación tributaria del ejercicio fiscal del año 2010, la SENESCYT elaborará el informe respectivo en el segundo semestre del año 2011, una vez que el CES aprue</w:t>
      </w:r>
      <w:r>
        <w:rPr>
          <w:rFonts w:eastAsia="Times New Roman"/>
          <w:sz w:val="22"/>
          <w:szCs w:val="22"/>
        </w:rPr>
        <w:t>be la nueva fórmula de distribución de los recursos.</w:t>
      </w:r>
    </w:p>
    <w:p w:rsidR="00000000" w:rsidRDefault="001707B5">
      <w:pPr>
        <w:divId w:val="878325169"/>
        <w:rPr>
          <w:rFonts w:eastAsia="Times New Roman"/>
          <w:sz w:val="22"/>
          <w:szCs w:val="22"/>
        </w:rPr>
      </w:pPr>
      <w:r>
        <w:rPr>
          <w:rFonts w:eastAsia="Times New Roman"/>
          <w:b/>
          <w:bCs/>
          <w:sz w:val="22"/>
          <w:szCs w:val="22"/>
        </w:rPr>
        <w:t>Novena.-</w:t>
      </w:r>
      <w:r>
        <w:rPr>
          <w:rFonts w:eastAsia="Times New Roman"/>
          <w:sz w:val="22"/>
          <w:szCs w:val="22"/>
        </w:rPr>
        <w:t xml:space="preserve"> Para dar cumplimiento a lo dispuesto en la Disposición General Sexta de la Ley, la SENESCYT en el plazo de ciento ochenta días, a partir de la vigencia del presente reglamento, realizará un regi</w:t>
      </w:r>
      <w:r>
        <w:rPr>
          <w:rFonts w:eastAsia="Times New Roman"/>
          <w:sz w:val="22"/>
          <w:szCs w:val="22"/>
        </w:rPr>
        <w:t>stro de las sedes, extensiones, programas, paralelos o unidades académicas de las instituciones de educación superior que funcionan en el país y que cuenten con la autorización respectiva.</w:t>
      </w:r>
      <w:r>
        <w:rPr>
          <w:rFonts w:eastAsia="Times New Roman"/>
          <w:sz w:val="22"/>
          <w:szCs w:val="22"/>
        </w:rPr>
        <w:br/>
      </w:r>
      <w:r>
        <w:rPr>
          <w:rFonts w:eastAsia="Times New Roman"/>
          <w:sz w:val="22"/>
          <w:szCs w:val="22"/>
        </w:rPr>
        <w:br/>
        <w:t xml:space="preserve">Los resultados de este registro serán puestos en conocimiento del </w:t>
      </w:r>
      <w:r>
        <w:rPr>
          <w:rFonts w:eastAsia="Times New Roman"/>
          <w:sz w:val="22"/>
          <w:szCs w:val="22"/>
        </w:rPr>
        <w:t>CES y del CEAACES para el trámite correspondiente.</w:t>
      </w:r>
      <w:r>
        <w:rPr>
          <w:rFonts w:eastAsia="Times New Roman"/>
          <w:sz w:val="22"/>
          <w:szCs w:val="22"/>
        </w:rPr>
        <w:br/>
      </w:r>
      <w:r>
        <w:rPr>
          <w:rFonts w:eastAsia="Times New Roman"/>
          <w:sz w:val="22"/>
          <w:szCs w:val="22"/>
        </w:rPr>
        <w:br/>
        <w:t>El CEAACES realizará la evaluación respectiva para determinar qué sedes, extensiones, programas, paralelos o unidades académicas seguirán funcionado.</w:t>
      </w:r>
    </w:p>
    <w:p w:rsidR="00000000" w:rsidRDefault="001707B5">
      <w:pPr>
        <w:divId w:val="56436448"/>
        <w:rPr>
          <w:rFonts w:eastAsia="Times New Roman"/>
          <w:sz w:val="22"/>
          <w:szCs w:val="22"/>
        </w:rPr>
      </w:pPr>
      <w:r>
        <w:rPr>
          <w:rFonts w:eastAsia="Times New Roman"/>
          <w:b/>
          <w:bCs/>
          <w:sz w:val="22"/>
          <w:szCs w:val="22"/>
        </w:rPr>
        <w:t xml:space="preserve">Décima.- </w:t>
      </w:r>
      <w:r>
        <w:rPr>
          <w:rFonts w:eastAsia="Times New Roman"/>
          <w:sz w:val="22"/>
          <w:szCs w:val="22"/>
        </w:rPr>
        <w:t>El CEAACES en el plazo de ciento ochenta días</w:t>
      </w:r>
      <w:r>
        <w:rPr>
          <w:rFonts w:eastAsia="Times New Roman"/>
          <w:sz w:val="22"/>
          <w:szCs w:val="22"/>
        </w:rPr>
        <w:t xml:space="preserve"> realizará la evaluación de los institutos pedagógicos y de los institutos interculturales bilingües. Los institutos que no superen dicha evaluación quedarán fuera del sistema.</w:t>
      </w:r>
      <w:r>
        <w:rPr>
          <w:rFonts w:eastAsia="Times New Roman"/>
          <w:sz w:val="22"/>
          <w:szCs w:val="22"/>
        </w:rPr>
        <w:br/>
      </w:r>
      <w:r>
        <w:rPr>
          <w:rFonts w:eastAsia="Times New Roman"/>
          <w:sz w:val="22"/>
          <w:szCs w:val="22"/>
        </w:rPr>
        <w:br/>
        <w:t>Los institutos pedagógicos que superen la evaluación podrán articularse a la U</w:t>
      </w:r>
      <w:r>
        <w:rPr>
          <w:rFonts w:eastAsia="Times New Roman"/>
          <w:sz w:val="22"/>
          <w:szCs w:val="22"/>
        </w:rPr>
        <w:t>NAE en calidad de extensiones de dicha universidad. La UNAE determinará los institutos pedagógicos que se articularán en dicha calidad.</w:t>
      </w:r>
    </w:p>
    <w:p w:rsidR="00000000" w:rsidRDefault="001707B5">
      <w:pPr>
        <w:divId w:val="1822229130"/>
        <w:rPr>
          <w:rFonts w:eastAsia="Times New Roman"/>
          <w:sz w:val="22"/>
          <w:szCs w:val="22"/>
        </w:rPr>
      </w:pPr>
      <w:r>
        <w:rPr>
          <w:rFonts w:eastAsia="Times New Roman"/>
          <w:b/>
          <w:bCs/>
          <w:sz w:val="22"/>
          <w:szCs w:val="22"/>
        </w:rPr>
        <w:t xml:space="preserve">Décima Primera.- </w:t>
      </w:r>
      <w:r>
        <w:rPr>
          <w:rFonts w:eastAsia="Times New Roman"/>
          <w:sz w:val="22"/>
          <w:szCs w:val="22"/>
        </w:rPr>
        <w:t>Con el propósito de garantizar los derechos de los docentes estudiantes, empleados y trabajadores, la S</w:t>
      </w:r>
      <w:r>
        <w:rPr>
          <w:rFonts w:eastAsia="Times New Roman"/>
          <w:sz w:val="22"/>
          <w:szCs w:val="22"/>
        </w:rPr>
        <w:t>ENESCYT iniciará un proceso de verificación de la propiedad de los bienes que conforman el patrimonio de las instituciones de educación superior.</w:t>
      </w:r>
      <w:r>
        <w:rPr>
          <w:rFonts w:eastAsia="Times New Roman"/>
          <w:sz w:val="22"/>
          <w:szCs w:val="22"/>
        </w:rPr>
        <w:br/>
      </w:r>
      <w:r>
        <w:rPr>
          <w:rFonts w:eastAsia="Times New Roman"/>
          <w:sz w:val="22"/>
          <w:szCs w:val="22"/>
        </w:rPr>
        <w:br/>
        <w:t>El informe que emita la SENESCYT establecerá la relación entre los activos y los pasivos de las instituciones</w:t>
      </w:r>
      <w:r>
        <w:rPr>
          <w:rFonts w:eastAsia="Times New Roman"/>
          <w:sz w:val="22"/>
          <w:szCs w:val="22"/>
        </w:rPr>
        <w:t xml:space="preserve"> de educación superior.</w:t>
      </w:r>
      <w:r>
        <w:rPr>
          <w:rFonts w:eastAsia="Times New Roman"/>
          <w:sz w:val="22"/>
          <w:szCs w:val="22"/>
        </w:rPr>
        <w:br/>
      </w:r>
      <w:r>
        <w:rPr>
          <w:rFonts w:eastAsia="Times New Roman"/>
          <w:sz w:val="22"/>
          <w:szCs w:val="22"/>
        </w:rPr>
        <w:br/>
        <w:t xml:space="preserve">El patrimonio de las instituciones de educación superior deberá cubrir, al menos, los pasivos tangibles e intangibles, considerando como prioritario la cobertura de los derechos de las estudiantes a completar su carrera cumpliendo </w:t>
      </w:r>
      <w:r>
        <w:rPr>
          <w:rFonts w:eastAsia="Times New Roman"/>
          <w:sz w:val="22"/>
          <w:szCs w:val="22"/>
        </w:rPr>
        <w:t>con los requisitos académicos regulares.</w:t>
      </w:r>
      <w:r>
        <w:rPr>
          <w:rFonts w:eastAsia="Times New Roman"/>
          <w:sz w:val="22"/>
          <w:szCs w:val="22"/>
        </w:rPr>
        <w:br/>
      </w:r>
      <w:r>
        <w:rPr>
          <w:rFonts w:eastAsia="Times New Roman"/>
          <w:sz w:val="22"/>
          <w:szCs w:val="22"/>
        </w:rPr>
        <w:br/>
        <w:t>En caso que el patrimonio de una institución de educación superior no cubra los derechos de los estudiantes enunciados en el inciso anterior, el CES deberá intervenirlas inmediatamente y solicitar la derogatoria de</w:t>
      </w:r>
      <w:r>
        <w:rPr>
          <w:rFonts w:eastAsia="Times New Roman"/>
          <w:sz w:val="22"/>
          <w:szCs w:val="22"/>
        </w:rPr>
        <w:t xml:space="preserve"> la Ley de creación de la institución de educación superior respectiva.</w:t>
      </w:r>
    </w:p>
    <w:p w:rsidR="00000000" w:rsidRDefault="001707B5">
      <w:pPr>
        <w:divId w:val="32314954"/>
        <w:rPr>
          <w:rFonts w:eastAsia="Times New Roman"/>
          <w:sz w:val="22"/>
          <w:szCs w:val="22"/>
        </w:rPr>
      </w:pPr>
      <w:r>
        <w:rPr>
          <w:rFonts w:eastAsia="Times New Roman"/>
          <w:b/>
          <w:bCs/>
          <w:sz w:val="22"/>
          <w:szCs w:val="22"/>
        </w:rPr>
        <w:t xml:space="preserve">Décima Segunda.- </w:t>
      </w:r>
      <w:r>
        <w:rPr>
          <w:rFonts w:eastAsia="Times New Roman"/>
          <w:sz w:val="22"/>
          <w:szCs w:val="22"/>
        </w:rPr>
        <w:t>La SENESCYT en el plazo máximo de 180 días, elaborará un informe sobre el estado de situación de aquellas universidades y escuelas politécnicas que se encuentren ofert</w:t>
      </w:r>
      <w:r>
        <w:rPr>
          <w:rFonts w:eastAsia="Times New Roman"/>
          <w:sz w:val="22"/>
          <w:szCs w:val="22"/>
        </w:rPr>
        <w:t>ando programas conjuntos con universidades extranjeras.</w:t>
      </w:r>
      <w:r>
        <w:rPr>
          <w:rFonts w:eastAsia="Times New Roman"/>
          <w:sz w:val="22"/>
          <w:szCs w:val="22"/>
        </w:rPr>
        <w:br/>
      </w:r>
      <w:r>
        <w:rPr>
          <w:rFonts w:eastAsia="Times New Roman"/>
          <w:sz w:val="22"/>
          <w:szCs w:val="22"/>
        </w:rPr>
        <w:br/>
        <w:t>La SENESCYT presentará el respectivo informe al CES para su resolución, el cual resolverá la continuidad o cierre de los programas académicos conforme al cumplimiento de la ley.</w:t>
      </w:r>
      <w:r>
        <w:rPr>
          <w:rFonts w:eastAsia="Times New Roman"/>
          <w:sz w:val="22"/>
          <w:szCs w:val="22"/>
        </w:rPr>
        <w:br/>
      </w:r>
      <w:r>
        <w:rPr>
          <w:rFonts w:eastAsia="Times New Roman"/>
          <w:sz w:val="22"/>
          <w:szCs w:val="22"/>
        </w:rPr>
        <w:br/>
        <w:t>En caso de cierre de</w:t>
      </w:r>
      <w:r>
        <w:rPr>
          <w:rFonts w:eastAsia="Times New Roman"/>
          <w:sz w:val="22"/>
          <w:szCs w:val="22"/>
        </w:rPr>
        <w:t xml:space="preserve"> aquellos programas, el CES establecerá un plan de contingencia que garantice los derechos de los estudiantes.</w:t>
      </w:r>
    </w:p>
    <w:p w:rsidR="00000000" w:rsidRDefault="001707B5">
      <w:pPr>
        <w:divId w:val="615796157"/>
        <w:rPr>
          <w:rFonts w:eastAsia="Times New Roman"/>
          <w:sz w:val="22"/>
          <w:szCs w:val="22"/>
        </w:rPr>
      </w:pPr>
      <w:r>
        <w:rPr>
          <w:rFonts w:eastAsia="Times New Roman"/>
          <w:b/>
          <w:bCs/>
          <w:sz w:val="22"/>
          <w:szCs w:val="22"/>
        </w:rPr>
        <w:t xml:space="preserve">Décima Tercera.- </w:t>
      </w:r>
      <w:r>
        <w:rPr>
          <w:rFonts w:eastAsia="Times New Roman"/>
          <w:sz w:val="22"/>
          <w:szCs w:val="22"/>
        </w:rPr>
        <w:t>A partir de la vigencia de la Ley, las universidades y escuelas politécnicas no podrán ofertar cursos de Diplomado Superior.</w:t>
      </w:r>
      <w:r>
        <w:rPr>
          <w:rFonts w:eastAsia="Times New Roman"/>
          <w:sz w:val="22"/>
          <w:szCs w:val="22"/>
        </w:rPr>
        <w:br/>
      </w:r>
      <w:r>
        <w:rPr>
          <w:rFonts w:eastAsia="Times New Roman"/>
          <w:sz w:val="22"/>
          <w:szCs w:val="22"/>
        </w:rPr>
        <w:br/>
        <w:t>La</w:t>
      </w:r>
      <w:r>
        <w:rPr>
          <w:rFonts w:eastAsia="Times New Roman"/>
          <w:sz w:val="22"/>
          <w:szCs w:val="22"/>
        </w:rPr>
        <w:t xml:space="preserve"> SENESCYT verificará el estado de situación de los programas académicos de Diploma Superior que fueron aprobados por el ex CONESUP y que a la vigencia de la Ley se encontraban legalmente en ejecución.</w:t>
      </w:r>
      <w:r>
        <w:rPr>
          <w:rFonts w:eastAsia="Times New Roman"/>
          <w:sz w:val="22"/>
          <w:szCs w:val="22"/>
        </w:rPr>
        <w:br/>
      </w:r>
      <w:r>
        <w:rPr>
          <w:rFonts w:eastAsia="Times New Roman"/>
          <w:sz w:val="22"/>
          <w:szCs w:val="22"/>
        </w:rPr>
        <w:br/>
        <w:t>Solo se considerarán programas de Diploma Superior leg</w:t>
      </w:r>
      <w:r>
        <w:rPr>
          <w:rFonts w:eastAsia="Times New Roman"/>
          <w:sz w:val="22"/>
          <w:szCs w:val="22"/>
        </w:rPr>
        <w:t xml:space="preserve">almente en ejecución, aquellos que al </w:t>
      </w:r>
      <w:r>
        <w:rPr>
          <w:rFonts w:eastAsia="Times New Roman"/>
          <w:sz w:val="22"/>
          <w:szCs w:val="22"/>
        </w:rPr>
        <w:lastRenderedPageBreak/>
        <w:t>momento de la vigencia de la Ley estaban siendo impartidos, debidamente autorizados por el ex CONESUP, lo que será verificado por el SENESCYT.</w:t>
      </w:r>
      <w:r>
        <w:rPr>
          <w:rFonts w:eastAsia="Times New Roman"/>
          <w:sz w:val="22"/>
          <w:szCs w:val="22"/>
        </w:rPr>
        <w:br/>
      </w:r>
      <w:r>
        <w:rPr>
          <w:rFonts w:eastAsia="Times New Roman"/>
          <w:sz w:val="22"/>
          <w:szCs w:val="22"/>
        </w:rPr>
        <w:br/>
        <w:t xml:space="preserve">En caso de incumplimiento, la SENESCYT informará al CES para el inicio de </w:t>
      </w:r>
      <w:r>
        <w:rPr>
          <w:rFonts w:eastAsia="Times New Roman"/>
          <w:sz w:val="22"/>
          <w:szCs w:val="22"/>
        </w:rPr>
        <w:t>las acciones legales correspondientes.</w:t>
      </w:r>
    </w:p>
    <w:p w:rsidR="00000000" w:rsidRDefault="001707B5">
      <w:pPr>
        <w:divId w:val="1637374241"/>
        <w:rPr>
          <w:rFonts w:eastAsia="Times New Roman"/>
          <w:sz w:val="22"/>
          <w:szCs w:val="22"/>
        </w:rPr>
      </w:pPr>
      <w:r>
        <w:rPr>
          <w:rFonts w:eastAsia="Times New Roman"/>
          <w:b/>
          <w:bCs/>
          <w:sz w:val="22"/>
          <w:szCs w:val="22"/>
        </w:rPr>
        <w:t xml:space="preserve">Décima Cuarta.- </w:t>
      </w:r>
      <w:r>
        <w:rPr>
          <w:rFonts w:eastAsia="Times New Roman"/>
          <w:sz w:val="22"/>
          <w:szCs w:val="22"/>
        </w:rPr>
        <w:t>En aplicación a la Disposición Transitoria Décima Primera de la Ley, los rectores o vicerrectores en funciones de las instituciones de educación superior que hubiesen sido elegidos o designados por dos períodos, no podrán ser reelegidos por un tercer perío</w:t>
      </w:r>
      <w:r>
        <w:rPr>
          <w:rFonts w:eastAsia="Times New Roman"/>
          <w:sz w:val="22"/>
          <w:szCs w:val="22"/>
        </w:rPr>
        <w:t>do; no obstante de la culminación o no del tiempo por el cual fueron elegidos o designados anteriormente.</w:t>
      </w:r>
    </w:p>
    <w:p w:rsidR="00000000" w:rsidRDefault="001707B5">
      <w:pPr>
        <w:divId w:val="2007437174"/>
        <w:rPr>
          <w:rFonts w:eastAsia="Times New Roman"/>
          <w:sz w:val="22"/>
          <w:szCs w:val="22"/>
        </w:rPr>
      </w:pPr>
      <w:r>
        <w:rPr>
          <w:rFonts w:eastAsia="Times New Roman"/>
          <w:b/>
          <w:bCs/>
          <w:sz w:val="22"/>
          <w:szCs w:val="22"/>
        </w:rPr>
        <w:t xml:space="preserve">Décima Quinta.- </w:t>
      </w:r>
      <w:r>
        <w:rPr>
          <w:rFonts w:eastAsia="Times New Roman"/>
          <w:sz w:val="22"/>
          <w:szCs w:val="22"/>
        </w:rPr>
        <w:t>Los actuales profesores titulares principales de las universidades y escuelas politécnicas que no hayan obtenido el grado académico de</w:t>
      </w:r>
      <w:r>
        <w:rPr>
          <w:rFonts w:eastAsia="Times New Roman"/>
          <w:sz w:val="22"/>
          <w:szCs w:val="22"/>
        </w:rPr>
        <w:t xml:space="preserve"> doctor (PhD o su equivalente), luego de transcurrido el plazo de siete años establecido en la Ley, perderán su condición de principales y serán considerados profesores titulares agregados, siempre y cuando tengan el título de maestría afín al área en que </w:t>
      </w:r>
      <w:r>
        <w:rPr>
          <w:rFonts w:eastAsia="Times New Roman"/>
          <w:sz w:val="22"/>
          <w:szCs w:val="22"/>
        </w:rPr>
        <w:t>ejercerán la cátedra y cumplan los demás requisitos establecidos en el Reglamento de Carrera y Escalafón del Profesor e Investigador.</w:t>
      </w:r>
      <w:r>
        <w:rPr>
          <w:rFonts w:eastAsia="Times New Roman"/>
          <w:sz w:val="22"/>
          <w:szCs w:val="22"/>
        </w:rPr>
        <w:br/>
      </w:r>
      <w:r>
        <w:rPr>
          <w:rFonts w:eastAsia="Times New Roman"/>
          <w:sz w:val="22"/>
          <w:szCs w:val="22"/>
        </w:rPr>
        <w:br/>
        <w:t>Los grados académicos de doctor o PhD o su equivalente y de maestría, a los que se refieren los dos incisos anteriores, d</w:t>
      </w:r>
      <w:r>
        <w:rPr>
          <w:rFonts w:eastAsia="Times New Roman"/>
          <w:sz w:val="22"/>
          <w:szCs w:val="22"/>
        </w:rPr>
        <w:t>eberán ser otorgados por universidades de calidad internacional; y reconocidas por la SENESCYT.</w:t>
      </w:r>
      <w:r>
        <w:rPr>
          <w:rFonts w:eastAsia="Times New Roman"/>
          <w:sz w:val="22"/>
          <w:szCs w:val="22"/>
        </w:rPr>
        <w:br/>
      </w:r>
      <w:r>
        <w:rPr>
          <w:rFonts w:eastAsia="Times New Roman"/>
          <w:sz w:val="22"/>
          <w:szCs w:val="22"/>
        </w:rPr>
        <w:br/>
        <w:t>Las universidades y escuelas politécnicas implementarán los procedimientos administrativos correspondientes para dar cumplimiento a esta disposición.</w:t>
      </w:r>
    </w:p>
    <w:p w:rsidR="00000000" w:rsidRDefault="001707B5">
      <w:pPr>
        <w:divId w:val="795441707"/>
        <w:rPr>
          <w:rFonts w:eastAsia="Times New Roman"/>
          <w:sz w:val="22"/>
          <w:szCs w:val="22"/>
        </w:rPr>
      </w:pPr>
      <w:r>
        <w:rPr>
          <w:rFonts w:eastAsia="Times New Roman"/>
          <w:b/>
          <w:bCs/>
          <w:sz w:val="22"/>
          <w:szCs w:val="22"/>
        </w:rPr>
        <w:t>Décima Se</w:t>
      </w:r>
      <w:r>
        <w:rPr>
          <w:rFonts w:eastAsia="Times New Roman"/>
          <w:b/>
          <w:bCs/>
          <w:sz w:val="22"/>
          <w:szCs w:val="22"/>
        </w:rPr>
        <w:t xml:space="preserve">xta.- </w:t>
      </w:r>
      <w:r>
        <w:rPr>
          <w:rFonts w:eastAsia="Times New Roman"/>
          <w:sz w:val="22"/>
          <w:szCs w:val="22"/>
        </w:rPr>
        <w:t xml:space="preserve">Los institutos superiores pedagógicos se articularán a la Universidad Nacional de Educación, UNAE, como extensiones de dicha universidad, previa evaluación del CEAACES. En virtud de los resultados de la evaluación, la UNAE determinará los institutos </w:t>
      </w:r>
      <w:r>
        <w:rPr>
          <w:rFonts w:eastAsia="Times New Roman"/>
          <w:sz w:val="22"/>
          <w:szCs w:val="22"/>
        </w:rPr>
        <w:t>que se articularán como sus extensiones.</w:t>
      </w:r>
      <w:r>
        <w:rPr>
          <w:rFonts w:eastAsia="Times New Roman"/>
          <w:sz w:val="22"/>
          <w:szCs w:val="22"/>
        </w:rPr>
        <w:br/>
      </w:r>
      <w:r>
        <w:rPr>
          <w:rFonts w:eastAsia="Times New Roman"/>
          <w:sz w:val="22"/>
          <w:szCs w:val="22"/>
        </w:rPr>
        <w:br/>
        <w:t>La UNAE establecerá el plan de acción para transformar la oferta educativa de los institutos e integrarlos a la acción de la Universidad Nacional de Educación.</w:t>
      </w:r>
      <w:r>
        <w:rPr>
          <w:rFonts w:eastAsia="Times New Roman"/>
          <w:sz w:val="22"/>
          <w:szCs w:val="22"/>
        </w:rPr>
        <w:br/>
      </w:r>
      <w:r>
        <w:rPr>
          <w:rFonts w:eastAsia="Times New Roman"/>
          <w:sz w:val="22"/>
          <w:szCs w:val="22"/>
        </w:rPr>
        <w:br/>
        <w:t>El financiamiento de los institutos superiores pedagó</w:t>
      </w:r>
      <w:r>
        <w:rPr>
          <w:rFonts w:eastAsia="Times New Roman"/>
          <w:sz w:val="22"/>
          <w:szCs w:val="22"/>
        </w:rPr>
        <w:t>gicos se financiará con los recursos asignados a la UNAE.</w:t>
      </w:r>
    </w:p>
    <w:p w:rsidR="00000000" w:rsidRDefault="001707B5">
      <w:pPr>
        <w:divId w:val="1836720600"/>
        <w:rPr>
          <w:rFonts w:eastAsia="Times New Roman"/>
          <w:sz w:val="22"/>
          <w:szCs w:val="22"/>
        </w:rPr>
      </w:pPr>
      <w:r>
        <w:rPr>
          <w:rFonts w:eastAsia="Times New Roman"/>
          <w:b/>
          <w:bCs/>
          <w:sz w:val="22"/>
          <w:szCs w:val="22"/>
        </w:rPr>
        <w:t xml:space="preserve">Décima Séptima.- </w:t>
      </w:r>
      <w:r>
        <w:rPr>
          <w:rFonts w:eastAsia="Times New Roman"/>
          <w:sz w:val="22"/>
          <w:szCs w:val="22"/>
        </w:rPr>
        <w:t xml:space="preserve">La moratoria de cinco años establecida en la Disposición Transitoria Décima Quinta de la ley, para la creación de nuevas instituciones de educación superior, será aplicable también </w:t>
      </w:r>
      <w:r>
        <w:rPr>
          <w:rFonts w:eastAsia="Times New Roman"/>
          <w:sz w:val="22"/>
          <w:szCs w:val="22"/>
        </w:rPr>
        <w:t>a los proyectos de creación de instituciones de educación superior que se hayan presentado en el ex CONESUP, ex CONEA o en la SENPLADES. Estos proyectos no serán considerados.</w:t>
      </w:r>
    </w:p>
    <w:p w:rsidR="00000000" w:rsidRDefault="001707B5">
      <w:pPr>
        <w:divId w:val="2088108285"/>
        <w:rPr>
          <w:rFonts w:eastAsia="Times New Roman"/>
          <w:sz w:val="22"/>
          <w:szCs w:val="22"/>
        </w:rPr>
      </w:pPr>
      <w:r>
        <w:rPr>
          <w:rFonts w:eastAsia="Times New Roman"/>
          <w:b/>
          <w:bCs/>
          <w:sz w:val="22"/>
          <w:szCs w:val="22"/>
        </w:rPr>
        <w:t xml:space="preserve">Décima Octava.- </w:t>
      </w:r>
      <w:r>
        <w:rPr>
          <w:rFonts w:eastAsia="Times New Roman"/>
          <w:sz w:val="22"/>
          <w:szCs w:val="22"/>
        </w:rPr>
        <w:t>Todos los procesos eleccionarios que se hayan realizado en las u</w:t>
      </w:r>
      <w:r>
        <w:rPr>
          <w:rFonts w:eastAsia="Times New Roman"/>
          <w:sz w:val="22"/>
          <w:szCs w:val="22"/>
        </w:rPr>
        <w:t>niversidades y escuelas politécnicas a partir de la vigencia de la Ley, podrán ser revisados por el CES una vez constituido plenamente. Para el efecto será necesaria la presentación de una denuncia debidamente fundamentada ante la SENESCYT, la que elaborar</w:t>
      </w:r>
      <w:r>
        <w:rPr>
          <w:rFonts w:eastAsia="Times New Roman"/>
          <w:sz w:val="22"/>
          <w:szCs w:val="22"/>
        </w:rPr>
        <w:t>á un informe el cual será presentado ante el CES.</w:t>
      </w:r>
      <w:r>
        <w:rPr>
          <w:rFonts w:eastAsia="Times New Roman"/>
          <w:sz w:val="22"/>
          <w:szCs w:val="22"/>
        </w:rPr>
        <w:br/>
      </w:r>
      <w:r>
        <w:rPr>
          <w:rFonts w:eastAsia="Times New Roman"/>
          <w:sz w:val="22"/>
          <w:szCs w:val="22"/>
        </w:rPr>
        <w:br/>
        <w:t>En caso de detectarse incumplimientos o irregularidades en los procesos electorales, el CES iniciará las acciones legales por incumplimiento de la Ley.</w:t>
      </w:r>
    </w:p>
    <w:p w:rsidR="00000000" w:rsidRDefault="001707B5">
      <w:pPr>
        <w:divId w:val="1706950969"/>
        <w:rPr>
          <w:rFonts w:eastAsia="Times New Roman"/>
          <w:sz w:val="22"/>
          <w:szCs w:val="22"/>
        </w:rPr>
      </w:pPr>
      <w:r>
        <w:rPr>
          <w:rFonts w:eastAsia="Times New Roman"/>
          <w:b/>
          <w:bCs/>
          <w:sz w:val="22"/>
          <w:szCs w:val="22"/>
        </w:rPr>
        <w:t xml:space="preserve">Décima Novena.- </w:t>
      </w:r>
      <w:r>
        <w:rPr>
          <w:rFonts w:eastAsia="Times New Roman"/>
          <w:sz w:val="22"/>
          <w:szCs w:val="22"/>
        </w:rPr>
        <w:t xml:space="preserve">El Reglamento de Carrera y Escalafón </w:t>
      </w:r>
      <w:r>
        <w:rPr>
          <w:rFonts w:eastAsia="Times New Roman"/>
          <w:sz w:val="22"/>
          <w:szCs w:val="22"/>
        </w:rPr>
        <w:t>del Profesor e Investigador del Sistema de Educación Superior normará lo relacionado con lo dispuesto en la Disposición Transitoria Décima Novena de la Ley.</w:t>
      </w:r>
      <w:r>
        <w:rPr>
          <w:rFonts w:eastAsia="Times New Roman"/>
          <w:sz w:val="22"/>
          <w:szCs w:val="22"/>
        </w:rPr>
        <w:br/>
      </w:r>
      <w:r>
        <w:rPr>
          <w:rFonts w:eastAsia="Times New Roman"/>
          <w:sz w:val="22"/>
          <w:szCs w:val="22"/>
        </w:rPr>
        <w:br/>
        <w:t>Hasta que se expedida el Reglamento de Carrera y Escalafón del Profesor e Investigador del Sistema</w:t>
      </w:r>
      <w:r>
        <w:rPr>
          <w:rFonts w:eastAsia="Times New Roman"/>
          <w:sz w:val="22"/>
          <w:szCs w:val="22"/>
        </w:rPr>
        <w:t xml:space="preserve"> de Educación Superior, las jubilaciones que se produzcan a partir de la expedición de este reglamento se sujetarán a las disposiciones de la LOSEP.</w:t>
      </w:r>
      <w:r>
        <w:rPr>
          <w:rFonts w:eastAsia="Times New Roman"/>
          <w:sz w:val="22"/>
          <w:szCs w:val="22"/>
        </w:rPr>
        <w:br/>
      </w:r>
      <w:r>
        <w:rPr>
          <w:rFonts w:eastAsia="Times New Roman"/>
          <w:sz w:val="22"/>
          <w:szCs w:val="22"/>
        </w:rPr>
        <w:br/>
      </w:r>
      <w:r>
        <w:rPr>
          <w:rFonts w:eastAsia="Times New Roman"/>
          <w:sz w:val="22"/>
          <w:szCs w:val="22"/>
        </w:rPr>
        <w:lastRenderedPageBreak/>
        <w:t>El Estado no financiará ninguna jubilación complementaria de un trabajador que renuncie luego del 31 de di</w:t>
      </w:r>
      <w:r>
        <w:rPr>
          <w:rFonts w:eastAsia="Times New Roman"/>
          <w:sz w:val="22"/>
          <w:szCs w:val="22"/>
        </w:rPr>
        <w:t>ciembre del 2014.</w:t>
      </w:r>
    </w:p>
    <w:p w:rsidR="00000000" w:rsidRDefault="001707B5">
      <w:pPr>
        <w:divId w:val="1911385082"/>
        <w:rPr>
          <w:rFonts w:eastAsia="Times New Roman"/>
          <w:sz w:val="22"/>
          <w:szCs w:val="22"/>
        </w:rPr>
      </w:pPr>
      <w:r>
        <w:rPr>
          <w:rFonts w:eastAsia="Times New Roman"/>
          <w:b/>
          <w:bCs/>
          <w:sz w:val="22"/>
          <w:szCs w:val="22"/>
        </w:rPr>
        <w:t xml:space="preserve">Vigésima.- </w:t>
      </w:r>
      <w:r>
        <w:rPr>
          <w:rFonts w:eastAsia="Times New Roman"/>
          <w:sz w:val="22"/>
          <w:szCs w:val="22"/>
        </w:rPr>
        <w:t>Para dar cumplimiento a lo dispuesto en la Disposición Transitoria Vigésima Segunda de la Ley, la SENESCYT coordinará con el Ministerio de Defensa Nacional y las autoridades de la Escuela Politécnica del Ejército ESPE, la Unive</w:t>
      </w:r>
      <w:r>
        <w:rPr>
          <w:rFonts w:eastAsia="Times New Roman"/>
          <w:sz w:val="22"/>
          <w:szCs w:val="22"/>
        </w:rPr>
        <w:t>rsidad Naval Comandante Rafael Morán Valverde-UNINAV y el Instituto Tecnológico Superior Aeronáutico-ITSA, el procedimiento para la conformación de la Universidad de las Fuerzas Armadas "ESPE".</w:t>
      </w:r>
    </w:p>
    <w:p w:rsidR="00000000" w:rsidRDefault="001707B5">
      <w:pPr>
        <w:divId w:val="2009407995"/>
        <w:rPr>
          <w:rFonts w:eastAsia="Times New Roman"/>
          <w:sz w:val="22"/>
          <w:szCs w:val="22"/>
        </w:rPr>
      </w:pPr>
      <w:r>
        <w:rPr>
          <w:rFonts w:eastAsia="Times New Roman"/>
          <w:b/>
          <w:bCs/>
          <w:sz w:val="22"/>
          <w:szCs w:val="22"/>
        </w:rPr>
        <w:t xml:space="preserve">Vigésima Primera.- </w:t>
      </w:r>
      <w:r>
        <w:rPr>
          <w:rFonts w:eastAsia="Times New Roman"/>
          <w:sz w:val="22"/>
          <w:szCs w:val="22"/>
        </w:rPr>
        <w:t>La SENESCYT en coordinación con las autorid</w:t>
      </w:r>
      <w:r>
        <w:rPr>
          <w:rFonts w:eastAsia="Times New Roman"/>
          <w:sz w:val="22"/>
          <w:szCs w:val="22"/>
        </w:rPr>
        <w:t>ades de los conservatorios superiores e institutos superiores de artes, diseñará un proyecto para fomentar la obtención de títulos de tercer nivel para los/as profesores/as que laboran en estos centros de educación superior.</w:t>
      </w:r>
      <w:r>
        <w:rPr>
          <w:rFonts w:eastAsia="Times New Roman"/>
          <w:sz w:val="22"/>
          <w:szCs w:val="22"/>
        </w:rPr>
        <w:br/>
      </w:r>
      <w:r>
        <w:rPr>
          <w:rFonts w:eastAsia="Times New Roman"/>
          <w:sz w:val="22"/>
          <w:szCs w:val="22"/>
        </w:rPr>
        <w:br/>
        <w:t>Para dar cumplimiento a la Ley</w:t>
      </w:r>
      <w:r>
        <w:rPr>
          <w:rFonts w:eastAsia="Times New Roman"/>
          <w:sz w:val="22"/>
          <w:szCs w:val="22"/>
        </w:rPr>
        <w:t xml:space="preserve"> y al presente reglamento, las universidades, los institutos superiores de artes y los conservatorios superiores que cuenten en su planta docente con profesores de tercer nivel para las áreas de música y artes, dispondrán de un plazo de cuatro años, a part</w:t>
      </w:r>
      <w:r>
        <w:rPr>
          <w:rFonts w:eastAsia="Times New Roman"/>
          <w:sz w:val="22"/>
          <w:szCs w:val="22"/>
        </w:rPr>
        <w:t>ir de la publicación del presente reglamento, para contar con el título de maestría en el área afín en que ejercerán la cátedra.</w:t>
      </w:r>
    </w:p>
    <w:p w:rsidR="00000000" w:rsidRDefault="001707B5">
      <w:pPr>
        <w:divId w:val="789974684"/>
        <w:rPr>
          <w:rFonts w:eastAsia="Times New Roman"/>
          <w:sz w:val="22"/>
          <w:szCs w:val="22"/>
        </w:rPr>
      </w:pPr>
      <w:r>
        <w:rPr>
          <w:rFonts w:eastAsia="Times New Roman"/>
          <w:b/>
          <w:bCs/>
          <w:sz w:val="22"/>
          <w:szCs w:val="22"/>
        </w:rPr>
        <w:t xml:space="preserve">Vigésima Segunda.- </w:t>
      </w:r>
      <w:r>
        <w:rPr>
          <w:rFonts w:eastAsia="Times New Roman"/>
          <w:sz w:val="22"/>
          <w:szCs w:val="22"/>
        </w:rPr>
        <w:t>La progresividad en la aplicación del examen de habilitación profesional, determinada en la Disposición Tran</w:t>
      </w:r>
      <w:r>
        <w:rPr>
          <w:rFonts w:eastAsia="Times New Roman"/>
          <w:sz w:val="22"/>
          <w:szCs w:val="22"/>
        </w:rPr>
        <w:t>sitoria Vigésima Séptima de la Ley, se sujetará a la capacidad técnica y logística del CEAACES, que contará con el apoyo técnico de la SENESCYT.</w:t>
      </w:r>
    </w:p>
    <w:p w:rsidR="00000000" w:rsidRDefault="001707B5">
      <w:pPr>
        <w:divId w:val="235672075"/>
        <w:rPr>
          <w:rFonts w:eastAsia="Times New Roman"/>
          <w:sz w:val="22"/>
          <w:szCs w:val="22"/>
        </w:rPr>
      </w:pPr>
      <w:r>
        <w:rPr>
          <w:rFonts w:eastAsia="Times New Roman"/>
          <w:b/>
          <w:bCs/>
          <w:sz w:val="22"/>
          <w:szCs w:val="22"/>
        </w:rPr>
        <w:t xml:space="preserve">Vigésima Tercera.- </w:t>
      </w:r>
      <w:r>
        <w:rPr>
          <w:rFonts w:eastAsia="Times New Roman"/>
          <w:sz w:val="22"/>
          <w:szCs w:val="22"/>
        </w:rPr>
        <w:t>Hasta que se constituyan las regiones autónomas en el país, funcionará un Comité Regional Co</w:t>
      </w:r>
      <w:r>
        <w:rPr>
          <w:rFonts w:eastAsia="Times New Roman"/>
          <w:sz w:val="22"/>
          <w:szCs w:val="22"/>
        </w:rPr>
        <w:t>nsultivo de Planificación de la Educación Superior por cada zona de planificación de la Función Ejecutiva.</w:t>
      </w:r>
    </w:p>
    <w:p w:rsidR="00000000" w:rsidRDefault="001707B5">
      <w:pPr>
        <w:divId w:val="1320891629"/>
        <w:rPr>
          <w:rFonts w:eastAsia="Times New Roman"/>
          <w:sz w:val="22"/>
          <w:szCs w:val="22"/>
        </w:rPr>
      </w:pPr>
      <w:r>
        <w:rPr>
          <w:rFonts w:eastAsia="Times New Roman"/>
          <w:b/>
          <w:bCs/>
          <w:sz w:val="22"/>
          <w:szCs w:val="22"/>
        </w:rPr>
        <w:t>Vigésima Cuarta.</w:t>
      </w:r>
      <w:r>
        <w:rPr>
          <w:rFonts w:eastAsia="Times New Roman"/>
          <w:sz w:val="22"/>
          <w:szCs w:val="22"/>
        </w:rPr>
        <w:t>- Para cumplir con la integración de los institutos superiores técnicos, tecnológicos, pedagógicos, de artes y los conservatorios sup</w:t>
      </w:r>
      <w:r>
        <w:rPr>
          <w:rFonts w:eastAsia="Times New Roman"/>
          <w:sz w:val="22"/>
          <w:szCs w:val="22"/>
        </w:rPr>
        <w:t>eriores públicos al sistema de educación superior, el Ministerio de Educación realizará el traspaso correspondiente a la Secretaría Nacional de Educación Superior, Ciencia, Tecnología e Innovación, SENESCYT, de todos los bienes, información académica, admi</w:t>
      </w:r>
      <w:r>
        <w:rPr>
          <w:rFonts w:eastAsia="Times New Roman"/>
          <w:sz w:val="22"/>
          <w:szCs w:val="22"/>
        </w:rPr>
        <w:t>nistrativa y financiera que, previo a la vigencia de la Ley dependían de esa Cartera de Estado.</w:t>
      </w:r>
      <w:r>
        <w:rPr>
          <w:rFonts w:eastAsia="Times New Roman"/>
          <w:sz w:val="22"/>
          <w:szCs w:val="22"/>
        </w:rPr>
        <w:br/>
      </w:r>
      <w:r>
        <w:rPr>
          <w:rFonts w:eastAsia="Times New Roman"/>
          <w:sz w:val="22"/>
          <w:szCs w:val="22"/>
        </w:rPr>
        <w:br/>
        <w:t>Se exceptúan de ese traspaso los bienes que pertenezcan a las unidades educativas del sistema nacional de educación.</w:t>
      </w:r>
      <w:r>
        <w:rPr>
          <w:rFonts w:eastAsia="Times New Roman"/>
          <w:sz w:val="22"/>
          <w:szCs w:val="22"/>
        </w:rPr>
        <w:br/>
      </w:r>
      <w:r>
        <w:rPr>
          <w:rFonts w:eastAsia="Times New Roman"/>
          <w:sz w:val="22"/>
          <w:szCs w:val="22"/>
        </w:rPr>
        <w:br/>
        <w:t>El Ministerio de Finanzas, automáticament</w:t>
      </w:r>
      <w:r>
        <w:rPr>
          <w:rFonts w:eastAsia="Times New Roman"/>
          <w:sz w:val="22"/>
          <w:szCs w:val="22"/>
        </w:rPr>
        <w:t>e, transferirá a favor de la SENESCYT, los recursos destinados a los institutos superiores técnicos, tecnológicos, pedagógicos, de artes y conservatorios superiores públicos y particulares que reciben rentas y asignaciones del Estado, que hasta la vigencia</w:t>
      </w:r>
      <w:r>
        <w:rPr>
          <w:rFonts w:eastAsia="Times New Roman"/>
          <w:sz w:val="22"/>
          <w:szCs w:val="22"/>
        </w:rPr>
        <w:t xml:space="preserve"> de la Ley dependían del Ministerio de Educación.</w:t>
      </w:r>
    </w:p>
    <w:p w:rsidR="00000000" w:rsidRDefault="001707B5">
      <w:pPr>
        <w:divId w:val="189537011"/>
        <w:rPr>
          <w:rFonts w:eastAsia="Times New Roman"/>
          <w:sz w:val="22"/>
          <w:szCs w:val="22"/>
        </w:rPr>
      </w:pPr>
      <w:r>
        <w:rPr>
          <w:rFonts w:eastAsia="Times New Roman"/>
          <w:b/>
          <w:bCs/>
          <w:sz w:val="22"/>
          <w:szCs w:val="22"/>
        </w:rPr>
        <w:t xml:space="preserve">Vigésima Quinta.- </w:t>
      </w:r>
      <w:r>
        <w:rPr>
          <w:rFonts w:eastAsia="Times New Roman"/>
          <w:sz w:val="22"/>
          <w:szCs w:val="22"/>
        </w:rPr>
        <w:t>Hasta tanto se constituya el CES y se aprueben los estatutos de las universidades y escuelas politécnicas, continuarán en vigencia los actuales estatutos siempre y cuando no entren en cont</w:t>
      </w:r>
      <w:r>
        <w:rPr>
          <w:rFonts w:eastAsia="Times New Roman"/>
          <w:sz w:val="22"/>
          <w:szCs w:val="22"/>
        </w:rPr>
        <w:t>radicción con las disposiciones de la LOES y este reglamento.</w:t>
      </w:r>
    </w:p>
    <w:p w:rsidR="00000000" w:rsidRDefault="001707B5">
      <w:pPr>
        <w:divId w:val="1756704322"/>
        <w:rPr>
          <w:rFonts w:eastAsia="Times New Roman"/>
          <w:sz w:val="22"/>
          <w:szCs w:val="22"/>
        </w:rPr>
      </w:pPr>
      <w:r>
        <w:rPr>
          <w:rFonts w:eastAsia="Times New Roman"/>
          <w:b/>
          <w:bCs/>
          <w:sz w:val="22"/>
          <w:szCs w:val="22"/>
        </w:rPr>
        <w:t xml:space="preserve">Vigésima Sexta.- </w:t>
      </w:r>
      <w:r>
        <w:rPr>
          <w:rFonts w:eastAsia="Times New Roman"/>
          <w:sz w:val="22"/>
          <w:szCs w:val="22"/>
        </w:rPr>
        <w:t xml:space="preserve">Hasta la aprobación del Reglamento de Carrera y Escalafón del Profesor e Investigador del Sistema de Educación Superior, los incrementos en las remuneraciones de los profesores </w:t>
      </w:r>
      <w:r>
        <w:rPr>
          <w:rFonts w:eastAsia="Times New Roman"/>
          <w:sz w:val="22"/>
          <w:szCs w:val="22"/>
        </w:rPr>
        <w:t>serán equivalentes a la tasa de inflación del período fiscal anterior o al porcentaje del último incremento del salario mensual unificado.</w:t>
      </w:r>
    </w:p>
    <w:p w:rsidR="00000000" w:rsidRDefault="001707B5">
      <w:pPr>
        <w:divId w:val="605425486"/>
        <w:rPr>
          <w:rFonts w:eastAsia="Times New Roman"/>
          <w:sz w:val="22"/>
          <w:szCs w:val="22"/>
        </w:rPr>
      </w:pPr>
      <w:r>
        <w:rPr>
          <w:rFonts w:eastAsia="Times New Roman"/>
          <w:b/>
          <w:bCs/>
          <w:sz w:val="22"/>
          <w:szCs w:val="22"/>
        </w:rPr>
        <w:t xml:space="preserve">Vigésima Séptima.- </w:t>
      </w:r>
      <w:r>
        <w:rPr>
          <w:rFonts w:eastAsia="Times New Roman"/>
          <w:sz w:val="22"/>
          <w:szCs w:val="22"/>
        </w:rPr>
        <w:t>Las autoridades académicas como Decano, Subdecano o de similar jerarquía, elegidos o designados an</w:t>
      </w:r>
      <w:r>
        <w:rPr>
          <w:rFonts w:eastAsia="Times New Roman"/>
          <w:sz w:val="22"/>
          <w:szCs w:val="22"/>
        </w:rPr>
        <w:t>tes de la vigencia del presente reglamento, permanecerán en sus funciones hasta completar los períodos para los cuales fueron elegidos o designados.</w:t>
      </w:r>
      <w:r>
        <w:rPr>
          <w:rFonts w:eastAsia="Times New Roman"/>
          <w:sz w:val="22"/>
          <w:szCs w:val="22"/>
        </w:rPr>
        <w:br/>
      </w:r>
      <w:r>
        <w:rPr>
          <w:rFonts w:eastAsia="Times New Roman"/>
          <w:sz w:val="22"/>
          <w:szCs w:val="22"/>
        </w:rPr>
        <w:br/>
        <w:t xml:space="preserve">Una vez que se cumplan estos períodos, se procederá a la designación de las nuevas autoridades académicas </w:t>
      </w:r>
      <w:r>
        <w:rPr>
          <w:rFonts w:eastAsia="Times New Roman"/>
          <w:sz w:val="22"/>
          <w:szCs w:val="22"/>
        </w:rPr>
        <w:t>para el período para el cual fue electo el rector, en virtud del procedimiento establecido en la ley y en el presente reglamento.</w:t>
      </w:r>
    </w:p>
    <w:p w:rsidR="00000000" w:rsidRDefault="001707B5">
      <w:pPr>
        <w:divId w:val="784731736"/>
        <w:rPr>
          <w:rFonts w:eastAsia="Times New Roman"/>
          <w:sz w:val="22"/>
          <w:szCs w:val="22"/>
        </w:rPr>
      </w:pPr>
      <w:r>
        <w:rPr>
          <w:rFonts w:eastAsia="Times New Roman"/>
          <w:b/>
          <w:bCs/>
          <w:sz w:val="22"/>
          <w:szCs w:val="22"/>
        </w:rPr>
        <w:t xml:space="preserve">Vigésima Octava.- </w:t>
      </w:r>
      <w:r>
        <w:rPr>
          <w:rFonts w:eastAsia="Times New Roman"/>
          <w:sz w:val="22"/>
          <w:szCs w:val="22"/>
        </w:rPr>
        <w:t>Hasta que el CEAACES realice la categorización de las instituciones de educación superior, estará vigente la</w:t>
      </w:r>
      <w:r>
        <w:rPr>
          <w:rFonts w:eastAsia="Times New Roman"/>
          <w:sz w:val="22"/>
          <w:szCs w:val="22"/>
        </w:rPr>
        <w:t xml:space="preserve"> realizada por el ex CONEA.</w:t>
      </w:r>
    </w:p>
    <w:p w:rsidR="00000000" w:rsidRDefault="001707B5">
      <w:pPr>
        <w:jc w:val="center"/>
        <w:rPr>
          <w:rFonts w:eastAsia="Times New Roman"/>
        </w:rPr>
      </w:pPr>
      <w:r>
        <w:rPr>
          <w:rFonts w:eastAsia="Times New Roman"/>
          <w:b/>
          <w:bCs/>
        </w:rPr>
        <w:lastRenderedPageBreak/>
        <w:br/>
        <w:t>DISPOSICIÓN FINAL</w:t>
      </w:r>
    </w:p>
    <w:p w:rsidR="00000000" w:rsidRDefault="001707B5">
      <w:pPr>
        <w:divId w:val="1392802536"/>
        <w:rPr>
          <w:rFonts w:eastAsia="Times New Roman"/>
          <w:sz w:val="22"/>
          <w:szCs w:val="22"/>
        </w:rPr>
      </w:pPr>
      <w:r>
        <w:rPr>
          <w:rFonts w:eastAsia="Times New Roman"/>
          <w:sz w:val="22"/>
          <w:szCs w:val="22"/>
        </w:rPr>
        <w:t>El presente Reglamento entrará en vigencia a partir de su publicación en el Registro Oficial.</w:t>
      </w:r>
      <w:r>
        <w:rPr>
          <w:rFonts w:eastAsia="Times New Roman"/>
          <w:sz w:val="22"/>
          <w:szCs w:val="22"/>
        </w:rPr>
        <w:br/>
      </w:r>
      <w:r>
        <w:rPr>
          <w:rFonts w:eastAsia="Times New Roman"/>
          <w:sz w:val="22"/>
          <w:szCs w:val="22"/>
        </w:rPr>
        <w:br/>
        <w:t>Dado en el Palacio Nacional, a 1 de septiembre del 2011.</w:t>
      </w:r>
    </w:p>
    <w:p w:rsidR="00000000" w:rsidRDefault="001707B5">
      <w:pPr>
        <w:jc w:val="center"/>
        <w:rPr>
          <w:rFonts w:eastAsia="Times New Roman"/>
        </w:rPr>
      </w:pPr>
      <w:r>
        <w:rPr>
          <w:rFonts w:eastAsia="Times New Roman"/>
          <w:b/>
          <w:bCs/>
        </w:rPr>
        <w:br/>
      </w:r>
      <w:r>
        <w:rPr>
          <w:rFonts w:eastAsia="Times New Roman"/>
          <w:b/>
          <w:bCs/>
        </w:rPr>
        <w:br/>
        <w:t>FUENTES DE LA PRESENTE EDICIÓN DEL REGLAMENTO GENERAL A</w:t>
      </w:r>
      <w:r>
        <w:rPr>
          <w:rFonts w:eastAsia="Times New Roman"/>
          <w:b/>
          <w:bCs/>
        </w:rPr>
        <w:t xml:space="preserve"> LA LEY ORGÁNICA DE EDUCACIÓN SUPERIOR</w:t>
      </w:r>
    </w:p>
    <w:p w:rsidR="001707B5" w:rsidRDefault="001707B5">
      <w:pPr>
        <w:divId w:val="1241594493"/>
        <w:rPr>
          <w:rFonts w:eastAsia="Times New Roman"/>
          <w:sz w:val="22"/>
          <w:szCs w:val="22"/>
        </w:rPr>
      </w:pPr>
      <w:r>
        <w:rPr>
          <w:rFonts w:eastAsia="Times New Roman"/>
          <w:sz w:val="22"/>
          <w:szCs w:val="22"/>
        </w:rPr>
        <w:br/>
      </w:r>
      <w:r>
        <w:rPr>
          <w:rFonts w:eastAsia="Times New Roman"/>
          <w:sz w:val="22"/>
          <w:szCs w:val="22"/>
        </w:rPr>
        <w:br/>
        <w:t>1.- Decreto 865 (Suplemento del Registro Oficial 526, 2-IX-2011).</w:t>
      </w:r>
    </w:p>
    <w:sectPr w:rsidR="001707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512FB"/>
    <w:rsid w:val="001512FB"/>
    <w:rsid w:val="001707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26AE2F-05AA-443F-BBF7-066D3360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4954">
      <w:marLeft w:val="0"/>
      <w:marRight w:val="0"/>
      <w:marTop w:val="0"/>
      <w:marBottom w:val="0"/>
      <w:divBdr>
        <w:top w:val="none" w:sz="0" w:space="0" w:color="auto"/>
        <w:left w:val="none" w:sz="0" w:space="0" w:color="auto"/>
        <w:bottom w:val="none" w:sz="0" w:space="0" w:color="auto"/>
        <w:right w:val="none" w:sz="0" w:space="0" w:color="auto"/>
      </w:divBdr>
    </w:div>
    <w:div w:id="43220931">
      <w:marLeft w:val="0"/>
      <w:marRight w:val="0"/>
      <w:marTop w:val="0"/>
      <w:marBottom w:val="0"/>
      <w:divBdr>
        <w:top w:val="none" w:sz="0" w:space="0" w:color="auto"/>
        <w:left w:val="none" w:sz="0" w:space="0" w:color="auto"/>
        <w:bottom w:val="none" w:sz="0" w:space="0" w:color="auto"/>
        <w:right w:val="none" w:sz="0" w:space="0" w:color="auto"/>
      </w:divBdr>
    </w:div>
    <w:div w:id="56436448">
      <w:marLeft w:val="0"/>
      <w:marRight w:val="0"/>
      <w:marTop w:val="0"/>
      <w:marBottom w:val="0"/>
      <w:divBdr>
        <w:top w:val="none" w:sz="0" w:space="0" w:color="auto"/>
        <w:left w:val="none" w:sz="0" w:space="0" w:color="auto"/>
        <w:bottom w:val="none" w:sz="0" w:space="0" w:color="auto"/>
        <w:right w:val="none" w:sz="0" w:space="0" w:color="auto"/>
      </w:divBdr>
    </w:div>
    <w:div w:id="99885525">
      <w:marLeft w:val="0"/>
      <w:marRight w:val="0"/>
      <w:marTop w:val="0"/>
      <w:marBottom w:val="0"/>
      <w:divBdr>
        <w:top w:val="none" w:sz="0" w:space="0" w:color="auto"/>
        <w:left w:val="none" w:sz="0" w:space="0" w:color="auto"/>
        <w:bottom w:val="none" w:sz="0" w:space="0" w:color="auto"/>
        <w:right w:val="none" w:sz="0" w:space="0" w:color="auto"/>
      </w:divBdr>
    </w:div>
    <w:div w:id="154499525">
      <w:marLeft w:val="0"/>
      <w:marRight w:val="0"/>
      <w:marTop w:val="0"/>
      <w:marBottom w:val="0"/>
      <w:divBdr>
        <w:top w:val="none" w:sz="0" w:space="0" w:color="auto"/>
        <w:left w:val="none" w:sz="0" w:space="0" w:color="auto"/>
        <w:bottom w:val="none" w:sz="0" w:space="0" w:color="auto"/>
        <w:right w:val="none" w:sz="0" w:space="0" w:color="auto"/>
      </w:divBdr>
    </w:div>
    <w:div w:id="165363592">
      <w:marLeft w:val="0"/>
      <w:marRight w:val="0"/>
      <w:marTop w:val="0"/>
      <w:marBottom w:val="0"/>
      <w:divBdr>
        <w:top w:val="none" w:sz="0" w:space="0" w:color="auto"/>
        <w:left w:val="none" w:sz="0" w:space="0" w:color="auto"/>
        <w:bottom w:val="none" w:sz="0" w:space="0" w:color="auto"/>
        <w:right w:val="none" w:sz="0" w:space="0" w:color="auto"/>
      </w:divBdr>
    </w:div>
    <w:div w:id="189537011">
      <w:marLeft w:val="0"/>
      <w:marRight w:val="0"/>
      <w:marTop w:val="0"/>
      <w:marBottom w:val="0"/>
      <w:divBdr>
        <w:top w:val="none" w:sz="0" w:space="0" w:color="auto"/>
        <w:left w:val="none" w:sz="0" w:space="0" w:color="auto"/>
        <w:bottom w:val="none" w:sz="0" w:space="0" w:color="auto"/>
        <w:right w:val="none" w:sz="0" w:space="0" w:color="auto"/>
      </w:divBdr>
    </w:div>
    <w:div w:id="204681095">
      <w:marLeft w:val="0"/>
      <w:marRight w:val="0"/>
      <w:marTop w:val="0"/>
      <w:marBottom w:val="0"/>
      <w:divBdr>
        <w:top w:val="none" w:sz="0" w:space="0" w:color="auto"/>
        <w:left w:val="none" w:sz="0" w:space="0" w:color="auto"/>
        <w:bottom w:val="none" w:sz="0" w:space="0" w:color="auto"/>
        <w:right w:val="none" w:sz="0" w:space="0" w:color="auto"/>
      </w:divBdr>
    </w:div>
    <w:div w:id="218978394">
      <w:marLeft w:val="0"/>
      <w:marRight w:val="0"/>
      <w:marTop w:val="0"/>
      <w:marBottom w:val="0"/>
      <w:divBdr>
        <w:top w:val="none" w:sz="0" w:space="0" w:color="auto"/>
        <w:left w:val="none" w:sz="0" w:space="0" w:color="auto"/>
        <w:bottom w:val="none" w:sz="0" w:space="0" w:color="auto"/>
        <w:right w:val="none" w:sz="0" w:space="0" w:color="auto"/>
      </w:divBdr>
    </w:div>
    <w:div w:id="235672075">
      <w:marLeft w:val="0"/>
      <w:marRight w:val="0"/>
      <w:marTop w:val="0"/>
      <w:marBottom w:val="0"/>
      <w:divBdr>
        <w:top w:val="none" w:sz="0" w:space="0" w:color="auto"/>
        <w:left w:val="none" w:sz="0" w:space="0" w:color="auto"/>
        <w:bottom w:val="none" w:sz="0" w:space="0" w:color="auto"/>
        <w:right w:val="none" w:sz="0" w:space="0" w:color="auto"/>
      </w:divBdr>
    </w:div>
    <w:div w:id="265692786">
      <w:marLeft w:val="0"/>
      <w:marRight w:val="0"/>
      <w:marTop w:val="0"/>
      <w:marBottom w:val="0"/>
      <w:divBdr>
        <w:top w:val="none" w:sz="0" w:space="0" w:color="auto"/>
        <w:left w:val="none" w:sz="0" w:space="0" w:color="auto"/>
        <w:bottom w:val="none" w:sz="0" w:space="0" w:color="auto"/>
        <w:right w:val="none" w:sz="0" w:space="0" w:color="auto"/>
      </w:divBdr>
    </w:div>
    <w:div w:id="445083806">
      <w:marLeft w:val="0"/>
      <w:marRight w:val="0"/>
      <w:marTop w:val="0"/>
      <w:marBottom w:val="0"/>
      <w:divBdr>
        <w:top w:val="none" w:sz="0" w:space="0" w:color="auto"/>
        <w:left w:val="none" w:sz="0" w:space="0" w:color="auto"/>
        <w:bottom w:val="none" w:sz="0" w:space="0" w:color="auto"/>
        <w:right w:val="none" w:sz="0" w:space="0" w:color="auto"/>
      </w:divBdr>
    </w:div>
    <w:div w:id="452751196">
      <w:marLeft w:val="0"/>
      <w:marRight w:val="0"/>
      <w:marTop w:val="0"/>
      <w:marBottom w:val="0"/>
      <w:divBdr>
        <w:top w:val="none" w:sz="0" w:space="0" w:color="auto"/>
        <w:left w:val="none" w:sz="0" w:space="0" w:color="auto"/>
        <w:bottom w:val="none" w:sz="0" w:space="0" w:color="auto"/>
        <w:right w:val="none" w:sz="0" w:space="0" w:color="auto"/>
      </w:divBdr>
    </w:div>
    <w:div w:id="457069688">
      <w:marLeft w:val="0"/>
      <w:marRight w:val="0"/>
      <w:marTop w:val="0"/>
      <w:marBottom w:val="0"/>
      <w:divBdr>
        <w:top w:val="none" w:sz="0" w:space="0" w:color="auto"/>
        <w:left w:val="none" w:sz="0" w:space="0" w:color="auto"/>
        <w:bottom w:val="none" w:sz="0" w:space="0" w:color="auto"/>
        <w:right w:val="none" w:sz="0" w:space="0" w:color="auto"/>
      </w:divBdr>
    </w:div>
    <w:div w:id="550918654">
      <w:marLeft w:val="0"/>
      <w:marRight w:val="0"/>
      <w:marTop w:val="0"/>
      <w:marBottom w:val="0"/>
      <w:divBdr>
        <w:top w:val="none" w:sz="0" w:space="0" w:color="auto"/>
        <w:left w:val="none" w:sz="0" w:space="0" w:color="auto"/>
        <w:bottom w:val="none" w:sz="0" w:space="0" w:color="auto"/>
        <w:right w:val="none" w:sz="0" w:space="0" w:color="auto"/>
      </w:divBdr>
    </w:div>
    <w:div w:id="584068731">
      <w:marLeft w:val="0"/>
      <w:marRight w:val="0"/>
      <w:marTop w:val="0"/>
      <w:marBottom w:val="0"/>
      <w:divBdr>
        <w:top w:val="none" w:sz="0" w:space="0" w:color="auto"/>
        <w:left w:val="none" w:sz="0" w:space="0" w:color="auto"/>
        <w:bottom w:val="none" w:sz="0" w:space="0" w:color="auto"/>
        <w:right w:val="none" w:sz="0" w:space="0" w:color="auto"/>
      </w:divBdr>
    </w:div>
    <w:div w:id="605425486">
      <w:marLeft w:val="0"/>
      <w:marRight w:val="0"/>
      <w:marTop w:val="0"/>
      <w:marBottom w:val="0"/>
      <w:divBdr>
        <w:top w:val="none" w:sz="0" w:space="0" w:color="auto"/>
        <w:left w:val="none" w:sz="0" w:space="0" w:color="auto"/>
        <w:bottom w:val="none" w:sz="0" w:space="0" w:color="auto"/>
        <w:right w:val="none" w:sz="0" w:space="0" w:color="auto"/>
      </w:divBdr>
    </w:div>
    <w:div w:id="615796157">
      <w:marLeft w:val="0"/>
      <w:marRight w:val="0"/>
      <w:marTop w:val="0"/>
      <w:marBottom w:val="0"/>
      <w:divBdr>
        <w:top w:val="none" w:sz="0" w:space="0" w:color="auto"/>
        <w:left w:val="none" w:sz="0" w:space="0" w:color="auto"/>
        <w:bottom w:val="none" w:sz="0" w:space="0" w:color="auto"/>
        <w:right w:val="none" w:sz="0" w:space="0" w:color="auto"/>
      </w:divBdr>
    </w:div>
    <w:div w:id="687021389">
      <w:marLeft w:val="0"/>
      <w:marRight w:val="0"/>
      <w:marTop w:val="0"/>
      <w:marBottom w:val="0"/>
      <w:divBdr>
        <w:top w:val="none" w:sz="0" w:space="0" w:color="auto"/>
        <w:left w:val="none" w:sz="0" w:space="0" w:color="auto"/>
        <w:bottom w:val="none" w:sz="0" w:space="0" w:color="auto"/>
        <w:right w:val="none" w:sz="0" w:space="0" w:color="auto"/>
      </w:divBdr>
    </w:div>
    <w:div w:id="744499240">
      <w:marLeft w:val="0"/>
      <w:marRight w:val="0"/>
      <w:marTop w:val="0"/>
      <w:marBottom w:val="0"/>
      <w:divBdr>
        <w:top w:val="none" w:sz="0" w:space="0" w:color="auto"/>
        <w:left w:val="none" w:sz="0" w:space="0" w:color="auto"/>
        <w:bottom w:val="none" w:sz="0" w:space="0" w:color="auto"/>
        <w:right w:val="none" w:sz="0" w:space="0" w:color="auto"/>
      </w:divBdr>
    </w:div>
    <w:div w:id="784731736">
      <w:marLeft w:val="0"/>
      <w:marRight w:val="0"/>
      <w:marTop w:val="0"/>
      <w:marBottom w:val="0"/>
      <w:divBdr>
        <w:top w:val="none" w:sz="0" w:space="0" w:color="auto"/>
        <w:left w:val="none" w:sz="0" w:space="0" w:color="auto"/>
        <w:bottom w:val="none" w:sz="0" w:space="0" w:color="auto"/>
        <w:right w:val="none" w:sz="0" w:space="0" w:color="auto"/>
      </w:divBdr>
    </w:div>
    <w:div w:id="789974684">
      <w:marLeft w:val="0"/>
      <w:marRight w:val="0"/>
      <w:marTop w:val="0"/>
      <w:marBottom w:val="0"/>
      <w:divBdr>
        <w:top w:val="none" w:sz="0" w:space="0" w:color="auto"/>
        <w:left w:val="none" w:sz="0" w:space="0" w:color="auto"/>
        <w:bottom w:val="none" w:sz="0" w:space="0" w:color="auto"/>
        <w:right w:val="none" w:sz="0" w:space="0" w:color="auto"/>
      </w:divBdr>
    </w:div>
    <w:div w:id="795441707">
      <w:marLeft w:val="0"/>
      <w:marRight w:val="0"/>
      <w:marTop w:val="0"/>
      <w:marBottom w:val="0"/>
      <w:divBdr>
        <w:top w:val="none" w:sz="0" w:space="0" w:color="auto"/>
        <w:left w:val="none" w:sz="0" w:space="0" w:color="auto"/>
        <w:bottom w:val="none" w:sz="0" w:space="0" w:color="auto"/>
        <w:right w:val="none" w:sz="0" w:space="0" w:color="auto"/>
      </w:divBdr>
    </w:div>
    <w:div w:id="826168055">
      <w:marLeft w:val="0"/>
      <w:marRight w:val="0"/>
      <w:marTop w:val="0"/>
      <w:marBottom w:val="0"/>
      <w:divBdr>
        <w:top w:val="none" w:sz="0" w:space="0" w:color="auto"/>
        <w:left w:val="none" w:sz="0" w:space="0" w:color="auto"/>
        <w:bottom w:val="none" w:sz="0" w:space="0" w:color="auto"/>
        <w:right w:val="none" w:sz="0" w:space="0" w:color="auto"/>
      </w:divBdr>
    </w:div>
    <w:div w:id="878325169">
      <w:marLeft w:val="0"/>
      <w:marRight w:val="0"/>
      <w:marTop w:val="0"/>
      <w:marBottom w:val="0"/>
      <w:divBdr>
        <w:top w:val="none" w:sz="0" w:space="0" w:color="auto"/>
        <w:left w:val="none" w:sz="0" w:space="0" w:color="auto"/>
        <w:bottom w:val="none" w:sz="0" w:space="0" w:color="auto"/>
        <w:right w:val="none" w:sz="0" w:space="0" w:color="auto"/>
      </w:divBdr>
    </w:div>
    <w:div w:id="881478291">
      <w:marLeft w:val="0"/>
      <w:marRight w:val="0"/>
      <w:marTop w:val="0"/>
      <w:marBottom w:val="0"/>
      <w:divBdr>
        <w:top w:val="none" w:sz="0" w:space="0" w:color="auto"/>
        <w:left w:val="none" w:sz="0" w:space="0" w:color="auto"/>
        <w:bottom w:val="none" w:sz="0" w:space="0" w:color="auto"/>
        <w:right w:val="none" w:sz="0" w:space="0" w:color="auto"/>
      </w:divBdr>
    </w:div>
    <w:div w:id="884484750">
      <w:marLeft w:val="0"/>
      <w:marRight w:val="0"/>
      <w:marTop w:val="0"/>
      <w:marBottom w:val="0"/>
      <w:divBdr>
        <w:top w:val="none" w:sz="0" w:space="0" w:color="auto"/>
        <w:left w:val="none" w:sz="0" w:space="0" w:color="auto"/>
        <w:bottom w:val="none" w:sz="0" w:space="0" w:color="auto"/>
        <w:right w:val="none" w:sz="0" w:space="0" w:color="auto"/>
      </w:divBdr>
    </w:div>
    <w:div w:id="903757570">
      <w:marLeft w:val="0"/>
      <w:marRight w:val="0"/>
      <w:marTop w:val="0"/>
      <w:marBottom w:val="0"/>
      <w:divBdr>
        <w:top w:val="none" w:sz="0" w:space="0" w:color="auto"/>
        <w:left w:val="none" w:sz="0" w:space="0" w:color="auto"/>
        <w:bottom w:val="none" w:sz="0" w:space="0" w:color="auto"/>
        <w:right w:val="none" w:sz="0" w:space="0" w:color="auto"/>
      </w:divBdr>
    </w:div>
    <w:div w:id="924417424">
      <w:marLeft w:val="0"/>
      <w:marRight w:val="0"/>
      <w:marTop w:val="0"/>
      <w:marBottom w:val="0"/>
      <w:divBdr>
        <w:top w:val="none" w:sz="0" w:space="0" w:color="auto"/>
        <w:left w:val="none" w:sz="0" w:space="0" w:color="auto"/>
        <w:bottom w:val="none" w:sz="0" w:space="0" w:color="auto"/>
        <w:right w:val="none" w:sz="0" w:space="0" w:color="auto"/>
      </w:divBdr>
    </w:div>
    <w:div w:id="932207674">
      <w:marLeft w:val="0"/>
      <w:marRight w:val="0"/>
      <w:marTop w:val="0"/>
      <w:marBottom w:val="0"/>
      <w:divBdr>
        <w:top w:val="none" w:sz="0" w:space="0" w:color="auto"/>
        <w:left w:val="none" w:sz="0" w:space="0" w:color="auto"/>
        <w:bottom w:val="none" w:sz="0" w:space="0" w:color="auto"/>
        <w:right w:val="none" w:sz="0" w:space="0" w:color="auto"/>
      </w:divBdr>
    </w:div>
    <w:div w:id="951741996">
      <w:marLeft w:val="0"/>
      <w:marRight w:val="0"/>
      <w:marTop w:val="0"/>
      <w:marBottom w:val="0"/>
      <w:divBdr>
        <w:top w:val="none" w:sz="0" w:space="0" w:color="auto"/>
        <w:left w:val="none" w:sz="0" w:space="0" w:color="auto"/>
        <w:bottom w:val="none" w:sz="0" w:space="0" w:color="auto"/>
        <w:right w:val="none" w:sz="0" w:space="0" w:color="auto"/>
      </w:divBdr>
    </w:div>
    <w:div w:id="1007248412">
      <w:marLeft w:val="0"/>
      <w:marRight w:val="0"/>
      <w:marTop w:val="0"/>
      <w:marBottom w:val="0"/>
      <w:divBdr>
        <w:top w:val="none" w:sz="0" w:space="0" w:color="auto"/>
        <w:left w:val="none" w:sz="0" w:space="0" w:color="auto"/>
        <w:bottom w:val="none" w:sz="0" w:space="0" w:color="auto"/>
        <w:right w:val="none" w:sz="0" w:space="0" w:color="auto"/>
      </w:divBdr>
    </w:div>
    <w:div w:id="1021781298">
      <w:marLeft w:val="0"/>
      <w:marRight w:val="0"/>
      <w:marTop w:val="0"/>
      <w:marBottom w:val="0"/>
      <w:divBdr>
        <w:top w:val="none" w:sz="0" w:space="0" w:color="auto"/>
        <w:left w:val="none" w:sz="0" w:space="0" w:color="auto"/>
        <w:bottom w:val="none" w:sz="0" w:space="0" w:color="auto"/>
        <w:right w:val="none" w:sz="0" w:space="0" w:color="auto"/>
      </w:divBdr>
    </w:div>
    <w:div w:id="1029263415">
      <w:marLeft w:val="0"/>
      <w:marRight w:val="0"/>
      <w:marTop w:val="0"/>
      <w:marBottom w:val="0"/>
      <w:divBdr>
        <w:top w:val="none" w:sz="0" w:space="0" w:color="auto"/>
        <w:left w:val="none" w:sz="0" w:space="0" w:color="auto"/>
        <w:bottom w:val="none" w:sz="0" w:space="0" w:color="auto"/>
        <w:right w:val="none" w:sz="0" w:space="0" w:color="auto"/>
      </w:divBdr>
    </w:div>
    <w:div w:id="1061904875">
      <w:marLeft w:val="0"/>
      <w:marRight w:val="0"/>
      <w:marTop w:val="0"/>
      <w:marBottom w:val="0"/>
      <w:divBdr>
        <w:top w:val="none" w:sz="0" w:space="0" w:color="auto"/>
        <w:left w:val="none" w:sz="0" w:space="0" w:color="auto"/>
        <w:bottom w:val="none" w:sz="0" w:space="0" w:color="auto"/>
        <w:right w:val="none" w:sz="0" w:space="0" w:color="auto"/>
      </w:divBdr>
    </w:div>
    <w:div w:id="1074426203">
      <w:marLeft w:val="0"/>
      <w:marRight w:val="0"/>
      <w:marTop w:val="0"/>
      <w:marBottom w:val="0"/>
      <w:divBdr>
        <w:top w:val="none" w:sz="0" w:space="0" w:color="auto"/>
        <w:left w:val="none" w:sz="0" w:space="0" w:color="auto"/>
        <w:bottom w:val="none" w:sz="0" w:space="0" w:color="auto"/>
        <w:right w:val="none" w:sz="0" w:space="0" w:color="auto"/>
      </w:divBdr>
    </w:div>
    <w:div w:id="1087770497">
      <w:marLeft w:val="0"/>
      <w:marRight w:val="0"/>
      <w:marTop w:val="0"/>
      <w:marBottom w:val="0"/>
      <w:divBdr>
        <w:top w:val="none" w:sz="0" w:space="0" w:color="auto"/>
        <w:left w:val="none" w:sz="0" w:space="0" w:color="auto"/>
        <w:bottom w:val="none" w:sz="0" w:space="0" w:color="auto"/>
        <w:right w:val="none" w:sz="0" w:space="0" w:color="auto"/>
      </w:divBdr>
    </w:div>
    <w:div w:id="1106729205">
      <w:marLeft w:val="0"/>
      <w:marRight w:val="0"/>
      <w:marTop w:val="0"/>
      <w:marBottom w:val="0"/>
      <w:divBdr>
        <w:top w:val="none" w:sz="0" w:space="0" w:color="auto"/>
        <w:left w:val="none" w:sz="0" w:space="0" w:color="auto"/>
        <w:bottom w:val="none" w:sz="0" w:space="0" w:color="auto"/>
        <w:right w:val="none" w:sz="0" w:space="0" w:color="auto"/>
      </w:divBdr>
    </w:div>
    <w:div w:id="1135220940">
      <w:marLeft w:val="0"/>
      <w:marRight w:val="0"/>
      <w:marTop w:val="0"/>
      <w:marBottom w:val="0"/>
      <w:divBdr>
        <w:top w:val="none" w:sz="0" w:space="0" w:color="auto"/>
        <w:left w:val="none" w:sz="0" w:space="0" w:color="auto"/>
        <w:bottom w:val="none" w:sz="0" w:space="0" w:color="auto"/>
        <w:right w:val="none" w:sz="0" w:space="0" w:color="auto"/>
      </w:divBdr>
    </w:div>
    <w:div w:id="1142772429">
      <w:marLeft w:val="0"/>
      <w:marRight w:val="0"/>
      <w:marTop w:val="0"/>
      <w:marBottom w:val="0"/>
      <w:divBdr>
        <w:top w:val="none" w:sz="0" w:space="0" w:color="auto"/>
        <w:left w:val="none" w:sz="0" w:space="0" w:color="auto"/>
        <w:bottom w:val="none" w:sz="0" w:space="0" w:color="auto"/>
        <w:right w:val="none" w:sz="0" w:space="0" w:color="auto"/>
      </w:divBdr>
    </w:div>
    <w:div w:id="1187479415">
      <w:marLeft w:val="0"/>
      <w:marRight w:val="0"/>
      <w:marTop w:val="0"/>
      <w:marBottom w:val="0"/>
      <w:divBdr>
        <w:top w:val="none" w:sz="0" w:space="0" w:color="auto"/>
        <w:left w:val="none" w:sz="0" w:space="0" w:color="auto"/>
        <w:bottom w:val="none" w:sz="0" w:space="0" w:color="auto"/>
        <w:right w:val="none" w:sz="0" w:space="0" w:color="auto"/>
      </w:divBdr>
    </w:div>
    <w:div w:id="1222013201">
      <w:marLeft w:val="0"/>
      <w:marRight w:val="0"/>
      <w:marTop w:val="0"/>
      <w:marBottom w:val="0"/>
      <w:divBdr>
        <w:top w:val="none" w:sz="0" w:space="0" w:color="auto"/>
        <w:left w:val="none" w:sz="0" w:space="0" w:color="auto"/>
        <w:bottom w:val="none" w:sz="0" w:space="0" w:color="auto"/>
        <w:right w:val="none" w:sz="0" w:space="0" w:color="auto"/>
      </w:divBdr>
    </w:div>
    <w:div w:id="1241594493">
      <w:marLeft w:val="0"/>
      <w:marRight w:val="0"/>
      <w:marTop w:val="0"/>
      <w:marBottom w:val="0"/>
      <w:divBdr>
        <w:top w:val="none" w:sz="0" w:space="0" w:color="auto"/>
        <w:left w:val="none" w:sz="0" w:space="0" w:color="auto"/>
        <w:bottom w:val="none" w:sz="0" w:space="0" w:color="auto"/>
        <w:right w:val="none" w:sz="0" w:space="0" w:color="auto"/>
      </w:divBdr>
    </w:div>
    <w:div w:id="1278951621">
      <w:marLeft w:val="0"/>
      <w:marRight w:val="0"/>
      <w:marTop w:val="0"/>
      <w:marBottom w:val="0"/>
      <w:divBdr>
        <w:top w:val="none" w:sz="0" w:space="0" w:color="auto"/>
        <w:left w:val="none" w:sz="0" w:space="0" w:color="auto"/>
        <w:bottom w:val="none" w:sz="0" w:space="0" w:color="auto"/>
        <w:right w:val="none" w:sz="0" w:space="0" w:color="auto"/>
      </w:divBdr>
    </w:div>
    <w:div w:id="1287082943">
      <w:marLeft w:val="0"/>
      <w:marRight w:val="0"/>
      <w:marTop w:val="0"/>
      <w:marBottom w:val="0"/>
      <w:divBdr>
        <w:top w:val="none" w:sz="0" w:space="0" w:color="auto"/>
        <w:left w:val="none" w:sz="0" w:space="0" w:color="auto"/>
        <w:bottom w:val="none" w:sz="0" w:space="0" w:color="auto"/>
        <w:right w:val="none" w:sz="0" w:space="0" w:color="auto"/>
      </w:divBdr>
    </w:div>
    <w:div w:id="1306591896">
      <w:marLeft w:val="0"/>
      <w:marRight w:val="0"/>
      <w:marTop w:val="0"/>
      <w:marBottom w:val="0"/>
      <w:divBdr>
        <w:top w:val="none" w:sz="0" w:space="0" w:color="auto"/>
        <w:left w:val="none" w:sz="0" w:space="0" w:color="auto"/>
        <w:bottom w:val="none" w:sz="0" w:space="0" w:color="auto"/>
        <w:right w:val="none" w:sz="0" w:space="0" w:color="auto"/>
      </w:divBdr>
    </w:div>
    <w:div w:id="1320891629">
      <w:marLeft w:val="0"/>
      <w:marRight w:val="0"/>
      <w:marTop w:val="0"/>
      <w:marBottom w:val="0"/>
      <w:divBdr>
        <w:top w:val="none" w:sz="0" w:space="0" w:color="auto"/>
        <w:left w:val="none" w:sz="0" w:space="0" w:color="auto"/>
        <w:bottom w:val="none" w:sz="0" w:space="0" w:color="auto"/>
        <w:right w:val="none" w:sz="0" w:space="0" w:color="auto"/>
      </w:divBdr>
    </w:div>
    <w:div w:id="1360467254">
      <w:marLeft w:val="0"/>
      <w:marRight w:val="0"/>
      <w:marTop w:val="0"/>
      <w:marBottom w:val="0"/>
      <w:divBdr>
        <w:top w:val="none" w:sz="0" w:space="0" w:color="auto"/>
        <w:left w:val="none" w:sz="0" w:space="0" w:color="auto"/>
        <w:bottom w:val="none" w:sz="0" w:space="0" w:color="auto"/>
        <w:right w:val="none" w:sz="0" w:space="0" w:color="auto"/>
      </w:divBdr>
    </w:div>
    <w:div w:id="1392802536">
      <w:marLeft w:val="0"/>
      <w:marRight w:val="0"/>
      <w:marTop w:val="0"/>
      <w:marBottom w:val="0"/>
      <w:divBdr>
        <w:top w:val="none" w:sz="0" w:space="0" w:color="auto"/>
        <w:left w:val="none" w:sz="0" w:space="0" w:color="auto"/>
        <w:bottom w:val="none" w:sz="0" w:space="0" w:color="auto"/>
        <w:right w:val="none" w:sz="0" w:space="0" w:color="auto"/>
      </w:divBdr>
    </w:div>
    <w:div w:id="1441991794">
      <w:marLeft w:val="0"/>
      <w:marRight w:val="0"/>
      <w:marTop w:val="0"/>
      <w:marBottom w:val="0"/>
      <w:divBdr>
        <w:top w:val="none" w:sz="0" w:space="0" w:color="auto"/>
        <w:left w:val="none" w:sz="0" w:space="0" w:color="auto"/>
        <w:bottom w:val="none" w:sz="0" w:space="0" w:color="auto"/>
        <w:right w:val="none" w:sz="0" w:space="0" w:color="auto"/>
      </w:divBdr>
    </w:div>
    <w:div w:id="1617060279">
      <w:marLeft w:val="0"/>
      <w:marRight w:val="0"/>
      <w:marTop w:val="0"/>
      <w:marBottom w:val="0"/>
      <w:divBdr>
        <w:top w:val="none" w:sz="0" w:space="0" w:color="auto"/>
        <w:left w:val="none" w:sz="0" w:space="0" w:color="auto"/>
        <w:bottom w:val="none" w:sz="0" w:space="0" w:color="auto"/>
        <w:right w:val="none" w:sz="0" w:space="0" w:color="auto"/>
      </w:divBdr>
    </w:div>
    <w:div w:id="1637374241">
      <w:marLeft w:val="0"/>
      <w:marRight w:val="0"/>
      <w:marTop w:val="0"/>
      <w:marBottom w:val="0"/>
      <w:divBdr>
        <w:top w:val="none" w:sz="0" w:space="0" w:color="auto"/>
        <w:left w:val="none" w:sz="0" w:space="0" w:color="auto"/>
        <w:bottom w:val="none" w:sz="0" w:space="0" w:color="auto"/>
        <w:right w:val="none" w:sz="0" w:space="0" w:color="auto"/>
      </w:divBdr>
    </w:div>
    <w:div w:id="1641838843">
      <w:marLeft w:val="0"/>
      <w:marRight w:val="0"/>
      <w:marTop w:val="0"/>
      <w:marBottom w:val="0"/>
      <w:divBdr>
        <w:top w:val="none" w:sz="0" w:space="0" w:color="auto"/>
        <w:left w:val="none" w:sz="0" w:space="0" w:color="auto"/>
        <w:bottom w:val="none" w:sz="0" w:space="0" w:color="auto"/>
        <w:right w:val="none" w:sz="0" w:space="0" w:color="auto"/>
      </w:divBdr>
    </w:div>
    <w:div w:id="1658879838">
      <w:marLeft w:val="0"/>
      <w:marRight w:val="0"/>
      <w:marTop w:val="0"/>
      <w:marBottom w:val="0"/>
      <w:divBdr>
        <w:top w:val="none" w:sz="0" w:space="0" w:color="auto"/>
        <w:left w:val="none" w:sz="0" w:space="0" w:color="auto"/>
        <w:bottom w:val="none" w:sz="0" w:space="0" w:color="auto"/>
        <w:right w:val="none" w:sz="0" w:space="0" w:color="auto"/>
      </w:divBdr>
    </w:div>
    <w:div w:id="1692030745">
      <w:marLeft w:val="0"/>
      <w:marRight w:val="0"/>
      <w:marTop w:val="0"/>
      <w:marBottom w:val="0"/>
      <w:divBdr>
        <w:top w:val="none" w:sz="0" w:space="0" w:color="auto"/>
        <w:left w:val="none" w:sz="0" w:space="0" w:color="auto"/>
        <w:bottom w:val="none" w:sz="0" w:space="0" w:color="auto"/>
        <w:right w:val="none" w:sz="0" w:space="0" w:color="auto"/>
      </w:divBdr>
    </w:div>
    <w:div w:id="1704792889">
      <w:marLeft w:val="0"/>
      <w:marRight w:val="0"/>
      <w:marTop w:val="0"/>
      <w:marBottom w:val="0"/>
      <w:divBdr>
        <w:top w:val="none" w:sz="0" w:space="0" w:color="auto"/>
        <w:left w:val="none" w:sz="0" w:space="0" w:color="auto"/>
        <w:bottom w:val="none" w:sz="0" w:space="0" w:color="auto"/>
        <w:right w:val="none" w:sz="0" w:space="0" w:color="auto"/>
      </w:divBdr>
    </w:div>
    <w:div w:id="1706950969">
      <w:marLeft w:val="0"/>
      <w:marRight w:val="0"/>
      <w:marTop w:val="0"/>
      <w:marBottom w:val="0"/>
      <w:divBdr>
        <w:top w:val="none" w:sz="0" w:space="0" w:color="auto"/>
        <w:left w:val="none" w:sz="0" w:space="0" w:color="auto"/>
        <w:bottom w:val="none" w:sz="0" w:space="0" w:color="auto"/>
        <w:right w:val="none" w:sz="0" w:space="0" w:color="auto"/>
      </w:divBdr>
    </w:div>
    <w:div w:id="1719277384">
      <w:marLeft w:val="0"/>
      <w:marRight w:val="0"/>
      <w:marTop w:val="0"/>
      <w:marBottom w:val="0"/>
      <w:divBdr>
        <w:top w:val="none" w:sz="0" w:space="0" w:color="auto"/>
        <w:left w:val="none" w:sz="0" w:space="0" w:color="auto"/>
        <w:bottom w:val="none" w:sz="0" w:space="0" w:color="auto"/>
        <w:right w:val="none" w:sz="0" w:space="0" w:color="auto"/>
      </w:divBdr>
    </w:div>
    <w:div w:id="1722943577">
      <w:marLeft w:val="0"/>
      <w:marRight w:val="0"/>
      <w:marTop w:val="0"/>
      <w:marBottom w:val="0"/>
      <w:divBdr>
        <w:top w:val="none" w:sz="0" w:space="0" w:color="auto"/>
        <w:left w:val="none" w:sz="0" w:space="0" w:color="auto"/>
        <w:bottom w:val="none" w:sz="0" w:space="0" w:color="auto"/>
        <w:right w:val="none" w:sz="0" w:space="0" w:color="auto"/>
      </w:divBdr>
    </w:div>
    <w:div w:id="1756704322">
      <w:marLeft w:val="0"/>
      <w:marRight w:val="0"/>
      <w:marTop w:val="0"/>
      <w:marBottom w:val="0"/>
      <w:divBdr>
        <w:top w:val="none" w:sz="0" w:space="0" w:color="auto"/>
        <w:left w:val="none" w:sz="0" w:space="0" w:color="auto"/>
        <w:bottom w:val="none" w:sz="0" w:space="0" w:color="auto"/>
        <w:right w:val="none" w:sz="0" w:space="0" w:color="auto"/>
      </w:divBdr>
    </w:div>
    <w:div w:id="1766878305">
      <w:marLeft w:val="0"/>
      <w:marRight w:val="0"/>
      <w:marTop w:val="0"/>
      <w:marBottom w:val="0"/>
      <w:divBdr>
        <w:top w:val="none" w:sz="0" w:space="0" w:color="auto"/>
        <w:left w:val="none" w:sz="0" w:space="0" w:color="auto"/>
        <w:bottom w:val="none" w:sz="0" w:space="0" w:color="auto"/>
        <w:right w:val="none" w:sz="0" w:space="0" w:color="auto"/>
      </w:divBdr>
    </w:div>
    <w:div w:id="1770275733">
      <w:marLeft w:val="0"/>
      <w:marRight w:val="0"/>
      <w:marTop w:val="0"/>
      <w:marBottom w:val="0"/>
      <w:divBdr>
        <w:top w:val="none" w:sz="0" w:space="0" w:color="auto"/>
        <w:left w:val="none" w:sz="0" w:space="0" w:color="auto"/>
        <w:bottom w:val="none" w:sz="0" w:space="0" w:color="auto"/>
        <w:right w:val="none" w:sz="0" w:space="0" w:color="auto"/>
      </w:divBdr>
    </w:div>
    <w:div w:id="1772815814">
      <w:marLeft w:val="0"/>
      <w:marRight w:val="0"/>
      <w:marTop w:val="0"/>
      <w:marBottom w:val="0"/>
      <w:divBdr>
        <w:top w:val="none" w:sz="0" w:space="0" w:color="auto"/>
        <w:left w:val="none" w:sz="0" w:space="0" w:color="auto"/>
        <w:bottom w:val="none" w:sz="0" w:space="0" w:color="auto"/>
        <w:right w:val="none" w:sz="0" w:space="0" w:color="auto"/>
      </w:divBdr>
    </w:div>
    <w:div w:id="1822229130">
      <w:marLeft w:val="0"/>
      <w:marRight w:val="0"/>
      <w:marTop w:val="0"/>
      <w:marBottom w:val="0"/>
      <w:divBdr>
        <w:top w:val="none" w:sz="0" w:space="0" w:color="auto"/>
        <w:left w:val="none" w:sz="0" w:space="0" w:color="auto"/>
        <w:bottom w:val="none" w:sz="0" w:space="0" w:color="auto"/>
        <w:right w:val="none" w:sz="0" w:space="0" w:color="auto"/>
      </w:divBdr>
    </w:div>
    <w:div w:id="1830706735">
      <w:marLeft w:val="0"/>
      <w:marRight w:val="0"/>
      <w:marTop w:val="0"/>
      <w:marBottom w:val="0"/>
      <w:divBdr>
        <w:top w:val="none" w:sz="0" w:space="0" w:color="auto"/>
        <w:left w:val="none" w:sz="0" w:space="0" w:color="auto"/>
        <w:bottom w:val="none" w:sz="0" w:space="0" w:color="auto"/>
        <w:right w:val="none" w:sz="0" w:space="0" w:color="auto"/>
      </w:divBdr>
    </w:div>
    <w:div w:id="1836720600">
      <w:marLeft w:val="0"/>
      <w:marRight w:val="0"/>
      <w:marTop w:val="0"/>
      <w:marBottom w:val="0"/>
      <w:divBdr>
        <w:top w:val="none" w:sz="0" w:space="0" w:color="auto"/>
        <w:left w:val="none" w:sz="0" w:space="0" w:color="auto"/>
        <w:bottom w:val="none" w:sz="0" w:space="0" w:color="auto"/>
        <w:right w:val="none" w:sz="0" w:space="0" w:color="auto"/>
      </w:divBdr>
    </w:div>
    <w:div w:id="1838962932">
      <w:marLeft w:val="0"/>
      <w:marRight w:val="0"/>
      <w:marTop w:val="0"/>
      <w:marBottom w:val="0"/>
      <w:divBdr>
        <w:top w:val="none" w:sz="0" w:space="0" w:color="auto"/>
        <w:left w:val="none" w:sz="0" w:space="0" w:color="auto"/>
        <w:bottom w:val="none" w:sz="0" w:space="0" w:color="auto"/>
        <w:right w:val="none" w:sz="0" w:space="0" w:color="auto"/>
      </w:divBdr>
    </w:div>
    <w:div w:id="1869833575">
      <w:marLeft w:val="0"/>
      <w:marRight w:val="0"/>
      <w:marTop w:val="0"/>
      <w:marBottom w:val="0"/>
      <w:divBdr>
        <w:top w:val="none" w:sz="0" w:space="0" w:color="auto"/>
        <w:left w:val="none" w:sz="0" w:space="0" w:color="auto"/>
        <w:bottom w:val="none" w:sz="0" w:space="0" w:color="auto"/>
        <w:right w:val="none" w:sz="0" w:space="0" w:color="auto"/>
      </w:divBdr>
    </w:div>
    <w:div w:id="1911385082">
      <w:marLeft w:val="0"/>
      <w:marRight w:val="0"/>
      <w:marTop w:val="0"/>
      <w:marBottom w:val="0"/>
      <w:divBdr>
        <w:top w:val="none" w:sz="0" w:space="0" w:color="auto"/>
        <w:left w:val="none" w:sz="0" w:space="0" w:color="auto"/>
        <w:bottom w:val="none" w:sz="0" w:space="0" w:color="auto"/>
        <w:right w:val="none" w:sz="0" w:space="0" w:color="auto"/>
      </w:divBdr>
    </w:div>
    <w:div w:id="1969697487">
      <w:marLeft w:val="0"/>
      <w:marRight w:val="0"/>
      <w:marTop w:val="0"/>
      <w:marBottom w:val="0"/>
      <w:divBdr>
        <w:top w:val="none" w:sz="0" w:space="0" w:color="auto"/>
        <w:left w:val="none" w:sz="0" w:space="0" w:color="auto"/>
        <w:bottom w:val="none" w:sz="0" w:space="0" w:color="auto"/>
        <w:right w:val="none" w:sz="0" w:space="0" w:color="auto"/>
      </w:divBdr>
    </w:div>
    <w:div w:id="2007437174">
      <w:marLeft w:val="0"/>
      <w:marRight w:val="0"/>
      <w:marTop w:val="0"/>
      <w:marBottom w:val="0"/>
      <w:divBdr>
        <w:top w:val="none" w:sz="0" w:space="0" w:color="auto"/>
        <w:left w:val="none" w:sz="0" w:space="0" w:color="auto"/>
        <w:bottom w:val="none" w:sz="0" w:space="0" w:color="auto"/>
        <w:right w:val="none" w:sz="0" w:space="0" w:color="auto"/>
      </w:divBdr>
    </w:div>
    <w:div w:id="2009407995">
      <w:marLeft w:val="0"/>
      <w:marRight w:val="0"/>
      <w:marTop w:val="0"/>
      <w:marBottom w:val="0"/>
      <w:divBdr>
        <w:top w:val="none" w:sz="0" w:space="0" w:color="auto"/>
        <w:left w:val="none" w:sz="0" w:space="0" w:color="auto"/>
        <w:bottom w:val="none" w:sz="0" w:space="0" w:color="auto"/>
        <w:right w:val="none" w:sz="0" w:space="0" w:color="auto"/>
      </w:divBdr>
    </w:div>
    <w:div w:id="2009942146">
      <w:marLeft w:val="0"/>
      <w:marRight w:val="0"/>
      <w:marTop w:val="0"/>
      <w:marBottom w:val="0"/>
      <w:divBdr>
        <w:top w:val="none" w:sz="0" w:space="0" w:color="auto"/>
        <w:left w:val="none" w:sz="0" w:space="0" w:color="auto"/>
        <w:bottom w:val="none" w:sz="0" w:space="0" w:color="auto"/>
        <w:right w:val="none" w:sz="0" w:space="0" w:color="auto"/>
      </w:divBdr>
    </w:div>
    <w:div w:id="2023433437">
      <w:marLeft w:val="0"/>
      <w:marRight w:val="0"/>
      <w:marTop w:val="0"/>
      <w:marBottom w:val="0"/>
      <w:divBdr>
        <w:top w:val="none" w:sz="0" w:space="0" w:color="auto"/>
        <w:left w:val="none" w:sz="0" w:space="0" w:color="auto"/>
        <w:bottom w:val="none" w:sz="0" w:space="0" w:color="auto"/>
        <w:right w:val="none" w:sz="0" w:space="0" w:color="auto"/>
      </w:divBdr>
    </w:div>
    <w:div w:id="2045865200">
      <w:marLeft w:val="0"/>
      <w:marRight w:val="0"/>
      <w:marTop w:val="0"/>
      <w:marBottom w:val="0"/>
      <w:divBdr>
        <w:top w:val="none" w:sz="0" w:space="0" w:color="auto"/>
        <w:left w:val="none" w:sz="0" w:space="0" w:color="auto"/>
        <w:bottom w:val="none" w:sz="0" w:space="0" w:color="auto"/>
        <w:right w:val="none" w:sz="0" w:space="0" w:color="auto"/>
      </w:divBdr>
    </w:div>
    <w:div w:id="2045904555">
      <w:marLeft w:val="0"/>
      <w:marRight w:val="0"/>
      <w:marTop w:val="0"/>
      <w:marBottom w:val="0"/>
      <w:divBdr>
        <w:top w:val="none" w:sz="0" w:space="0" w:color="auto"/>
        <w:left w:val="none" w:sz="0" w:space="0" w:color="auto"/>
        <w:bottom w:val="none" w:sz="0" w:space="0" w:color="auto"/>
        <w:right w:val="none" w:sz="0" w:space="0" w:color="auto"/>
      </w:divBdr>
    </w:div>
    <w:div w:id="2077773387">
      <w:marLeft w:val="0"/>
      <w:marRight w:val="0"/>
      <w:marTop w:val="0"/>
      <w:marBottom w:val="0"/>
      <w:divBdr>
        <w:top w:val="none" w:sz="0" w:space="0" w:color="auto"/>
        <w:left w:val="none" w:sz="0" w:space="0" w:color="auto"/>
        <w:bottom w:val="none" w:sz="0" w:space="0" w:color="auto"/>
        <w:right w:val="none" w:sz="0" w:space="0" w:color="auto"/>
      </w:divBdr>
    </w:div>
    <w:div w:id="2081246826">
      <w:marLeft w:val="0"/>
      <w:marRight w:val="0"/>
      <w:marTop w:val="0"/>
      <w:marBottom w:val="0"/>
      <w:divBdr>
        <w:top w:val="none" w:sz="0" w:space="0" w:color="auto"/>
        <w:left w:val="none" w:sz="0" w:space="0" w:color="auto"/>
        <w:bottom w:val="none" w:sz="0" w:space="0" w:color="auto"/>
        <w:right w:val="none" w:sz="0" w:space="0" w:color="auto"/>
      </w:divBdr>
    </w:div>
    <w:div w:id="208810828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6769</Words>
  <Characters>37234</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dc:creator>
  <cp:keywords/>
  <dc:description/>
  <cp:lastModifiedBy>Leopoldo</cp:lastModifiedBy>
  <cp:revision>2</cp:revision>
  <dcterms:created xsi:type="dcterms:W3CDTF">2018-09-21T23:27:00Z</dcterms:created>
  <dcterms:modified xsi:type="dcterms:W3CDTF">2018-09-21T23:27:00Z</dcterms:modified>
</cp:coreProperties>
</file>