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A35AB">
      <w:pPr>
        <w:pStyle w:val="NormalWeb"/>
      </w:pPr>
      <w:bookmarkStart w:id="0" w:name="_GoBack"/>
      <w:bookmarkEnd w:id="0"/>
      <w:r>
        <w:rPr>
          <w:b/>
          <w:bCs/>
        </w:rPr>
        <w:t>Suplemento del Registro Oficial No. 76 , 11 de Septiembre 2017</w:t>
      </w:r>
    </w:p>
    <w:p w:rsidR="00000000" w:rsidRDefault="00AA35AB">
      <w:pPr>
        <w:pStyle w:val="NormalWeb"/>
      </w:pPr>
      <w:r>
        <w:rPr>
          <w:b/>
          <w:bCs/>
        </w:rPr>
        <w:t>Normativa:</w:t>
      </w:r>
      <w:r>
        <w:t xml:space="preserve"> Vigente</w:t>
      </w:r>
    </w:p>
    <w:p w:rsidR="00000000" w:rsidRDefault="00AA35AB">
      <w:pPr>
        <w:jc w:val="center"/>
        <w:rPr>
          <w:rFonts w:eastAsia="Times New Roman"/>
          <w:sz w:val="27"/>
          <w:szCs w:val="27"/>
        </w:rPr>
      </w:pPr>
      <w:r>
        <w:rPr>
          <w:rFonts w:eastAsia="Times New Roman"/>
          <w:b/>
          <w:bCs/>
          <w:sz w:val="27"/>
          <w:szCs w:val="27"/>
        </w:rPr>
        <w:br/>
      </w:r>
      <w:r>
        <w:rPr>
          <w:rFonts w:eastAsia="Times New Roman"/>
          <w:b/>
          <w:bCs/>
          <w:sz w:val="27"/>
          <w:szCs w:val="27"/>
        </w:rPr>
        <w:br/>
      </w:r>
      <w:r>
        <w:rPr>
          <w:rFonts w:eastAsia="Times New Roman"/>
          <w:b/>
          <w:bCs/>
          <w:sz w:val="27"/>
          <w:szCs w:val="27"/>
        </w:rPr>
        <w:t>DECRETO No. 135</w:t>
      </w:r>
      <w:r>
        <w:rPr>
          <w:rFonts w:eastAsia="Times New Roman"/>
          <w:b/>
          <w:bCs/>
          <w:sz w:val="27"/>
          <w:szCs w:val="27"/>
        </w:rPr>
        <w:br/>
        <w:t>(EXPÍDENSE LAS NORMAS DE OPTIMIZACIÓN Y AUSTERIDAD DEL GASTO PÚBLICO)</w:t>
      </w:r>
    </w:p>
    <w:p w:rsidR="00000000" w:rsidRDefault="00AA35AB">
      <w:pPr>
        <w:divId w:val="430974057"/>
        <w:rPr>
          <w:rFonts w:eastAsia="Times New Roman"/>
          <w:sz w:val="22"/>
          <w:szCs w:val="22"/>
        </w:rPr>
      </w:pPr>
      <w:r>
        <w:rPr>
          <w:rFonts w:eastAsia="Times New Roman"/>
          <w:sz w:val="22"/>
          <w:szCs w:val="22"/>
        </w:rPr>
        <w:br/>
      </w:r>
      <w:r>
        <w:rPr>
          <w:rFonts w:eastAsia="Times New Roman"/>
          <w:sz w:val="22"/>
          <w:szCs w:val="22"/>
        </w:rPr>
        <w:br/>
        <w:t>Lenín Moreno Garcés</w:t>
      </w:r>
      <w:r>
        <w:rPr>
          <w:rFonts w:eastAsia="Times New Roman"/>
          <w:sz w:val="22"/>
          <w:szCs w:val="22"/>
        </w:rPr>
        <w:br/>
        <w:t>PRESIDENTE CONSTITUCIONAL DE LA REPÚBLICA</w:t>
      </w:r>
      <w:r>
        <w:rPr>
          <w:rFonts w:eastAsia="Times New Roman"/>
          <w:sz w:val="22"/>
          <w:szCs w:val="22"/>
        </w:rPr>
        <w:br/>
      </w:r>
      <w:r>
        <w:rPr>
          <w:rFonts w:eastAsia="Times New Roman"/>
          <w:sz w:val="22"/>
          <w:szCs w:val="22"/>
        </w:rPr>
        <w:br/>
      </w:r>
      <w:r>
        <w:rPr>
          <w:rFonts w:eastAsia="Times New Roman"/>
          <w:b/>
          <w:bCs/>
          <w:sz w:val="22"/>
          <w:szCs w:val="22"/>
        </w:rPr>
        <w:t>Considerando:</w:t>
      </w:r>
      <w:r>
        <w:rPr>
          <w:rFonts w:eastAsia="Times New Roman"/>
          <w:sz w:val="22"/>
          <w:szCs w:val="22"/>
        </w:rPr>
        <w:br/>
      </w:r>
      <w:r>
        <w:rPr>
          <w:rFonts w:eastAsia="Times New Roman"/>
          <w:sz w:val="22"/>
          <w:szCs w:val="22"/>
        </w:rPr>
        <w:br/>
      </w:r>
      <w:r>
        <w:rPr>
          <w:rFonts w:eastAsia="Times New Roman"/>
          <w:sz w:val="22"/>
          <w:szCs w:val="22"/>
        </w:rPr>
        <w:t>Que, el preámbulo de la Constitución de la República del Ecuador determina que es voluntad del pueblo soberano del Ecuador, construir una nueva forma de convivencia ciudadana para alcanzar el buen vivir, el sumak kawsay; una sociedad que respeta la dignida</w:t>
      </w:r>
      <w:r>
        <w:rPr>
          <w:rFonts w:eastAsia="Times New Roman"/>
          <w:sz w:val="22"/>
          <w:szCs w:val="22"/>
        </w:rPr>
        <w:t>d de las personas y las colectividades;</w:t>
      </w:r>
      <w:r>
        <w:rPr>
          <w:rFonts w:eastAsia="Times New Roman"/>
          <w:sz w:val="22"/>
          <w:szCs w:val="22"/>
        </w:rPr>
        <w:br/>
      </w:r>
      <w:r>
        <w:rPr>
          <w:rFonts w:eastAsia="Times New Roman"/>
          <w:sz w:val="22"/>
          <w:szCs w:val="22"/>
        </w:rPr>
        <w:br/>
        <w:t>Que, el artículo 83 de la Constitución de la República, al establecer los deberes y responsabilidades de las ecuatorianas y de los ecuatorianos, preceptúa como parte de éstos, el promover el bien común y anteponer e</w:t>
      </w:r>
      <w:r>
        <w:rPr>
          <w:rFonts w:eastAsia="Times New Roman"/>
          <w:sz w:val="22"/>
          <w:szCs w:val="22"/>
        </w:rPr>
        <w:t>l interés general al interés particular, administrar honradamente y con apego irrestricto a la ley el patrimonio público, asumir las funciones públicas como un servicio a la colectividad y rendir cuentas a la sociedad y a la autoridad, conservar el patrimo</w:t>
      </w:r>
      <w:r>
        <w:rPr>
          <w:rFonts w:eastAsia="Times New Roman"/>
          <w:sz w:val="22"/>
          <w:szCs w:val="22"/>
        </w:rPr>
        <w:t>nio cultural y natural del país y cuidar y mantener los bienes públicos, participar en la vida política, cívica y comunitaria del país de manera honesta y transparente. Deberes y responsabilidades que deben observarse también en la relación entre la ciudad</w:t>
      </w:r>
      <w:r>
        <w:rPr>
          <w:rFonts w:eastAsia="Times New Roman"/>
          <w:sz w:val="22"/>
          <w:szCs w:val="22"/>
        </w:rPr>
        <w:t>anía y el Estado para la administración de las finanzas públicas;</w:t>
      </w:r>
      <w:r>
        <w:rPr>
          <w:rFonts w:eastAsia="Times New Roman"/>
          <w:sz w:val="22"/>
          <w:szCs w:val="22"/>
        </w:rPr>
        <w:br/>
      </w:r>
      <w:r>
        <w:rPr>
          <w:rFonts w:eastAsia="Times New Roman"/>
          <w:sz w:val="22"/>
          <w:szCs w:val="22"/>
        </w:rPr>
        <w:br/>
        <w:t>Que, el número 4 del artículo 261 de la Constitución de la República del Ecuador dispone que el Estado Central tenga competencias exclusivas sobre la planificación nacional;</w:t>
      </w:r>
      <w:r>
        <w:rPr>
          <w:rFonts w:eastAsia="Times New Roman"/>
          <w:sz w:val="22"/>
          <w:szCs w:val="22"/>
        </w:rPr>
        <w:br/>
      </w:r>
      <w:r>
        <w:rPr>
          <w:rFonts w:eastAsia="Times New Roman"/>
          <w:sz w:val="22"/>
          <w:szCs w:val="22"/>
        </w:rPr>
        <w:br/>
        <w:t>Que, de confor</w:t>
      </w:r>
      <w:r>
        <w:rPr>
          <w:rFonts w:eastAsia="Times New Roman"/>
          <w:sz w:val="22"/>
          <w:szCs w:val="22"/>
        </w:rPr>
        <w:t>midad con el artículo 284 de la Constitución de la República del Ecuador, la política económica tendrá; entre otros, el objetivo de asegurar una adecuada distribución del ingreso y de la riqueza nacional;</w:t>
      </w:r>
      <w:r>
        <w:rPr>
          <w:rFonts w:eastAsia="Times New Roman"/>
          <w:sz w:val="22"/>
          <w:szCs w:val="22"/>
        </w:rPr>
        <w:br/>
      </w:r>
      <w:r>
        <w:rPr>
          <w:rFonts w:eastAsia="Times New Roman"/>
          <w:sz w:val="22"/>
          <w:szCs w:val="22"/>
        </w:rPr>
        <w:br/>
        <w:t>Que, el artículo 285 de la Constitución de la Repú</w:t>
      </w:r>
      <w:r>
        <w:rPr>
          <w:rFonts w:eastAsia="Times New Roman"/>
          <w:sz w:val="22"/>
          <w:szCs w:val="22"/>
        </w:rPr>
        <w:t>blica establece como objetivos específicos de la política fiscal el financiamiento de servicios, inversión y bienes públicos, la redistribución del ingreso por medio de transferencias, tributos y subsidios adecuados, la generación de incentivos para la inv</w:t>
      </w:r>
      <w:r>
        <w:rPr>
          <w:rFonts w:eastAsia="Times New Roman"/>
          <w:sz w:val="22"/>
          <w:szCs w:val="22"/>
        </w:rPr>
        <w:t>ersión en los diferentes sectores de la economía y para la producción de bienes y servicios, socialmente deseables y ambientalmente aceptables;</w:t>
      </w:r>
      <w:r>
        <w:rPr>
          <w:rFonts w:eastAsia="Times New Roman"/>
          <w:sz w:val="22"/>
          <w:szCs w:val="22"/>
        </w:rPr>
        <w:br/>
      </w:r>
      <w:r>
        <w:rPr>
          <w:rFonts w:eastAsia="Times New Roman"/>
          <w:sz w:val="22"/>
          <w:szCs w:val="22"/>
        </w:rPr>
        <w:br/>
        <w:t>Que, la Constitución de la República del Ecuador respecto del manejo de las finanzas públicas establece en su a</w:t>
      </w:r>
      <w:r>
        <w:rPr>
          <w:rFonts w:eastAsia="Times New Roman"/>
          <w:sz w:val="22"/>
          <w:szCs w:val="22"/>
        </w:rPr>
        <w:t xml:space="preserve">rtículo 286: </w:t>
      </w:r>
      <w:r>
        <w:rPr>
          <w:rFonts w:eastAsia="Times New Roman"/>
          <w:i/>
          <w:iCs/>
          <w:sz w:val="22"/>
          <w:szCs w:val="22"/>
        </w:rPr>
        <w:t xml:space="preserve">"Las finanzas públicas, en todos los niveles de gobierno, se conducirán deforma sostenible, responsable y transparente y procurarán la estabilidad económica (...) </w:t>
      </w:r>
      <w:r>
        <w:rPr>
          <w:rFonts w:eastAsia="Times New Roman"/>
          <w:sz w:val="22"/>
          <w:szCs w:val="22"/>
        </w:rPr>
        <w:t>";</w:t>
      </w:r>
      <w:r>
        <w:rPr>
          <w:rFonts w:eastAsia="Times New Roman"/>
          <w:sz w:val="22"/>
          <w:szCs w:val="22"/>
        </w:rPr>
        <w:br/>
      </w:r>
      <w:r>
        <w:rPr>
          <w:rFonts w:eastAsia="Times New Roman"/>
          <w:sz w:val="22"/>
          <w:szCs w:val="22"/>
        </w:rPr>
        <w:br/>
        <w:t xml:space="preserve">Que, el artículo 292 de la Constitución de la República dispone: </w:t>
      </w:r>
      <w:r>
        <w:rPr>
          <w:rFonts w:eastAsia="Times New Roman"/>
          <w:i/>
          <w:iCs/>
          <w:sz w:val="22"/>
          <w:szCs w:val="22"/>
        </w:rPr>
        <w:t>"El Presupu</w:t>
      </w:r>
      <w:r>
        <w:rPr>
          <w:rFonts w:eastAsia="Times New Roman"/>
          <w:i/>
          <w:iCs/>
          <w:sz w:val="22"/>
          <w:szCs w:val="22"/>
        </w:rPr>
        <w:t>esto General del Estado es el instrumento para la determinación y gestión de los ingresos y egresos del Estado, e incluye todos los ingresos y egresos del sector público, con excepción de los pertenecientes a la seguridad social, la banca pública, las empr</w:t>
      </w:r>
      <w:r>
        <w:rPr>
          <w:rFonts w:eastAsia="Times New Roman"/>
          <w:i/>
          <w:iCs/>
          <w:sz w:val="22"/>
          <w:szCs w:val="22"/>
        </w:rPr>
        <w:t xml:space="preserve">esas públicas y los gobiernos autónomos </w:t>
      </w:r>
      <w:r>
        <w:rPr>
          <w:rFonts w:eastAsia="Times New Roman"/>
          <w:i/>
          <w:iCs/>
          <w:sz w:val="22"/>
          <w:szCs w:val="22"/>
        </w:rPr>
        <w:lastRenderedPageBreak/>
        <w:t>descentralizados";</w:t>
      </w:r>
      <w:r>
        <w:rPr>
          <w:rFonts w:eastAsia="Times New Roman"/>
          <w:sz w:val="22"/>
          <w:szCs w:val="22"/>
        </w:rPr>
        <w:br/>
      </w:r>
      <w:r>
        <w:rPr>
          <w:rFonts w:eastAsia="Times New Roman"/>
          <w:sz w:val="22"/>
          <w:szCs w:val="22"/>
        </w:rPr>
        <w:br/>
        <w:t>Que, el artículo 293 de la Constitución de la República del Ecuador establece que la formulación y ejecución del Presupuesto General del Estado se sujetarán al Plan Nacional de Desarrollo;</w:t>
      </w:r>
      <w:r>
        <w:rPr>
          <w:rFonts w:eastAsia="Times New Roman"/>
          <w:sz w:val="22"/>
          <w:szCs w:val="22"/>
        </w:rPr>
        <w:br/>
      </w:r>
      <w:r>
        <w:rPr>
          <w:rFonts w:eastAsia="Times New Roman"/>
          <w:sz w:val="22"/>
          <w:szCs w:val="22"/>
        </w:rPr>
        <w:br/>
        <w:t>Que, e</w:t>
      </w:r>
      <w:r>
        <w:rPr>
          <w:rFonts w:eastAsia="Times New Roman"/>
          <w:sz w:val="22"/>
          <w:szCs w:val="22"/>
        </w:rPr>
        <w:t>l artículo 342 de la Constitución de la República determina que el Estado asignará de manera prioritaria y equitativa, los recursos suficientes, oportunos y permanentes para el funcionamiento y gestión del sistema; y,</w:t>
      </w:r>
      <w:r>
        <w:rPr>
          <w:rFonts w:eastAsia="Times New Roman"/>
          <w:sz w:val="22"/>
          <w:szCs w:val="22"/>
        </w:rPr>
        <w:br/>
      </w:r>
      <w:r>
        <w:rPr>
          <w:rFonts w:eastAsia="Times New Roman"/>
          <w:sz w:val="22"/>
          <w:szCs w:val="22"/>
        </w:rPr>
        <w:br/>
        <w:t xml:space="preserve">Que, los artículos 71 y 74 numerales </w:t>
      </w:r>
      <w:r>
        <w:rPr>
          <w:rFonts w:eastAsia="Times New Roman"/>
          <w:sz w:val="22"/>
          <w:szCs w:val="22"/>
        </w:rPr>
        <w:t>6 y 11 del Código Orgánico de Planificación y Finanzas Públicas establecen que la rectoría del Sistema Nacional de Finanzas Públicas (SINFIP) corresponde al Presidente de la República quien la ejercerá a través del Ministerio a cargo de la economía y finan</w:t>
      </w:r>
      <w:r>
        <w:rPr>
          <w:rFonts w:eastAsia="Times New Roman"/>
          <w:sz w:val="22"/>
          <w:szCs w:val="22"/>
        </w:rPr>
        <w:t>zas públicas; determinando como unas de las atribuciones del Ministro el dictar las normas, manuales, instructivos, directrices, clasificadores, catálogos, glosarios y otros instrumentos de cumplimiento obligatorio por parte de las entidades del sector púb</w:t>
      </w:r>
      <w:r>
        <w:rPr>
          <w:rFonts w:eastAsia="Times New Roman"/>
          <w:sz w:val="22"/>
          <w:szCs w:val="22"/>
        </w:rPr>
        <w:t>lico para el diseño, implantación y funcionamiento del SINFIP y sus componentes; y dictar de manera privativa las políticas, normas y directrices respecto a los gastos permanentes y su gestión del Presupuesto General del Estado;</w:t>
      </w:r>
      <w:r>
        <w:rPr>
          <w:rFonts w:eastAsia="Times New Roman"/>
          <w:sz w:val="22"/>
          <w:szCs w:val="22"/>
        </w:rPr>
        <w:br/>
      </w:r>
      <w:r>
        <w:rPr>
          <w:rFonts w:eastAsia="Times New Roman"/>
          <w:sz w:val="22"/>
          <w:szCs w:val="22"/>
        </w:rPr>
        <w:br/>
        <w:t>Que, es necesario establec</w:t>
      </w:r>
      <w:r>
        <w:rPr>
          <w:rFonts w:eastAsia="Times New Roman"/>
          <w:sz w:val="22"/>
          <w:szCs w:val="22"/>
        </w:rPr>
        <w:t>er las normas y disposiciones necesarias en relación al ahorro y austeridad en el gasto de la administración pública para una correcta y eficiente ejecución del recurso público; y,</w:t>
      </w:r>
      <w:r>
        <w:rPr>
          <w:rFonts w:eastAsia="Times New Roman"/>
          <w:sz w:val="22"/>
          <w:szCs w:val="22"/>
        </w:rPr>
        <w:br/>
      </w:r>
      <w:r>
        <w:rPr>
          <w:rFonts w:eastAsia="Times New Roman"/>
          <w:sz w:val="22"/>
          <w:szCs w:val="22"/>
        </w:rPr>
        <w:br/>
        <w:t>En ejercicio de las atribuciones que le confieren los números 3 y 5 del ar</w:t>
      </w:r>
      <w:r>
        <w:rPr>
          <w:rFonts w:eastAsia="Times New Roman"/>
          <w:sz w:val="22"/>
          <w:szCs w:val="22"/>
        </w:rPr>
        <w:t>tículo 147 de la Constitución de la República del Ecuador;</w:t>
      </w:r>
      <w:r>
        <w:rPr>
          <w:rFonts w:eastAsia="Times New Roman"/>
          <w:sz w:val="22"/>
          <w:szCs w:val="22"/>
        </w:rPr>
        <w:br/>
      </w:r>
      <w:r>
        <w:rPr>
          <w:rFonts w:eastAsia="Times New Roman"/>
          <w:sz w:val="22"/>
          <w:szCs w:val="22"/>
        </w:rPr>
        <w:br/>
      </w:r>
      <w:r>
        <w:rPr>
          <w:rFonts w:eastAsia="Times New Roman"/>
          <w:b/>
          <w:bCs/>
          <w:sz w:val="22"/>
          <w:szCs w:val="22"/>
        </w:rPr>
        <w:t>Decreta:</w:t>
      </w:r>
      <w:r>
        <w:rPr>
          <w:rFonts w:eastAsia="Times New Roman"/>
          <w:sz w:val="22"/>
          <w:szCs w:val="22"/>
        </w:rPr>
        <w:br/>
      </w:r>
      <w:r>
        <w:rPr>
          <w:rFonts w:eastAsia="Times New Roman"/>
          <w:sz w:val="22"/>
          <w:szCs w:val="22"/>
        </w:rPr>
        <w:br/>
      </w:r>
      <w:r>
        <w:rPr>
          <w:rFonts w:eastAsia="Times New Roman"/>
          <w:b/>
          <w:bCs/>
          <w:sz w:val="22"/>
          <w:szCs w:val="22"/>
        </w:rPr>
        <w:t>LAS NORMAS DE OPTIMIZACIÓN Y AUSTERIDAD DEL GASTO PÚBLICO</w:t>
      </w:r>
    </w:p>
    <w:p w:rsidR="00000000" w:rsidRDefault="00AA35AB">
      <w:pPr>
        <w:divId w:val="1616980361"/>
        <w:rPr>
          <w:rFonts w:eastAsia="Times New Roman"/>
          <w:sz w:val="22"/>
          <w:szCs w:val="22"/>
        </w:rPr>
      </w:pPr>
      <w:r>
        <w:rPr>
          <w:rFonts w:eastAsia="Times New Roman"/>
          <w:sz w:val="22"/>
          <w:szCs w:val="22"/>
        </w:rPr>
        <w:t>Art. 1.-</w:t>
      </w:r>
      <w:r>
        <w:rPr>
          <w:rFonts w:eastAsia="Times New Roman"/>
          <w:b/>
          <w:bCs/>
          <w:sz w:val="22"/>
          <w:szCs w:val="22"/>
        </w:rPr>
        <w:t xml:space="preserve"> Ámbito de aplicación.- </w:t>
      </w:r>
      <w:r>
        <w:rPr>
          <w:rFonts w:eastAsia="Times New Roman"/>
          <w:sz w:val="22"/>
          <w:szCs w:val="22"/>
        </w:rPr>
        <w:t>Las disposiciones del presente decreto, en lo correspondiente a gasto permanente, son de aplicac</w:t>
      </w:r>
      <w:r>
        <w:rPr>
          <w:rFonts w:eastAsia="Times New Roman"/>
          <w:sz w:val="22"/>
          <w:szCs w:val="22"/>
        </w:rPr>
        <w:t>ión obligatoria para todas las instituciones descritas en el artículo 225 de la Constitución de la República del Ecuador, incluidas las Empresas Públicas de la Función Ejecutiva, con excepción de las entidades que integran el régimen autónomo descentraliza</w:t>
      </w:r>
      <w:r>
        <w:rPr>
          <w:rFonts w:eastAsia="Times New Roman"/>
          <w:sz w:val="22"/>
          <w:szCs w:val="22"/>
        </w:rPr>
        <w:t>do y las personas jurídicas creadas por acto normativo de los gobiernos autónomos descentralizados para la prestación de servicios públicos.</w:t>
      </w:r>
      <w:r>
        <w:rPr>
          <w:rFonts w:eastAsia="Times New Roman"/>
          <w:sz w:val="22"/>
          <w:szCs w:val="22"/>
        </w:rPr>
        <w:br/>
      </w:r>
      <w:r>
        <w:rPr>
          <w:rFonts w:eastAsia="Times New Roman"/>
          <w:sz w:val="22"/>
          <w:szCs w:val="22"/>
        </w:rPr>
        <w:br/>
        <w:t>En materia de gasto no permanente, las disposiciones del presente decreto son de aplicación obligatoria para todas</w:t>
      </w:r>
      <w:r>
        <w:rPr>
          <w:rFonts w:eastAsia="Times New Roman"/>
          <w:sz w:val="22"/>
          <w:szCs w:val="22"/>
        </w:rPr>
        <w:t xml:space="preserve"> las instituciones descritas en el artículo 225 de la Constitución de la República del Ecuador, incluidas las Empresas Públicas de la Función Ejecutiva, con excepción de las Funciones Legislativa, Judicial, Electoral y de Transparencia y Control Social, y </w:t>
      </w:r>
      <w:r>
        <w:rPr>
          <w:rFonts w:eastAsia="Times New Roman"/>
          <w:sz w:val="22"/>
          <w:szCs w:val="22"/>
        </w:rPr>
        <w:t>de las entidades que integran el régimen autónomo descentralizado y las personas jurídicas creadas por acto normativo de los gobiernos autónomos descentralizados para la prestación de servicios públicos.</w:t>
      </w:r>
      <w:r>
        <w:rPr>
          <w:rFonts w:eastAsia="Times New Roman"/>
          <w:sz w:val="22"/>
          <w:szCs w:val="22"/>
        </w:rPr>
        <w:br/>
      </w:r>
      <w:r>
        <w:rPr>
          <w:rFonts w:eastAsia="Times New Roman"/>
          <w:sz w:val="22"/>
          <w:szCs w:val="22"/>
        </w:rPr>
        <w:br/>
        <w:t>No obstante lo expuesto, se exhorta a las máximas a</w:t>
      </w:r>
      <w:r>
        <w:rPr>
          <w:rFonts w:eastAsia="Times New Roman"/>
          <w:sz w:val="22"/>
          <w:szCs w:val="22"/>
        </w:rPr>
        <w:t>utoridades de todas las entidades públicas, no contempladas en dicho ámbito procurar la aplicación de estas disposiciones.</w:t>
      </w:r>
    </w:p>
    <w:p w:rsidR="00000000" w:rsidRDefault="00AA35AB">
      <w:pPr>
        <w:divId w:val="2097246650"/>
        <w:rPr>
          <w:rFonts w:eastAsia="Times New Roman"/>
          <w:sz w:val="22"/>
          <w:szCs w:val="22"/>
        </w:rPr>
      </w:pPr>
      <w:r>
        <w:rPr>
          <w:rFonts w:eastAsia="Times New Roman"/>
          <w:sz w:val="22"/>
          <w:szCs w:val="22"/>
        </w:rPr>
        <w:t>Art. 2.-</w:t>
      </w:r>
      <w:r>
        <w:rPr>
          <w:rFonts w:eastAsia="Times New Roman"/>
          <w:b/>
          <w:bCs/>
          <w:sz w:val="22"/>
          <w:szCs w:val="22"/>
        </w:rPr>
        <w:t xml:space="preserve"> Responsabilidad de los representantes de las instituciones del Estado.- </w:t>
      </w:r>
      <w:r>
        <w:rPr>
          <w:rFonts w:eastAsia="Times New Roman"/>
          <w:sz w:val="22"/>
          <w:szCs w:val="22"/>
        </w:rPr>
        <w:t>Los representantes de todas las instituciones del Es</w:t>
      </w:r>
      <w:r>
        <w:rPr>
          <w:rFonts w:eastAsia="Times New Roman"/>
          <w:sz w:val="22"/>
          <w:szCs w:val="22"/>
        </w:rPr>
        <w:t>tado contempladas en el artículo primero y el personal a cargo de las unidades administrativas, financieras y de talento humano, serán responsables de la aplicación de las disposiciones contenidas en el presente decreto, en sus respectivas entidades.</w:t>
      </w:r>
    </w:p>
    <w:p w:rsidR="00000000" w:rsidRDefault="00AA35AB">
      <w:pPr>
        <w:jc w:val="center"/>
        <w:rPr>
          <w:rFonts w:eastAsia="Times New Roman"/>
        </w:rPr>
      </w:pPr>
      <w:r>
        <w:rPr>
          <w:rFonts w:eastAsia="Times New Roman"/>
          <w:b/>
          <w:bCs/>
        </w:rPr>
        <w:br/>
        <w:t>Secc</w:t>
      </w:r>
      <w:r>
        <w:rPr>
          <w:rFonts w:eastAsia="Times New Roman"/>
          <w:b/>
          <w:bCs/>
        </w:rPr>
        <w:t>ión I</w:t>
      </w:r>
      <w:r>
        <w:rPr>
          <w:rFonts w:eastAsia="Times New Roman"/>
          <w:b/>
          <w:bCs/>
        </w:rPr>
        <w:br/>
        <w:t>GASTOS EN PERSONAL</w:t>
      </w:r>
    </w:p>
    <w:p w:rsidR="00000000" w:rsidRDefault="00AA35AB">
      <w:pPr>
        <w:divId w:val="86316873"/>
        <w:rPr>
          <w:rFonts w:eastAsia="Times New Roman"/>
          <w:sz w:val="22"/>
          <w:szCs w:val="22"/>
        </w:rPr>
      </w:pPr>
      <w:r>
        <w:rPr>
          <w:rFonts w:eastAsia="Times New Roman"/>
          <w:sz w:val="22"/>
          <w:szCs w:val="22"/>
        </w:rPr>
        <w:lastRenderedPageBreak/>
        <w:t>Art. 3.-</w:t>
      </w:r>
      <w:r>
        <w:rPr>
          <w:rFonts w:eastAsia="Times New Roman"/>
          <w:b/>
          <w:bCs/>
          <w:sz w:val="22"/>
          <w:szCs w:val="22"/>
        </w:rPr>
        <w:t xml:space="preserve"> Unificación de escala remunerativa.- </w:t>
      </w:r>
      <w:r>
        <w:rPr>
          <w:rFonts w:eastAsia="Times New Roman"/>
          <w:sz w:val="22"/>
          <w:szCs w:val="22"/>
        </w:rPr>
        <w:t xml:space="preserve">La escala remunerativa del personal de apoyo de las empresas y banca pública amparadas en las Leyes Orgánicas del Servicio Público y de Empresas Públicas, será unificada de conformidad </w:t>
      </w:r>
      <w:r>
        <w:rPr>
          <w:rFonts w:eastAsia="Times New Roman"/>
          <w:sz w:val="22"/>
          <w:szCs w:val="22"/>
        </w:rPr>
        <w:t xml:space="preserve">con la Escala de Remuneraciones Mensuales del Sector Público, con base a la descripción y perfiles de puestos contemplados en los manuales de descripción, valoración y clasificación de puestos, establecidos por la Empresa Coordinadora de Empresas Públicas </w:t>
      </w:r>
      <w:r>
        <w:rPr>
          <w:rFonts w:eastAsia="Times New Roman"/>
          <w:sz w:val="22"/>
          <w:szCs w:val="22"/>
        </w:rPr>
        <w:t>EMCO EP y el Ministerio del Trabajo, de manera coordinada.</w:t>
      </w:r>
    </w:p>
    <w:p w:rsidR="00000000" w:rsidRDefault="00AA35AB">
      <w:pPr>
        <w:divId w:val="1375736228"/>
        <w:rPr>
          <w:rFonts w:eastAsia="Times New Roman"/>
          <w:sz w:val="22"/>
          <w:szCs w:val="22"/>
        </w:rPr>
      </w:pPr>
      <w:r>
        <w:rPr>
          <w:rFonts w:eastAsia="Times New Roman"/>
          <w:sz w:val="22"/>
          <w:szCs w:val="22"/>
        </w:rPr>
        <w:t>Art. 4.-</w:t>
      </w:r>
      <w:r>
        <w:rPr>
          <w:rFonts w:eastAsia="Times New Roman"/>
          <w:b/>
          <w:bCs/>
          <w:sz w:val="22"/>
          <w:szCs w:val="22"/>
        </w:rPr>
        <w:t xml:space="preserve"> Remuneraciones mensuales unificadas.- </w:t>
      </w:r>
      <w:r>
        <w:rPr>
          <w:rFonts w:eastAsia="Times New Roman"/>
          <w:sz w:val="22"/>
          <w:szCs w:val="22"/>
        </w:rPr>
        <w:t>Las remuneraciones mensuales unificadas que superen la remuneración del grado 2 del nivel jerárquico superior se reajustarán en un 10% en menos a part</w:t>
      </w:r>
      <w:r>
        <w:rPr>
          <w:rFonts w:eastAsia="Times New Roman"/>
          <w:sz w:val="22"/>
          <w:szCs w:val="22"/>
        </w:rPr>
        <w:t>ir del 1 de septiembre de 2017. En ningún caso, los grados sujetos a ajuste tendrán una diferencia respecto al grado inmediato inferior no menor de 50 dólares. Se exceptúa de esta disposición a los directores y gerentes de hospitales, centros o unidades de</w:t>
      </w:r>
      <w:r>
        <w:rPr>
          <w:rFonts w:eastAsia="Times New Roman"/>
          <w:sz w:val="22"/>
          <w:szCs w:val="22"/>
        </w:rPr>
        <w:t xml:space="preserve"> salud, director/rector 4 y miembros activos de las Fuerzas Armadas, Policía Nacional y Comisión de Tránsito del Ecuador.</w:t>
      </w:r>
      <w:r>
        <w:rPr>
          <w:rFonts w:eastAsia="Times New Roman"/>
          <w:sz w:val="22"/>
          <w:szCs w:val="22"/>
        </w:rPr>
        <w:br/>
      </w:r>
      <w:r>
        <w:rPr>
          <w:rFonts w:eastAsia="Times New Roman"/>
          <w:sz w:val="22"/>
          <w:szCs w:val="22"/>
        </w:rPr>
        <w:br/>
        <w:t>El Ministerio del Trabajo procederá a reestructurar dichas escalas. Esta disposición incluye las empresas públicas y las institucione</w:t>
      </w:r>
      <w:r>
        <w:rPr>
          <w:rFonts w:eastAsia="Times New Roman"/>
          <w:sz w:val="22"/>
          <w:szCs w:val="22"/>
        </w:rPr>
        <w:t>s que conforman la banca pública.</w:t>
      </w:r>
      <w:r>
        <w:rPr>
          <w:rFonts w:eastAsia="Times New Roman"/>
          <w:sz w:val="22"/>
          <w:szCs w:val="22"/>
        </w:rPr>
        <w:br/>
      </w:r>
      <w:r>
        <w:rPr>
          <w:rFonts w:eastAsia="Times New Roman"/>
          <w:sz w:val="22"/>
          <w:szCs w:val="22"/>
        </w:rPr>
        <w:br/>
        <w:t>Los servidores públicos de nombramiento regular que a la fecha reciban una remuneración mensual unificada superior al grado 2 mantendrán su remuneración actual bajo criterio de sobrevaloración.</w:t>
      </w:r>
    </w:p>
    <w:p w:rsidR="00000000" w:rsidRDefault="00AA35AB">
      <w:pPr>
        <w:divId w:val="1423407845"/>
        <w:rPr>
          <w:rFonts w:eastAsia="Times New Roman"/>
          <w:sz w:val="22"/>
          <w:szCs w:val="22"/>
        </w:rPr>
      </w:pPr>
      <w:r>
        <w:rPr>
          <w:rFonts w:eastAsia="Times New Roman"/>
          <w:sz w:val="22"/>
          <w:szCs w:val="22"/>
        </w:rPr>
        <w:t>Art. 5.-</w:t>
      </w:r>
      <w:r>
        <w:rPr>
          <w:rFonts w:eastAsia="Times New Roman"/>
          <w:b/>
          <w:bCs/>
          <w:sz w:val="22"/>
          <w:szCs w:val="22"/>
        </w:rPr>
        <w:t xml:space="preserve"> Pago de remuneraci</w:t>
      </w:r>
      <w:r>
        <w:rPr>
          <w:rFonts w:eastAsia="Times New Roman"/>
          <w:b/>
          <w:bCs/>
          <w:sz w:val="22"/>
          <w:szCs w:val="22"/>
        </w:rPr>
        <w:t xml:space="preserve">ón variable por eficiencia.- </w:t>
      </w:r>
      <w:r>
        <w:rPr>
          <w:rFonts w:eastAsia="Times New Roman"/>
          <w:sz w:val="22"/>
          <w:szCs w:val="22"/>
        </w:rPr>
        <w:t>Se suspende el pago de la remuneración variable por eficiencia para los ejercicios fiscales 2017 y 2018.</w:t>
      </w:r>
    </w:p>
    <w:p w:rsidR="00000000" w:rsidRDefault="00AA35AB">
      <w:pPr>
        <w:divId w:val="1468818543"/>
        <w:rPr>
          <w:rFonts w:eastAsia="Times New Roman"/>
          <w:sz w:val="22"/>
          <w:szCs w:val="22"/>
        </w:rPr>
      </w:pPr>
      <w:r>
        <w:rPr>
          <w:rFonts w:eastAsia="Times New Roman"/>
          <w:sz w:val="22"/>
          <w:szCs w:val="22"/>
        </w:rPr>
        <w:t>Art. 6.-</w:t>
      </w:r>
      <w:r>
        <w:rPr>
          <w:rFonts w:eastAsia="Times New Roman"/>
          <w:b/>
          <w:bCs/>
          <w:sz w:val="22"/>
          <w:szCs w:val="22"/>
        </w:rPr>
        <w:t xml:space="preserve"> Vacantes.- </w:t>
      </w:r>
      <w:r>
        <w:rPr>
          <w:rFonts w:eastAsia="Times New Roman"/>
          <w:sz w:val="22"/>
          <w:szCs w:val="22"/>
        </w:rPr>
        <w:t xml:space="preserve">Se eliminan las vacantes de todas las instituciones del Estado contempladas en el ámbito del presente </w:t>
      </w:r>
      <w:r>
        <w:rPr>
          <w:rFonts w:eastAsia="Times New Roman"/>
          <w:sz w:val="22"/>
          <w:szCs w:val="22"/>
        </w:rPr>
        <w:t>decreto, salvo las que previo informe técnico del Ministerio del Trabajo se determine su estricta necesidad de permanencia en el distributivo de remuneraciones institucional, hasta el 29 de septiembre de 2017.</w:t>
      </w:r>
    </w:p>
    <w:p w:rsidR="00000000" w:rsidRDefault="00AA35AB">
      <w:pPr>
        <w:divId w:val="241793872"/>
        <w:rPr>
          <w:rFonts w:eastAsia="Times New Roman"/>
          <w:sz w:val="22"/>
          <w:szCs w:val="22"/>
        </w:rPr>
      </w:pPr>
      <w:r>
        <w:rPr>
          <w:rFonts w:eastAsia="Times New Roman"/>
          <w:sz w:val="22"/>
          <w:szCs w:val="22"/>
        </w:rPr>
        <w:t>Art. 7.-</w:t>
      </w:r>
      <w:r>
        <w:rPr>
          <w:rFonts w:eastAsia="Times New Roman"/>
          <w:b/>
          <w:bCs/>
          <w:sz w:val="22"/>
          <w:szCs w:val="22"/>
        </w:rPr>
        <w:t xml:space="preserve"> Personal de apoyo.- </w:t>
      </w:r>
      <w:r>
        <w:rPr>
          <w:rFonts w:eastAsia="Times New Roman"/>
          <w:sz w:val="22"/>
          <w:szCs w:val="22"/>
        </w:rPr>
        <w:t>Las Unidades de G</w:t>
      </w:r>
      <w:r>
        <w:rPr>
          <w:rFonts w:eastAsia="Times New Roman"/>
          <w:sz w:val="22"/>
          <w:szCs w:val="22"/>
        </w:rPr>
        <w:t xml:space="preserve">estión del Talento Humano de todas las instituciones del Estado contempladas en el artículo primero del presente decreto crearán un banco de servidores a disposición del Ministerio del Trabajo con el personal de las áreas de apoyo y asesoría que exceda la </w:t>
      </w:r>
      <w:r>
        <w:rPr>
          <w:rFonts w:eastAsia="Times New Roman"/>
          <w:sz w:val="22"/>
          <w:szCs w:val="22"/>
        </w:rPr>
        <w:t>regulación 70/30 (70% procesos generadores de valor agregado o sustantivo y 30% procesos habilitantes de apoyo y asesoría o adjetivos); el cual conformará el personal que puede ser reasignado para cumplir tareas en otras entidades del ámbito de este decret</w:t>
      </w:r>
      <w:r>
        <w:rPr>
          <w:rFonts w:eastAsia="Times New Roman"/>
          <w:sz w:val="22"/>
          <w:szCs w:val="22"/>
        </w:rPr>
        <w:t>o. No podrá contratarse nuevo personal de apoyo mientras exista personal que pueda ser reasignado de otras entidades. El Ministerio del Trabajo emitirá el instructivo necesario para la aplicación del presente artículo.</w:t>
      </w:r>
      <w:r>
        <w:rPr>
          <w:rFonts w:eastAsia="Times New Roman"/>
          <w:sz w:val="22"/>
          <w:szCs w:val="22"/>
        </w:rPr>
        <w:br/>
      </w:r>
      <w:r>
        <w:rPr>
          <w:rFonts w:eastAsia="Times New Roman"/>
          <w:sz w:val="22"/>
          <w:szCs w:val="22"/>
        </w:rPr>
        <w:br/>
        <w:t>El Ministerio del Trabajo evaluará l</w:t>
      </w:r>
      <w:r>
        <w:rPr>
          <w:rFonts w:eastAsia="Times New Roman"/>
          <w:sz w:val="22"/>
          <w:szCs w:val="22"/>
        </w:rPr>
        <w:t>a pertinencia de continuar utilizando los puestos estratégicos en las instituciones públicas del Presupuesto General del Estado, para lo cual emitirá las normas que hagan operativa esta disposición, en un plazo no mayor a treinta días laborales.</w:t>
      </w:r>
    </w:p>
    <w:p w:rsidR="00000000" w:rsidRDefault="00AA35AB">
      <w:pPr>
        <w:divId w:val="1278754146"/>
        <w:rPr>
          <w:rFonts w:eastAsia="Times New Roman"/>
          <w:sz w:val="22"/>
          <w:szCs w:val="22"/>
        </w:rPr>
      </w:pPr>
      <w:r>
        <w:rPr>
          <w:rFonts w:eastAsia="Times New Roman"/>
          <w:sz w:val="22"/>
          <w:szCs w:val="22"/>
        </w:rPr>
        <w:t>Art. 8.-</w:t>
      </w:r>
      <w:r>
        <w:rPr>
          <w:rFonts w:eastAsia="Times New Roman"/>
          <w:b/>
          <w:bCs/>
          <w:sz w:val="22"/>
          <w:szCs w:val="22"/>
        </w:rPr>
        <w:t xml:space="preserve"> E</w:t>
      </w:r>
      <w:r>
        <w:rPr>
          <w:rFonts w:eastAsia="Times New Roman"/>
          <w:b/>
          <w:bCs/>
          <w:sz w:val="22"/>
          <w:szCs w:val="22"/>
        </w:rPr>
        <w:t xml:space="preserve">valuación de cargas de trabajo del personal de las empresas públicas Petroecuador </w:t>
      </w:r>
      <w:r>
        <w:rPr>
          <w:rFonts w:eastAsia="Times New Roman"/>
          <w:sz w:val="22"/>
          <w:szCs w:val="22"/>
        </w:rPr>
        <w:t xml:space="preserve">y </w:t>
      </w:r>
      <w:r>
        <w:rPr>
          <w:rFonts w:eastAsia="Times New Roman"/>
          <w:b/>
          <w:bCs/>
          <w:sz w:val="22"/>
          <w:szCs w:val="22"/>
        </w:rPr>
        <w:t xml:space="preserve">Petroamazonas.- </w:t>
      </w:r>
      <w:r>
        <w:rPr>
          <w:rFonts w:eastAsia="Times New Roman"/>
          <w:sz w:val="22"/>
          <w:szCs w:val="22"/>
        </w:rPr>
        <w:t>Las empresas públicas petroleras, con el objetivo de realizar su planificación anual de talento humano, deberán evaluar las cargas óptimas de trabajo de sus</w:t>
      </w:r>
      <w:r>
        <w:rPr>
          <w:rFonts w:eastAsia="Times New Roman"/>
          <w:sz w:val="22"/>
          <w:szCs w:val="22"/>
        </w:rPr>
        <w:t xml:space="preserve"> funcionarios y obreros, en función de las actividades que cumplen. La Empresa Coordinadora de Empresas Públicas EMCO EP y el Ministerio del Trabajo supervisarán la evaluación correspondiente para el año 2017 y planificación del año 2018.</w:t>
      </w:r>
    </w:p>
    <w:p w:rsidR="00000000" w:rsidRDefault="00AA35AB">
      <w:pPr>
        <w:divId w:val="1993561215"/>
        <w:rPr>
          <w:rFonts w:eastAsia="Times New Roman"/>
          <w:sz w:val="22"/>
          <w:szCs w:val="22"/>
        </w:rPr>
      </w:pPr>
      <w:r>
        <w:rPr>
          <w:rFonts w:eastAsia="Times New Roman"/>
          <w:sz w:val="22"/>
          <w:szCs w:val="22"/>
        </w:rPr>
        <w:t>Art. 9.-</w:t>
      </w:r>
      <w:r>
        <w:rPr>
          <w:rFonts w:eastAsia="Times New Roman"/>
          <w:b/>
          <w:bCs/>
          <w:sz w:val="22"/>
          <w:szCs w:val="22"/>
        </w:rPr>
        <w:t xml:space="preserve"> Contrato</w:t>
      </w:r>
      <w:r>
        <w:rPr>
          <w:rFonts w:eastAsia="Times New Roman"/>
          <w:b/>
          <w:bCs/>
          <w:sz w:val="22"/>
          <w:szCs w:val="22"/>
        </w:rPr>
        <w:t xml:space="preserve">s de servicios profesionales y consultorías.- </w:t>
      </w:r>
      <w:r>
        <w:rPr>
          <w:rFonts w:eastAsia="Times New Roman"/>
          <w:sz w:val="22"/>
          <w:szCs w:val="22"/>
        </w:rPr>
        <w:t>La contratación de prestación de servicios profesionales y consultorías por honorarios solo se podrá ejecutar cuando el objeto de la contratación haga referencia a actividades relacionadas con los procesos agre</w:t>
      </w:r>
      <w:r>
        <w:rPr>
          <w:rFonts w:eastAsia="Times New Roman"/>
          <w:sz w:val="22"/>
          <w:szCs w:val="22"/>
        </w:rPr>
        <w:t>gadores de valor de las entidades sujetas al ámbito del presente decreto.</w:t>
      </w:r>
      <w:r>
        <w:rPr>
          <w:rFonts w:eastAsia="Times New Roman"/>
          <w:sz w:val="22"/>
          <w:szCs w:val="22"/>
        </w:rPr>
        <w:br/>
      </w:r>
      <w:r>
        <w:rPr>
          <w:rFonts w:eastAsia="Times New Roman"/>
          <w:sz w:val="22"/>
          <w:szCs w:val="22"/>
        </w:rPr>
        <w:br/>
        <w:t xml:space="preserve">De manera previa a la contratación de consultorías, cualquiera que fuera su objeto, se deberá verificar en el banco de consultorías del sector público, el cual se encuentra a cargo </w:t>
      </w:r>
      <w:r>
        <w:rPr>
          <w:rFonts w:eastAsia="Times New Roman"/>
          <w:sz w:val="22"/>
          <w:szCs w:val="22"/>
        </w:rPr>
        <w:t>del Servicio Nacional de Contratación Pública, para evitar la duplicidad con estudios ya realizados.</w:t>
      </w:r>
      <w:r>
        <w:rPr>
          <w:rFonts w:eastAsia="Times New Roman"/>
          <w:sz w:val="22"/>
          <w:szCs w:val="22"/>
        </w:rPr>
        <w:br/>
      </w:r>
      <w:r>
        <w:rPr>
          <w:rFonts w:eastAsia="Times New Roman"/>
          <w:sz w:val="22"/>
          <w:szCs w:val="22"/>
        </w:rPr>
        <w:br/>
      </w:r>
      <w:r>
        <w:rPr>
          <w:rFonts w:eastAsia="Times New Roman"/>
          <w:sz w:val="22"/>
          <w:szCs w:val="22"/>
        </w:rPr>
        <w:lastRenderedPageBreak/>
        <w:t>De igual forma se restringe la celebración de contratos civiles de servicios profesionales o contratos técnicos especializados sin relación de dependencia</w:t>
      </w:r>
      <w:r>
        <w:rPr>
          <w:rFonts w:eastAsia="Times New Roman"/>
          <w:sz w:val="22"/>
          <w:szCs w:val="22"/>
        </w:rPr>
        <w:t xml:space="preserve"> sujetos a la Ley Orgánica del Servicio Público, a excepción de aquellos casos que justifiquen la imperativa necesidad institucional de contratar, para lo cual se requiere un informe técnico emitido por la Unidad de Gestión de Talento Humano.</w:t>
      </w:r>
    </w:p>
    <w:p w:rsidR="00000000" w:rsidRDefault="00AA35AB">
      <w:pPr>
        <w:divId w:val="653949698"/>
        <w:rPr>
          <w:rFonts w:eastAsia="Times New Roman"/>
          <w:sz w:val="22"/>
          <w:szCs w:val="22"/>
        </w:rPr>
      </w:pPr>
      <w:r>
        <w:rPr>
          <w:rFonts w:eastAsia="Times New Roman"/>
          <w:sz w:val="22"/>
          <w:szCs w:val="22"/>
        </w:rPr>
        <w:t>Art. 10.-</w:t>
      </w:r>
      <w:r>
        <w:rPr>
          <w:rFonts w:eastAsia="Times New Roman"/>
          <w:b/>
          <w:bCs/>
          <w:sz w:val="22"/>
          <w:szCs w:val="22"/>
        </w:rPr>
        <w:t xml:space="preserve"> Rac</w:t>
      </w:r>
      <w:r>
        <w:rPr>
          <w:rFonts w:eastAsia="Times New Roman"/>
          <w:b/>
          <w:bCs/>
          <w:sz w:val="22"/>
          <w:szCs w:val="22"/>
        </w:rPr>
        <w:t xml:space="preserve">ionalización del pago por horas extraordinarias y suplementarias.- </w:t>
      </w:r>
      <w:r>
        <w:rPr>
          <w:rFonts w:eastAsia="Times New Roman"/>
          <w:sz w:val="22"/>
          <w:szCs w:val="22"/>
        </w:rPr>
        <w:t>La planificación de las jornadas suplementarias y extraordinarias del personal de cada institución que se encuentren sujeto a la Ley Orgánica de Servicio Público será autorizada por la máxi</w:t>
      </w:r>
      <w:r>
        <w:rPr>
          <w:rFonts w:eastAsia="Times New Roman"/>
          <w:sz w:val="22"/>
          <w:szCs w:val="22"/>
        </w:rPr>
        <w:t>ma autoridad o su delegado, hasta un monto de 30 horas al mes, entre horas suplementarias y extraordinarias, basada en la debida justificación de la necesidad emitida por el responsable del área; sin perjuicio de lo cual, los servidores deberán cumplir con</w:t>
      </w:r>
      <w:r>
        <w:rPr>
          <w:rFonts w:eastAsia="Times New Roman"/>
          <w:sz w:val="22"/>
          <w:szCs w:val="22"/>
        </w:rPr>
        <w:t xml:space="preserve"> las tareas asignadas dentro de la jornada ordinaria de trabajo.</w:t>
      </w:r>
    </w:p>
    <w:p w:rsidR="00000000" w:rsidRDefault="00AA35AB">
      <w:pPr>
        <w:divId w:val="926378165"/>
        <w:rPr>
          <w:rFonts w:eastAsia="Times New Roman"/>
          <w:sz w:val="22"/>
          <w:szCs w:val="22"/>
        </w:rPr>
      </w:pPr>
      <w:r>
        <w:rPr>
          <w:rFonts w:eastAsia="Times New Roman"/>
          <w:sz w:val="22"/>
          <w:szCs w:val="22"/>
        </w:rPr>
        <w:t xml:space="preserve">Art. 11.- </w:t>
      </w:r>
      <w:r>
        <w:rPr>
          <w:rFonts w:eastAsia="Times New Roman"/>
          <w:b/>
          <w:bCs/>
          <w:sz w:val="22"/>
          <w:szCs w:val="22"/>
        </w:rPr>
        <w:t xml:space="preserve">Licencias con remuneración.- </w:t>
      </w:r>
      <w:r>
        <w:rPr>
          <w:rFonts w:eastAsia="Times New Roman"/>
          <w:sz w:val="22"/>
          <w:szCs w:val="22"/>
        </w:rPr>
        <w:t>El otorgamiento de licencias con remuneración para aquellos servidores públicos que vayan a efectuar estudios de post grado, maestrías o especializacion</w:t>
      </w:r>
      <w:r>
        <w:rPr>
          <w:rFonts w:eastAsia="Times New Roman"/>
          <w:sz w:val="22"/>
          <w:szCs w:val="22"/>
        </w:rPr>
        <w:t>es en la misma ciudad de manera presencial o virtual, deberá ser evaluado en función al interés institucional, el cual contará con el informe favorable del Ministerio del Trabajo, previo informe de la Unidad de Gestión de Talento Humano institucional.</w:t>
      </w:r>
    </w:p>
    <w:p w:rsidR="00000000" w:rsidRDefault="00AA35AB">
      <w:pPr>
        <w:divId w:val="58555489"/>
        <w:rPr>
          <w:rFonts w:eastAsia="Times New Roman"/>
          <w:sz w:val="22"/>
          <w:szCs w:val="22"/>
        </w:rPr>
      </w:pPr>
      <w:r>
        <w:rPr>
          <w:rFonts w:eastAsia="Times New Roman"/>
          <w:sz w:val="22"/>
          <w:szCs w:val="22"/>
        </w:rPr>
        <w:t>Art.</w:t>
      </w:r>
      <w:r>
        <w:rPr>
          <w:rFonts w:eastAsia="Times New Roman"/>
          <w:sz w:val="22"/>
          <w:szCs w:val="22"/>
        </w:rPr>
        <w:t xml:space="preserve"> 12.-</w:t>
      </w:r>
      <w:r>
        <w:rPr>
          <w:rFonts w:eastAsia="Times New Roman"/>
          <w:b/>
          <w:bCs/>
          <w:sz w:val="22"/>
          <w:szCs w:val="22"/>
        </w:rPr>
        <w:t xml:space="preserve"> Depuración institucional.- </w:t>
      </w:r>
      <w:r>
        <w:rPr>
          <w:rFonts w:eastAsia="Times New Roman"/>
          <w:sz w:val="22"/>
          <w:szCs w:val="22"/>
        </w:rPr>
        <w:t>El Ministerio del Trabajo y la Secretaría Nacional de Planificación y Desarrollo, con base al análisis técnico respectivo, identificarán aquellas unidades de las instituciones públicas de la Función Ejecutiva que no generen</w:t>
      </w:r>
      <w:r>
        <w:rPr>
          <w:rFonts w:eastAsia="Times New Roman"/>
          <w:sz w:val="22"/>
          <w:szCs w:val="22"/>
        </w:rPr>
        <w:t xml:space="preserve"> aporte significativo al cumplimiento de su misión institucional, tanto en su funcionamiento como en los productos y servicios que brinden, a fin de proceder a su eliminación.</w:t>
      </w:r>
      <w:r>
        <w:rPr>
          <w:rFonts w:eastAsia="Times New Roman"/>
          <w:sz w:val="22"/>
          <w:szCs w:val="22"/>
        </w:rPr>
        <w:br/>
      </w:r>
      <w:r>
        <w:rPr>
          <w:rFonts w:eastAsia="Times New Roman"/>
          <w:sz w:val="22"/>
          <w:szCs w:val="22"/>
        </w:rPr>
        <w:br/>
      </w:r>
      <w:r>
        <w:rPr>
          <w:rFonts w:eastAsia="Times New Roman"/>
          <w:b/>
          <w:bCs/>
          <w:sz w:val="22"/>
          <w:szCs w:val="22"/>
          <w:u w:val="single"/>
        </w:rPr>
        <w:t>Nota:</w:t>
      </w:r>
      <w:r>
        <w:rPr>
          <w:rFonts w:eastAsia="Times New Roman"/>
          <w:b/>
          <w:bCs/>
          <w:sz w:val="22"/>
          <w:szCs w:val="22"/>
          <w:u w:val="single"/>
        </w:rPr>
        <w:br/>
      </w:r>
      <w:r>
        <w:rPr>
          <w:rFonts w:eastAsia="Times New Roman"/>
          <w:i/>
          <w:iCs/>
          <w:sz w:val="22"/>
          <w:szCs w:val="22"/>
        </w:rPr>
        <w:t>De conformidad con la Disposición General Primera del Acdo. MDT-2017-0160</w:t>
      </w:r>
      <w:r>
        <w:rPr>
          <w:rFonts w:eastAsia="Times New Roman"/>
          <w:i/>
          <w:iCs/>
          <w:sz w:val="22"/>
          <w:szCs w:val="22"/>
        </w:rPr>
        <w:t>, publicado en el Registro Oficial 113, del 6 de noviembre de 2017, se exceptúa de la aplicación del presente artículo a las instituciones pertenecientes al Sistema de Educación Superior; Fuerzas Armadas, Policía Nacional, agentes de tránsito y demás entid</w:t>
      </w:r>
      <w:r>
        <w:rPr>
          <w:rFonts w:eastAsia="Times New Roman"/>
          <w:i/>
          <w:iCs/>
          <w:sz w:val="22"/>
          <w:szCs w:val="22"/>
        </w:rPr>
        <w:t>ades de seguridad ciudadana prescritas en el Código Orgánico de Entidades de Seguridad Ciudadana Orden Público (COESCOP).</w:t>
      </w:r>
    </w:p>
    <w:p w:rsidR="00000000" w:rsidRDefault="00AA35AB">
      <w:pPr>
        <w:divId w:val="821391938"/>
        <w:rPr>
          <w:rFonts w:eastAsia="Times New Roman"/>
          <w:sz w:val="22"/>
          <w:szCs w:val="22"/>
        </w:rPr>
      </w:pPr>
      <w:r>
        <w:rPr>
          <w:rFonts w:eastAsia="Times New Roman"/>
          <w:sz w:val="22"/>
          <w:szCs w:val="22"/>
        </w:rPr>
        <w:t>Art. 13.-</w:t>
      </w:r>
      <w:r>
        <w:rPr>
          <w:rFonts w:eastAsia="Times New Roman"/>
          <w:b/>
          <w:bCs/>
          <w:sz w:val="22"/>
          <w:szCs w:val="22"/>
        </w:rPr>
        <w:t xml:space="preserve"> Racionalización de programas públicos.- </w:t>
      </w:r>
      <w:r>
        <w:rPr>
          <w:rFonts w:eastAsia="Times New Roman"/>
          <w:sz w:val="22"/>
          <w:szCs w:val="22"/>
        </w:rPr>
        <w:t xml:space="preserve">La Secretaría Nacional de Planificación y Desarrollo procederá a la racionalización </w:t>
      </w:r>
      <w:r>
        <w:rPr>
          <w:rFonts w:eastAsia="Times New Roman"/>
          <w:sz w:val="22"/>
          <w:szCs w:val="22"/>
        </w:rPr>
        <w:t>de aquellos programas y proyectos institucionales que no sean eficaces y eficientes e impliquen duplicidad o contraposición con otros similares. Se pondrá especial énfasis en limitar la contratación de personal a través de programas y proyectos de inversió</w:t>
      </w:r>
      <w:r>
        <w:rPr>
          <w:rFonts w:eastAsia="Times New Roman"/>
          <w:sz w:val="22"/>
          <w:szCs w:val="22"/>
        </w:rPr>
        <w:t>n, en ningún caso se procederá a contratar servicios ocasionales para actividades permanentes o de funcionamiento de procesos habilitantes.</w:t>
      </w:r>
    </w:p>
    <w:p w:rsidR="00000000" w:rsidRDefault="00AA35AB">
      <w:pPr>
        <w:jc w:val="center"/>
        <w:rPr>
          <w:rFonts w:eastAsia="Times New Roman"/>
        </w:rPr>
      </w:pPr>
      <w:r>
        <w:rPr>
          <w:rFonts w:eastAsia="Times New Roman"/>
          <w:b/>
          <w:bCs/>
        </w:rPr>
        <w:br/>
        <w:t>Sección II</w:t>
      </w:r>
      <w:r>
        <w:rPr>
          <w:rFonts w:eastAsia="Times New Roman"/>
          <w:b/>
          <w:bCs/>
        </w:rPr>
        <w:br/>
        <w:t>GASTO EN BIENES Y SERVICIOS</w:t>
      </w:r>
    </w:p>
    <w:p w:rsidR="00000000" w:rsidRDefault="00AA35AB">
      <w:pPr>
        <w:divId w:val="1873958253"/>
        <w:rPr>
          <w:rFonts w:eastAsia="Times New Roman"/>
          <w:sz w:val="22"/>
          <w:szCs w:val="22"/>
        </w:rPr>
      </w:pPr>
      <w:r>
        <w:rPr>
          <w:rFonts w:eastAsia="Times New Roman"/>
          <w:sz w:val="22"/>
          <w:szCs w:val="22"/>
        </w:rPr>
        <w:t>Art. 14.-</w:t>
      </w:r>
      <w:r>
        <w:rPr>
          <w:rFonts w:eastAsia="Times New Roman"/>
          <w:b/>
          <w:bCs/>
          <w:sz w:val="22"/>
          <w:szCs w:val="22"/>
        </w:rPr>
        <w:t xml:space="preserve"> Racionalización del pago por viático por gastos de residencia.- </w:t>
      </w:r>
      <w:r>
        <w:rPr>
          <w:rFonts w:eastAsia="Times New Roman"/>
          <w:sz w:val="22"/>
          <w:szCs w:val="22"/>
        </w:rPr>
        <w:t>To</w:t>
      </w:r>
      <w:r>
        <w:rPr>
          <w:rFonts w:eastAsia="Times New Roman"/>
          <w:sz w:val="22"/>
          <w:szCs w:val="22"/>
        </w:rPr>
        <w:t>das las instituciones del Estado contempladas en el artículo primero del presente decreto, deberán priorizar la contratación de personal residente en la localidad donde presten sus servicios. En el caso de que se autorice la vinculación de personal no resi</w:t>
      </w:r>
      <w:r>
        <w:rPr>
          <w:rFonts w:eastAsia="Times New Roman"/>
          <w:sz w:val="22"/>
          <w:szCs w:val="22"/>
        </w:rPr>
        <w:t>dente, no se reconocerá el pago por viático por gastos de residencia, a excepción de la Función Legislativa, de conformidad con la Ley Interpretativa del Artículo 3 de la Ley Orgánica del Servicio Público.</w:t>
      </w:r>
      <w:r>
        <w:rPr>
          <w:rFonts w:eastAsia="Times New Roman"/>
          <w:sz w:val="22"/>
          <w:szCs w:val="22"/>
        </w:rPr>
        <w:br/>
      </w:r>
      <w:r>
        <w:rPr>
          <w:rFonts w:eastAsia="Times New Roman"/>
          <w:sz w:val="22"/>
          <w:szCs w:val="22"/>
        </w:rPr>
        <w:br/>
        <w:t>El Ministerio del Trabajo revisará la normativa v</w:t>
      </w:r>
      <w:r>
        <w:rPr>
          <w:rFonts w:eastAsia="Times New Roman"/>
          <w:sz w:val="22"/>
          <w:szCs w:val="22"/>
        </w:rPr>
        <w:t>igente que regula el pago del viático por gastos de residencia a los servidores públicos a fin de que incorpore mecanismos de control que garantice el pago óptimo de este beneficio, en un plazo no mayor de 30 días.</w:t>
      </w:r>
    </w:p>
    <w:p w:rsidR="00000000" w:rsidRDefault="00AA35AB">
      <w:pPr>
        <w:divId w:val="1577663176"/>
        <w:rPr>
          <w:rFonts w:eastAsia="Times New Roman"/>
          <w:sz w:val="22"/>
          <w:szCs w:val="22"/>
        </w:rPr>
      </w:pPr>
      <w:r>
        <w:rPr>
          <w:rFonts w:eastAsia="Times New Roman"/>
          <w:sz w:val="22"/>
          <w:szCs w:val="22"/>
        </w:rPr>
        <w:t>Art. 15.-</w:t>
      </w:r>
      <w:r>
        <w:rPr>
          <w:rFonts w:eastAsia="Times New Roman"/>
          <w:b/>
          <w:bCs/>
          <w:sz w:val="22"/>
          <w:szCs w:val="22"/>
        </w:rPr>
        <w:t xml:space="preserve"> Viajes al exterior.-</w:t>
      </w:r>
      <w:r>
        <w:rPr>
          <w:rFonts w:eastAsia="Times New Roman"/>
          <w:sz w:val="22"/>
          <w:szCs w:val="22"/>
        </w:rPr>
        <w:t>Los</w:t>
      </w:r>
      <w:r>
        <w:rPr>
          <w:rFonts w:eastAsia="Times New Roman"/>
          <w:b/>
          <w:bCs/>
          <w:sz w:val="22"/>
          <w:szCs w:val="22"/>
        </w:rPr>
        <w:t xml:space="preserve"> </w:t>
      </w:r>
      <w:r>
        <w:rPr>
          <w:rFonts w:eastAsia="Times New Roman"/>
          <w:sz w:val="22"/>
          <w:szCs w:val="22"/>
        </w:rPr>
        <w:t xml:space="preserve">viajes </w:t>
      </w:r>
      <w:r>
        <w:rPr>
          <w:rFonts w:eastAsia="Times New Roman"/>
          <w:sz w:val="22"/>
          <w:szCs w:val="22"/>
        </w:rPr>
        <w:t>al exterior de los servidores públicos de la Función Ejecutiva cuyo objetivo sea la participación en eventos oficiales y en representación de la institución o del Estado, serán previamente calificados y autorizados por la Secretaría General de la Presidenc</w:t>
      </w:r>
      <w:r>
        <w:rPr>
          <w:rFonts w:eastAsia="Times New Roman"/>
          <w:sz w:val="22"/>
          <w:szCs w:val="22"/>
        </w:rPr>
        <w:t xml:space="preserve">ia de la República. En el caso de las Empresas Públicas de la Función Ejecutiva, será la máxima autoridad o su delegado, la que autorice los viajes al exterior de sus servidores públicos de conformidad con la dinámica del sector pero deberá informar sobre </w:t>
      </w:r>
      <w:r>
        <w:rPr>
          <w:rFonts w:eastAsia="Times New Roman"/>
          <w:sz w:val="22"/>
          <w:szCs w:val="22"/>
        </w:rPr>
        <w:t>las autorizaciones a la Secretaria General de la Presidencia.</w:t>
      </w:r>
      <w:r>
        <w:rPr>
          <w:rFonts w:eastAsia="Times New Roman"/>
          <w:sz w:val="22"/>
          <w:szCs w:val="22"/>
        </w:rPr>
        <w:br/>
      </w:r>
      <w:r>
        <w:rPr>
          <w:rFonts w:eastAsia="Times New Roman"/>
          <w:sz w:val="22"/>
          <w:szCs w:val="22"/>
        </w:rPr>
        <w:lastRenderedPageBreak/>
        <w:br/>
        <w:t xml:space="preserve">La Secretaria General de la Presidencia en coordinación con el Ministerio de Relaciones Exteriores y Movilidad Humana, emitirán la normativa para regular y autorizar viajes internacionales del </w:t>
      </w:r>
      <w:r>
        <w:rPr>
          <w:rFonts w:eastAsia="Times New Roman"/>
          <w:sz w:val="22"/>
          <w:szCs w:val="22"/>
        </w:rPr>
        <w:t>personal del servicio exterior.</w:t>
      </w:r>
    </w:p>
    <w:p w:rsidR="00000000" w:rsidRDefault="00AA35AB">
      <w:pPr>
        <w:divId w:val="646251684"/>
        <w:rPr>
          <w:rFonts w:eastAsia="Times New Roman"/>
          <w:sz w:val="22"/>
          <w:szCs w:val="22"/>
        </w:rPr>
      </w:pPr>
      <w:r>
        <w:rPr>
          <w:rFonts w:eastAsia="Times New Roman"/>
          <w:sz w:val="22"/>
          <w:szCs w:val="22"/>
        </w:rPr>
        <w:t>Art. 16.-</w:t>
      </w:r>
      <w:r>
        <w:rPr>
          <w:rFonts w:eastAsia="Times New Roman"/>
          <w:b/>
          <w:bCs/>
          <w:sz w:val="22"/>
          <w:szCs w:val="22"/>
        </w:rPr>
        <w:t xml:space="preserve"> Movilización interna.- </w:t>
      </w:r>
      <w:r>
        <w:rPr>
          <w:rFonts w:eastAsia="Times New Roman"/>
          <w:sz w:val="22"/>
          <w:szCs w:val="22"/>
        </w:rPr>
        <w:t>La máxima autoridad de la entidad, o su delegado, autorizará la movilización interna de los funcionarios que se trasladan para cumplir con las funciones derivadas de su cargo o para asistir a</w:t>
      </w:r>
      <w:r>
        <w:rPr>
          <w:rFonts w:eastAsia="Times New Roman"/>
          <w:sz w:val="22"/>
          <w:szCs w:val="22"/>
        </w:rPr>
        <w:t xml:space="preserve"> reuniones de trabajo y/o eventos de capacitación deberá estar plenamente justificada. Se preferirá el uso de herramientas informáticas como videoconferencias en el caso que la situación lo amerite.</w:t>
      </w:r>
    </w:p>
    <w:p w:rsidR="00000000" w:rsidRDefault="00AA35AB">
      <w:pPr>
        <w:divId w:val="142702995"/>
        <w:rPr>
          <w:rFonts w:eastAsia="Times New Roman"/>
          <w:sz w:val="22"/>
          <w:szCs w:val="22"/>
        </w:rPr>
      </w:pPr>
      <w:r>
        <w:rPr>
          <w:rFonts w:eastAsia="Times New Roman"/>
          <w:sz w:val="22"/>
          <w:szCs w:val="22"/>
        </w:rPr>
        <w:t>Art. 17.-</w:t>
      </w:r>
      <w:r>
        <w:rPr>
          <w:rFonts w:eastAsia="Times New Roman"/>
          <w:b/>
          <w:bCs/>
          <w:sz w:val="22"/>
          <w:szCs w:val="22"/>
        </w:rPr>
        <w:t xml:space="preserve"> Compra de pasajes.- </w:t>
      </w:r>
      <w:r>
        <w:rPr>
          <w:rFonts w:eastAsia="Times New Roman"/>
          <w:sz w:val="22"/>
          <w:szCs w:val="22"/>
        </w:rPr>
        <w:t xml:space="preserve">Para la Función Ejecutiva, </w:t>
      </w:r>
      <w:r>
        <w:rPr>
          <w:rFonts w:eastAsia="Times New Roman"/>
          <w:sz w:val="22"/>
          <w:szCs w:val="22"/>
        </w:rPr>
        <w:t>se elimina la compra de pasajes premier (que permiten cambiar la hora o fecha), salvo para miembros del gabinete y personal autorizado por la Secretaría General de la Presidencia de la República.</w:t>
      </w:r>
      <w:r>
        <w:rPr>
          <w:rFonts w:eastAsia="Times New Roman"/>
          <w:sz w:val="22"/>
          <w:szCs w:val="22"/>
        </w:rPr>
        <w:br/>
      </w:r>
      <w:r>
        <w:rPr>
          <w:rFonts w:eastAsia="Times New Roman"/>
          <w:sz w:val="22"/>
          <w:szCs w:val="22"/>
        </w:rPr>
        <w:br/>
        <w:t xml:space="preserve">Con fines de optimización en la adquisición de pasajes, se </w:t>
      </w:r>
      <w:r>
        <w:rPr>
          <w:rFonts w:eastAsia="Times New Roman"/>
          <w:sz w:val="22"/>
          <w:szCs w:val="22"/>
        </w:rPr>
        <w:t>deberá seleccionar el menor valor de las cotizaciones de pasajes por internet, de la agencia de viajes, de la compañía u otros.</w:t>
      </w:r>
    </w:p>
    <w:p w:rsidR="00000000" w:rsidRDefault="00AA35AB">
      <w:pPr>
        <w:divId w:val="428934952"/>
        <w:rPr>
          <w:rFonts w:eastAsia="Times New Roman"/>
          <w:sz w:val="22"/>
          <w:szCs w:val="22"/>
        </w:rPr>
      </w:pPr>
      <w:r>
        <w:rPr>
          <w:rFonts w:eastAsia="Times New Roman"/>
          <w:sz w:val="22"/>
          <w:szCs w:val="22"/>
        </w:rPr>
        <w:t>Art. 18</w:t>
      </w:r>
      <w:r>
        <w:rPr>
          <w:rFonts w:eastAsia="Times New Roman"/>
          <w:b/>
          <w:bCs/>
          <w:sz w:val="22"/>
          <w:szCs w:val="22"/>
        </w:rPr>
        <w:t xml:space="preserve">.- Evaluación de vehículos terrestres.- </w:t>
      </w:r>
      <w:r>
        <w:rPr>
          <w:rFonts w:eastAsia="Times New Roman"/>
          <w:sz w:val="22"/>
          <w:szCs w:val="22"/>
        </w:rPr>
        <w:t>Para el caso de la Función Ejecutiva y sus Empresas Públicas, se dispone al Servi</w:t>
      </w:r>
      <w:r>
        <w:rPr>
          <w:rFonts w:eastAsia="Times New Roman"/>
          <w:sz w:val="22"/>
          <w:szCs w:val="22"/>
        </w:rPr>
        <w:t xml:space="preserve">cio de Gestión Inmobiliaria del Sector Público realizar una evaluación de los vehículos terrestres institucionales públicos con la finalidad de su redistribución entre las instituciones que comprende este decreto, con la sola excepción de los vehículos de </w:t>
      </w:r>
      <w:r>
        <w:rPr>
          <w:rFonts w:eastAsia="Times New Roman"/>
          <w:sz w:val="22"/>
          <w:szCs w:val="22"/>
        </w:rPr>
        <w:t>uso especializado, incluidos patrulleros, vehículos tácticos militares, ambulancias, motobombas, equipo caminero, y agrícolas.</w:t>
      </w:r>
      <w:r>
        <w:rPr>
          <w:rFonts w:eastAsia="Times New Roman"/>
          <w:sz w:val="22"/>
          <w:szCs w:val="22"/>
        </w:rPr>
        <w:br/>
      </w:r>
      <w:r>
        <w:rPr>
          <w:rFonts w:eastAsia="Times New Roman"/>
          <w:sz w:val="22"/>
          <w:szCs w:val="22"/>
        </w:rPr>
        <w:br/>
        <w:t>Los vehículos de alta gama se procederán con su enajenación, de conformidad del Reglamento de Bienes del Sector Público, para lo</w:t>
      </w:r>
      <w:r>
        <w:rPr>
          <w:rFonts w:eastAsia="Times New Roman"/>
          <w:sz w:val="22"/>
          <w:szCs w:val="22"/>
        </w:rPr>
        <w:t xml:space="preserve"> cual el Servicio de Gestión Inmobiliaria del Sector Público, tendrá el plazo de 180 días, salvo lo dispuesto en el artículo siguiente.</w:t>
      </w:r>
    </w:p>
    <w:p w:rsidR="00000000" w:rsidRDefault="00AA35AB">
      <w:pPr>
        <w:divId w:val="498276552"/>
        <w:rPr>
          <w:rFonts w:eastAsia="Times New Roman"/>
          <w:sz w:val="22"/>
          <w:szCs w:val="22"/>
        </w:rPr>
      </w:pPr>
      <w:r>
        <w:rPr>
          <w:rFonts w:eastAsia="Times New Roman"/>
          <w:sz w:val="22"/>
          <w:szCs w:val="22"/>
        </w:rPr>
        <w:t>Art. 19.-</w:t>
      </w:r>
      <w:r>
        <w:rPr>
          <w:rFonts w:eastAsia="Times New Roman"/>
          <w:b/>
          <w:bCs/>
          <w:sz w:val="22"/>
          <w:szCs w:val="22"/>
        </w:rPr>
        <w:t xml:space="preserve"> Compra de vehículos.- </w:t>
      </w:r>
      <w:r>
        <w:rPr>
          <w:rFonts w:eastAsia="Times New Roman"/>
          <w:sz w:val="22"/>
          <w:szCs w:val="22"/>
        </w:rPr>
        <w:t>Para el caso de la Función Ejecutiva y sus Empresas Públicas, se prohíbe la compra de au</w:t>
      </w:r>
      <w:r>
        <w:rPr>
          <w:rFonts w:eastAsia="Times New Roman"/>
          <w:sz w:val="22"/>
          <w:szCs w:val="22"/>
        </w:rPr>
        <w:t>tomóviles de alta gama y se autoriza el uso máximo de dos vehículos todo terreno/todo camino, que no sean camionetas, por unidad de administración financiera pública, de gama superior a 2.000 ce; en caso de disponer de más de dos vehículos, el número en ex</w:t>
      </w:r>
      <w:r>
        <w:rPr>
          <w:rFonts w:eastAsia="Times New Roman"/>
          <w:sz w:val="22"/>
          <w:szCs w:val="22"/>
        </w:rPr>
        <w:t>ceso se deberá poner a disposición del Servicio de Gestión Inmobiliaria del Sector Público para su respectiva redistribución o enajenación; con la única excepción para el parque automotor asignado a la Presidencia.</w:t>
      </w:r>
      <w:r>
        <w:rPr>
          <w:rFonts w:eastAsia="Times New Roman"/>
          <w:sz w:val="22"/>
          <w:szCs w:val="22"/>
        </w:rPr>
        <w:br/>
      </w:r>
      <w:r>
        <w:rPr>
          <w:rFonts w:eastAsia="Times New Roman"/>
          <w:sz w:val="22"/>
          <w:szCs w:val="22"/>
        </w:rPr>
        <w:br/>
        <w:t>Se prohíbe además la compra de vehículos</w:t>
      </w:r>
      <w:r>
        <w:rPr>
          <w:rFonts w:eastAsia="Times New Roman"/>
          <w:sz w:val="22"/>
          <w:szCs w:val="22"/>
        </w:rPr>
        <w:t xml:space="preserve"> no especializados, salvo aquellos aprobados por la Secretaría General de la Presidencia de la República.</w:t>
      </w:r>
      <w:r>
        <w:rPr>
          <w:rFonts w:eastAsia="Times New Roman"/>
          <w:sz w:val="22"/>
          <w:szCs w:val="22"/>
        </w:rPr>
        <w:br/>
      </w:r>
      <w:r>
        <w:rPr>
          <w:rFonts w:eastAsia="Times New Roman"/>
          <w:sz w:val="22"/>
          <w:szCs w:val="22"/>
        </w:rPr>
        <w:br/>
        <w:t>Para el resto de Funciones del Estado, la compra de vehículos estará sujeta a la disponibilidad presupuestaria de cada entidad.</w:t>
      </w:r>
    </w:p>
    <w:p w:rsidR="00000000" w:rsidRDefault="00AA35AB">
      <w:pPr>
        <w:divId w:val="1061172081"/>
        <w:rPr>
          <w:rFonts w:eastAsia="Times New Roman"/>
          <w:sz w:val="22"/>
          <w:szCs w:val="22"/>
        </w:rPr>
      </w:pPr>
      <w:r>
        <w:rPr>
          <w:rFonts w:eastAsia="Times New Roman"/>
          <w:sz w:val="22"/>
          <w:szCs w:val="22"/>
        </w:rPr>
        <w:t>Art. 20.-</w:t>
      </w:r>
      <w:r>
        <w:rPr>
          <w:rFonts w:eastAsia="Times New Roman"/>
          <w:b/>
          <w:bCs/>
          <w:sz w:val="22"/>
          <w:szCs w:val="22"/>
        </w:rPr>
        <w:t xml:space="preserve"> Uso de sire</w:t>
      </w:r>
      <w:r>
        <w:rPr>
          <w:rFonts w:eastAsia="Times New Roman"/>
          <w:b/>
          <w:bCs/>
          <w:sz w:val="22"/>
          <w:szCs w:val="22"/>
        </w:rPr>
        <w:t xml:space="preserve">nas y balizas en vehículos oficiales.- </w:t>
      </w:r>
      <w:r>
        <w:rPr>
          <w:rFonts w:eastAsia="Times New Roman"/>
          <w:sz w:val="22"/>
          <w:szCs w:val="22"/>
        </w:rPr>
        <w:t>Para el caso de la Función Ejecutiva y sus Empresas Públicas, se prohíbe la instalación de sirenas y balizas en vehículos oficiales y se dispone la inmediata desinstalación de las mismas, a excepción de las autorizada</w:t>
      </w:r>
      <w:r>
        <w:rPr>
          <w:rFonts w:eastAsia="Times New Roman"/>
          <w:sz w:val="22"/>
          <w:szCs w:val="22"/>
        </w:rPr>
        <w:t>s por la Secretaría General de la Presidencia de la República.</w:t>
      </w:r>
    </w:p>
    <w:p w:rsidR="00000000" w:rsidRDefault="00AA35AB">
      <w:pPr>
        <w:divId w:val="17202473"/>
        <w:rPr>
          <w:rFonts w:eastAsia="Times New Roman"/>
          <w:sz w:val="22"/>
          <w:szCs w:val="22"/>
        </w:rPr>
      </w:pPr>
      <w:r>
        <w:rPr>
          <w:rFonts w:eastAsia="Times New Roman"/>
          <w:sz w:val="22"/>
          <w:szCs w:val="22"/>
        </w:rPr>
        <w:t>Art. 21.-</w:t>
      </w:r>
      <w:r>
        <w:rPr>
          <w:rFonts w:eastAsia="Times New Roman"/>
          <w:b/>
          <w:bCs/>
          <w:sz w:val="22"/>
          <w:szCs w:val="22"/>
        </w:rPr>
        <w:t xml:space="preserve"> Actualización de estado de funcionamiento del parque automotor del sector público.- </w:t>
      </w:r>
      <w:r>
        <w:rPr>
          <w:rFonts w:eastAsia="Times New Roman"/>
          <w:sz w:val="22"/>
          <w:szCs w:val="22"/>
        </w:rPr>
        <w:t>Para el caso de la Función Ejecutiva y sus Empresas Públicas, se dispone a las entidades actualizar</w:t>
      </w:r>
      <w:r>
        <w:rPr>
          <w:rFonts w:eastAsia="Times New Roman"/>
          <w:sz w:val="22"/>
          <w:szCs w:val="22"/>
        </w:rPr>
        <w:t xml:space="preserve"> el registro del parque automotor de cada institución en el Sistema de Bienes y Existencias del eSIGEF, incluyendo el estado de funcionamiento actual. El Servicio de Gestión Inmobiliaria del Sector Público realizará la evaluación técnica y del estado mecán</w:t>
      </w:r>
      <w:r>
        <w:rPr>
          <w:rFonts w:eastAsia="Times New Roman"/>
          <w:sz w:val="22"/>
          <w:szCs w:val="22"/>
        </w:rPr>
        <w:t>ico del parque automotor del sector público que se encuentre en mal estado de funcionamiento, en forma previa a reparar o dar de baja con el objetivo de evitar su reposición, acorde al Decreto Ejecutivo No. 1515 de fecha 15 de mayo de 2013.</w:t>
      </w:r>
    </w:p>
    <w:p w:rsidR="00000000" w:rsidRDefault="00AA35AB">
      <w:pPr>
        <w:divId w:val="875504658"/>
        <w:rPr>
          <w:rFonts w:eastAsia="Times New Roman"/>
          <w:sz w:val="22"/>
          <w:szCs w:val="22"/>
        </w:rPr>
      </w:pPr>
      <w:r>
        <w:rPr>
          <w:rFonts w:eastAsia="Times New Roman"/>
          <w:sz w:val="22"/>
          <w:szCs w:val="22"/>
        </w:rPr>
        <w:t>Art. 22.-</w:t>
      </w:r>
      <w:r>
        <w:rPr>
          <w:rFonts w:eastAsia="Times New Roman"/>
          <w:b/>
          <w:bCs/>
          <w:sz w:val="22"/>
          <w:szCs w:val="22"/>
        </w:rPr>
        <w:t xml:space="preserve"> </w:t>
      </w:r>
      <w:r>
        <w:rPr>
          <w:rFonts w:eastAsia="Times New Roman"/>
          <w:b/>
          <w:bCs/>
          <w:sz w:val="22"/>
          <w:szCs w:val="22"/>
        </w:rPr>
        <w:t xml:space="preserve">Uso de vehículos oficiales.- </w:t>
      </w:r>
      <w:r>
        <w:rPr>
          <w:rFonts w:eastAsia="Times New Roman"/>
          <w:sz w:val="22"/>
          <w:szCs w:val="22"/>
        </w:rPr>
        <w:t>Para el caso de la Función Ejecutiva y sus Empresas Públicas, conforme a las necesidades institucionales, los servidores públicos podrán conducir los vehículos oficiales, siempre y cuando tengan una licencia de conducir tipo B,</w:t>
      </w:r>
      <w:r>
        <w:rPr>
          <w:rFonts w:eastAsia="Times New Roman"/>
          <w:sz w:val="22"/>
          <w:szCs w:val="22"/>
        </w:rPr>
        <w:t xml:space="preserve"> exceptuando los vehículos de uso especializado, incluidos patrulleros, vehículos tácticos militares, ambulancias, motobombas, equipo caminero, y agrícolas).</w:t>
      </w:r>
      <w:r>
        <w:rPr>
          <w:rFonts w:eastAsia="Times New Roman"/>
          <w:sz w:val="22"/>
          <w:szCs w:val="22"/>
        </w:rPr>
        <w:br/>
      </w:r>
      <w:r>
        <w:rPr>
          <w:rFonts w:eastAsia="Times New Roman"/>
          <w:sz w:val="22"/>
          <w:szCs w:val="22"/>
        </w:rPr>
        <w:lastRenderedPageBreak/>
        <w:br/>
        <w:t>Se autoriza la asignación y utilización de los vehículos oficiales institucionales únicamente has</w:t>
      </w:r>
      <w:r>
        <w:rPr>
          <w:rFonts w:eastAsia="Times New Roman"/>
          <w:sz w:val="22"/>
          <w:szCs w:val="22"/>
        </w:rPr>
        <w:t>ta las autoridades ubicadas en el grado 6 de la Escala de Remuneración Mensual Unificada del Nivel Jerárquico Superior. Se prohíbe la asignación de vehículos oficiales de manera expresa para los grados inferiores al grado citado del nivel jerárquico superi</w:t>
      </w:r>
      <w:r>
        <w:rPr>
          <w:rFonts w:eastAsia="Times New Roman"/>
          <w:sz w:val="22"/>
          <w:szCs w:val="22"/>
        </w:rPr>
        <w:t>or, incluido asesores bajo cualquier denominación.</w:t>
      </w:r>
      <w:r>
        <w:rPr>
          <w:rFonts w:eastAsia="Times New Roman"/>
          <w:sz w:val="22"/>
          <w:szCs w:val="22"/>
        </w:rPr>
        <w:br/>
      </w:r>
      <w:r>
        <w:rPr>
          <w:rFonts w:eastAsia="Times New Roman"/>
          <w:sz w:val="22"/>
          <w:szCs w:val="22"/>
        </w:rPr>
        <w:br/>
        <w:t>La utilización de los vehículos oficiales debe estar a servicios del cumplimiento de las funciones de las instituciones de estado.</w:t>
      </w:r>
    </w:p>
    <w:p w:rsidR="00000000" w:rsidRDefault="00AA35AB">
      <w:pPr>
        <w:divId w:val="1268582658"/>
        <w:rPr>
          <w:rFonts w:eastAsia="Times New Roman"/>
          <w:sz w:val="22"/>
          <w:szCs w:val="22"/>
        </w:rPr>
      </w:pPr>
      <w:r>
        <w:rPr>
          <w:rFonts w:eastAsia="Times New Roman"/>
          <w:sz w:val="22"/>
          <w:szCs w:val="22"/>
        </w:rPr>
        <w:t>Art. 23</w:t>
      </w:r>
      <w:r>
        <w:rPr>
          <w:rFonts w:eastAsia="Times New Roman"/>
          <w:b/>
          <w:bCs/>
          <w:sz w:val="22"/>
          <w:szCs w:val="22"/>
        </w:rPr>
        <w:t xml:space="preserve">.- Realización de eventos públicos y de capacitación.- </w:t>
      </w:r>
      <w:r>
        <w:rPr>
          <w:rFonts w:eastAsia="Times New Roman"/>
          <w:sz w:val="22"/>
          <w:szCs w:val="22"/>
        </w:rPr>
        <w:t>Para el caso de la Función Ejecutiva, se prohíbe la realización de eventos públicos y de capacitación en hoteles, hosterías y locales privados, salvo aquellos debidamente autorizados por la Secretaría General de la Presidencia de la República.</w:t>
      </w:r>
      <w:r>
        <w:rPr>
          <w:rFonts w:eastAsia="Times New Roman"/>
          <w:sz w:val="22"/>
          <w:szCs w:val="22"/>
        </w:rPr>
        <w:br/>
      </w:r>
      <w:r>
        <w:rPr>
          <w:rFonts w:eastAsia="Times New Roman"/>
          <w:sz w:val="22"/>
          <w:szCs w:val="22"/>
        </w:rPr>
        <w:br/>
        <w:t>Para el res</w:t>
      </w:r>
      <w:r>
        <w:rPr>
          <w:rFonts w:eastAsia="Times New Roman"/>
          <w:sz w:val="22"/>
          <w:szCs w:val="22"/>
        </w:rPr>
        <w:t>to de Funciones del Estado, la realización de eventos públicos y de capacitación estará sujeta a la disponibilidad presupuestaria de cada entidad, y se exhorta a utilizar los espacios públicos disponibles.</w:t>
      </w:r>
    </w:p>
    <w:p w:rsidR="00000000" w:rsidRDefault="00AA35AB">
      <w:pPr>
        <w:divId w:val="359622558"/>
        <w:rPr>
          <w:rFonts w:eastAsia="Times New Roman"/>
          <w:sz w:val="22"/>
          <w:szCs w:val="22"/>
        </w:rPr>
      </w:pPr>
      <w:r>
        <w:rPr>
          <w:rFonts w:eastAsia="Times New Roman"/>
          <w:sz w:val="22"/>
          <w:szCs w:val="22"/>
        </w:rPr>
        <w:t>Art. 24</w:t>
      </w:r>
      <w:r>
        <w:rPr>
          <w:rFonts w:eastAsia="Times New Roman"/>
          <w:b/>
          <w:bCs/>
          <w:sz w:val="22"/>
          <w:szCs w:val="22"/>
        </w:rPr>
        <w:t>.- Arriendo, remodelación, adecuación y man</w:t>
      </w:r>
      <w:r>
        <w:rPr>
          <w:rFonts w:eastAsia="Times New Roman"/>
          <w:b/>
          <w:bCs/>
          <w:sz w:val="22"/>
          <w:szCs w:val="22"/>
        </w:rPr>
        <w:t xml:space="preserve">tenimiento de inmuebles.- </w:t>
      </w:r>
      <w:r>
        <w:rPr>
          <w:rFonts w:eastAsia="Times New Roman"/>
          <w:sz w:val="22"/>
          <w:szCs w:val="22"/>
        </w:rPr>
        <w:t>Para el caso de la Función Ejecutiva, el Servicio de Gestión Inmobiliaria del Sector Público autorizará el arrendamiento de inmuebles dentro del país, destinados al funcionamiento de entidades públicas, siempre y cuando no existan</w:t>
      </w:r>
      <w:r>
        <w:rPr>
          <w:rFonts w:eastAsia="Times New Roman"/>
          <w:sz w:val="22"/>
          <w:szCs w:val="22"/>
        </w:rPr>
        <w:t xml:space="preserve"> inmuebles públicos disponibles en la localidad que cumplan con los requerimientos de la entidad.</w:t>
      </w:r>
      <w:r>
        <w:rPr>
          <w:rFonts w:eastAsia="Times New Roman"/>
          <w:sz w:val="22"/>
          <w:szCs w:val="22"/>
        </w:rPr>
        <w:br/>
      </w:r>
      <w:r>
        <w:rPr>
          <w:rFonts w:eastAsia="Times New Roman"/>
          <w:sz w:val="22"/>
          <w:szCs w:val="22"/>
        </w:rPr>
        <w:br/>
        <w:t>En el caso de autorizarse el arriendo de inmuebles dentro del país, el Servicio de Gestión Inmobiliaria del Sector Público observará el costo promedio de arr</w:t>
      </w:r>
      <w:r>
        <w:rPr>
          <w:rFonts w:eastAsia="Times New Roman"/>
          <w:sz w:val="22"/>
          <w:szCs w:val="22"/>
        </w:rPr>
        <w:t>endamiento de inmuebles en la localidad, y el costo de remodelaciones y adecuaciones requeridas por las entidades.</w:t>
      </w:r>
      <w:r>
        <w:rPr>
          <w:rFonts w:eastAsia="Times New Roman"/>
          <w:sz w:val="22"/>
          <w:szCs w:val="22"/>
        </w:rPr>
        <w:br/>
      </w:r>
      <w:r>
        <w:rPr>
          <w:rFonts w:eastAsia="Times New Roman"/>
          <w:sz w:val="22"/>
          <w:szCs w:val="22"/>
        </w:rPr>
        <w:br/>
        <w:t>Para la adecuación de los inmuebles arrendados dentro del país, el Servicio de Gestión Inmobiliaria del Sector Público autorizará el monto d</w:t>
      </w:r>
      <w:r>
        <w:rPr>
          <w:rFonts w:eastAsia="Times New Roman"/>
          <w:sz w:val="22"/>
          <w:szCs w:val="22"/>
        </w:rPr>
        <w:t>e gasto para remodelaciones y adecuaciones requeridas por las entidades, observándose las áreas máximas por persona y los mecanismos de recuperación o compensación de inversión en remodelación y/o adecuaciones.</w:t>
      </w:r>
      <w:r>
        <w:rPr>
          <w:rFonts w:eastAsia="Times New Roman"/>
          <w:sz w:val="22"/>
          <w:szCs w:val="22"/>
        </w:rPr>
        <w:br/>
      </w:r>
      <w:r>
        <w:rPr>
          <w:rFonts w:eastAsia="Times New Roman"/>
          <w:sz w:val="22"/>
          <w:szCs w:val="22"/>
        </w:rPr>
        <w:br/>
        <w:t>El arrendamiento de inmuebles en el exterior</w:t>
      </w:r>
      <w:r>
        <w:rPr>
          <w:rFonts w:eastAsia="Times New Roman"/>
          <w:sz w:val="22"/>
          <w:szCs w:val="22"/>
        </w:rPr>
        <w:t xml:space="preserve"> para vivienda de los funcionarios del servicio exterior y de las oficinas de las misiones diplomáticas, oficinas consulares y representantes permanentes del Ecuador en el exterior, será regulado por el Ministerio de Relaciones Exteriores y Movilidad Human</w:t>
      </w:r>
      <w:r>
        <w:rPr>
          <w:rFonts w:eastAsia="Times New Roman"/>
          <w:sz w:val="22"/>
          <w:szCs w:val="22"/>
        </w:rPr>
        <w:t>a, sin perjuicio del cumplimiento de las normas de control que fueren pertinentes. El funcionario del servicio exterior que goce con este beneficio no percibirá el viático por gastos de residencia.</w:t>
      </w:r>
    </w:p>
    <w:p w:rsidR="00000000" w:rsidRDefault="00AA35AB">
      <w:pPr>
        <w:divId w:val="1262178721"/>
        <w:rPr>
          <w:rFonts w:eastAsia="Times New Roman"/>
          <w:sz w:val="22"/>
          <w:szCs w:val="22"/>
        </w:rPr>
      </w:pPr>
      <w:r>
        <w:rPr>
          <w:rFonts w:eastAsia="Times New Roman"/>
          <w:sz w:val="22"/>
          <w:szCs w:val="22"/>
        </w:rPr>
        <w:t>Art. 25.-</w:t>
      </w:r>
      <w:r>
        <w:rPr>
          <w:rFonts w:eastAsia="Times New Roman"/>
          <w:b/>
          <w:bCs/>
          <w:sz w:val="22"/>
          <w:szCs w:val="22"/>
        </w:rPr>
        <w:t xml:space="preserve"> Propaganda y publicidad.- </w:t>
      </w:r>
      <w:r>
        <w:rPr>
          <w:rFonts w:eastAsia="Times New Roman"/>
          <w:sz w:val="22"/>
          <w:szCs w:val="22"/>
        </w:rPr>
        <w:t>Las instituciones públ</w:t>
      </w:r>
      <w:r>
        <w:rPr>
          <w:rFonts w:eastAsia="Times New Roman"/>
          <w:sz w:val="22"/>
          <w:szCs w:val="22"/>
        </w:rPr>
        <w:t>icas de la Función Ejecutiva podrán difundir, informar, publicitar, contratar propaganda y elaborar material publicitario únicamente previa autorización de su Plan de Comunicación por parte de la Secretaría Nacional de Comunicación, quién emitirá las regul</w:t>
      </w:r>
      <w:r>
        <w:rPr>
          <w:rFonts w:eastAsia="Times New Roman"/>
          <w:sz w:val="22"/>
          <w:szCs w:val="22"/>
        </w:rPr>
        <w:t>aciones pertinentes.</w:t>
      </w:r>
    </w:p>
    <w:p w:rsidR="00000000" w:rsidRDefault="00AA35AB">
      <w:pPr>
        <w:divId w:val="636423522"/>
        <w:rPr>
          <w:rFonts w:eastAsia="Times New Roman"/>
          <w:sz w:val="22"/>
          <w:szCs w:val="22"/>
        </w:rPr>
      </w:pPr>
      <w:r>
        <w:rPr>
          <w:rFonts w:eastAsia="Times New Roman"/>
          <w:sz w:val="22"/>
          <w:szCs w:val="22"/>
        </w:rPr>
        <w:t>Art. 26.-</w:t>
      </w:r>
      <w:r>
        <w:rPr>
          <w:rFonts w:eastAsia="Times New Roman"/>
          <w:b/>
          <w:bCs/>
          <w:sz w:val="22"/>
          <w:szCs w:val="22"/>
        </w:rPr>
        <w:t xml:space="preserve"> Control de inventarios.- </w:t>
      </w:r>
      <w:r>
        <w:rPr>
          <w:rFonts w:eastAsia="Times New Roman"/>
          <w:sz w:val="22"/>
          <w:szCs w:val="22"/>
        </w:rPr>
        <w:t>Las instituciones públicas establecerán procesos de control de inventarios de bienes y existencias, emitirán políticas a fin de regular los niveles óptimos de inventario, sobre montos superiores a USD</w:t>
      </w:r>
      <w:r>
        <w:rPr>
          <w:rFonts w:eastAsia="Times New Roman"/>
          <w:sz w:val="22"/>
          <w:szCs w:val="22"/>
        </w:rPr>
        <w:t xml:space="preserve"> 5 millones, y realizarán el seguimiento del control de inventarios de manera semestral, con el objetivo de reducir pérdidas o caducidad de inventarios, mejorar los procesos de compra, y optimizar su presupuesto.</w:t>
      </w:r>
    </w:p>
    <w:p w:rsidR="00000000" w:rsidRDefault="00AA35AB">
      <w:pPr>
        <w:divId w:val="89784520"/>
        <w:rPr>
          <w:rFonts w:eastAsia="Times New Roman"/>
          <w:sz w:val="22"/>
          <w:szCs w:val="22"/>
        </w:rPr>
      </w:pPr>
      <w:r>
        <w:rPr>
          <w:rFonts w:eastAsia="Times New Roman"/>
          <w:sz w:val="22"/>
          <w:szCs w:val="22"/>
        </w:rPr>
        <w:t>Art. 27</w:t>
      </w:r>
      <w:r>
        <w:rPr>
          <w:rFonts w:eastAsia="Times New Roman"/>
          <w:b/>
          <w:bCs/>
          <w:sz w:val="22"/>
          <w:szCs w:val="22"/>
        </w:rPr>
        <w:t>.- Asignación y uso de teléfonos cel</w:t>
      </w:r>
      <w:r>
        <w:rPr>
          <w:rFonts w:eastAsia="Times New Roman"/>
          <w:b/>
          <w:bCs/>
          <w:sz w:val="22"/>
          <w:szCs w:val="22"/>
        </w:rPr>
        <w:t xml:space="preserve">ulares.- </w:t>
      </w:r>
      <w:r>
        <w:rPr>
          <w:rFonts w:eastAsia="Times New Roman"/>
          <w:sz w:val="22"/>
          <w:szCs w:val="22"/>
        </w:rPr>
        <w:t>(Reformado por el Art. Único de la D.E. 178, R.O. 105-S, 23-X-2017).- Para el caso de la Función Ejecutiva, se autoriza la asignación y uso de teléfonos celulares institucionales únicamente al grado 7 y superiores de la Escala de Remuneración Mens</w:t>
      </w:r>
      <w:r>
        <w:rPr>
          <w:rFonts w:eastAsia="Times New Roman"/>
          <w:sz w:val="22"/>
          <w:szCs w:val="22"/>
        </w:rPr>
        <w:t>ual Unificada del Nivel Jerárquico Superior. Se prohíbe de manera expresa la asignación y utilización por parte de los grados inferiores. En el caso de las Empresas Públicas creadas por Decreto Ejecutivo la asignación será solo para las Gerencias Generales</w:t>
      </w:r>
      <w:r>
        <w:rPr>
          <w:rFonts w:eastAsia="Times New Roman"/>
          <w:sz w:val="22"/>
          <w:szCs w:val="22"/>
        </w:rPr>
        <w:t>.</w:t>
      </w:r>
      <w:r>
        <w:rPr>
          <w:rFonts w:eastAsia="Times New Roman"/>
          <w:sz w:val="22"/>
          <w:szCs w:val="22"/>
        </w:rPr>
        <w:br/>
      </w:r>
      <w:r>
        <w:rPr>
          <w:rFonts w:eastAsia="Times New Roman"/>
          <w:sz w:val="22"/>
          <w:szCs w:val="22"/>
        </w:rPr>
        <w:br/>
        <w:t xml:space="preserve">Secretario General de la Presidencia de la República, previa justificación de la necesidad </w:t>
      </w:r>
      <w:r>
        <w:rPr>
          <w:rFonts w:eastAsia="Times New Roman"/>
          <w:sz w:val="22"/>
          <w:szCs w:val="22"/>
        </w:rPr>
        <w:lastRenderedPageBreak/>
        <w:t>institucional, podrá establecer excepciones a las restricciones establecidas en el presente artículo.</w:t>
      </w:r>
    </w:p>
    <w:p w:rsidR="00000000" w:rsidRDefault="00AA35AB">
      <w:pPr>
        <w:divId w:val="233131644"/>
        <w:rPr>
          <w:rFonts w:eastAsia="Times New Roman"/>
          <w:sz w:val="22"/>
          <w:szCs w:val="22"/>
        </w:rPr>
      </w:pPr>
      <w:r>
        <w:rPr>
          <w:rFonts w:eastAsia="Times New Roman"/>
          <w:sz w:val="22"/>
          <w:szCs w:val="22"/>
        </w:rPr>
        <w:t>Art. 28.-</w:t>
      </w:r>
      <w:r>
        <w:rPr>
          <w:rFonts w:eastAsia="Times New Roman"/>
          <w:b/>
          <w:bCs/>
          <w:sz w:val="22"/>
          <w:szCs w:val="22"/>
        </w:rPr>
        <w:t xml:space="preserve"> Contratación de empresas de seguridad.</w:t>
      </w:r>
      <w:r>
        <w:rPr>
          <w:rFonts w:eastAsia="Times New Roman"/>
          <w:sz w:val="22"/>
          <w:szCs w:val="22"/>
        </w:rPr>
        <w:t>- Para el ca</w:t>
      </w:r>
      <w:r>
        <w:rPr>
          <w:rFonts w:eastAsia="Times New Roman"/>
          <w:sz w:val="22"/>
          <w:szCs w:val="22"/>
        </w:rPr>
        <w:t>so de la Función Ejecutiva, el Ministerio del Interior autorizará y establecerá los costos referenciales para la contratación de empresas de seguridad.</w:t>
      </w:r>
    </w:p>
    <w:p w:rsidR="00000000" w:rsidRDefault="00AA35AB">
      <w:pPr>
        <w:divId w:val="46538164"/>
        <w:rPr>
          <w:rFonts w:eastAsia="Times New Roman"/>
          <w:sz w:val="22"/>
          <w:szCs w:val="22"/>
        </w:rPr>
      </w:pPr>
      <w:r>
        <w:rPr>
          <w:rFonts w:eastAsia="Times New Roman"/>
          <w:sz w:val="22"/>
          <w:szCs w:val="22"/>
        </w:rPr>
        <w:t>Art. 29.-</w:t>
      </w:r>
      <w:r>
        <w:rPr>
          <w:rFonts w:eastAsia="Times New Roman"/>
          <w:b/>
          <w:bCs/>
          <w:sz w:val="22"/>
          <w:szCs w:val="22"/>
        </w:rPr>
        <w:t xml:space="preserve"> Tarifas de proveedores para la prestación de servicios en general y de provisión nacional.- </w:t>
      </w:r>
      <w:r>
        <w:rPr>
          <w:rFonts w:eastAsia="Times New Roman"/>
          <w:sz w:val="22"/>
          <w:szCs w:val="22"/>
        </w:rPr>
        <w:t>Pr</w:t>
      </w:r>
      <w:r>
        <w:rPr>
          <w:rFonts w:eastAsia="Times New Roman"/>
          <w:sz w:val="22"/>
          <w:szCs w:val="22"/>
        </w:rPr>
        <w:t>evia la contratación de servicios en general y de provisión nacional, se deberá realizar la comparación de las tarifas de proveedores actuales con otros proveedores de dichos servicios, de conformidad con las normas establecidas por el Servicio de Contrata</w:t>
      </w:r>
      <w:r>
        <w:rPr>
          <w:rFonts w:eastAsia="Times New Roman"/>
          <w:sz w:val="22"/>
          <w:szCs w:val="22"/>
        </w:rPr>
        <w:t>ción Pública, mismas que privilegiarán siempre la producción nacional, para lo cual el SERCOP deberá revisar los precios o valores con los que actualmente viene trabajando en beneficio de la optimización del gastos.</w:t>
      </w:r>
    </w:p>
    <w:p w:rsidR="00000000" w:rsidRDefault="00AA35AB">
      <w:pPr>
        <w:divId w:val="545410441"/>
        <w:rPr>
          <w:rFonts w:eastAsia="Times New Roman"/>
          <w:sz w:val="22"/>
          <w:szCs w:val="22"/>
        </w:rPr>
      </w:pPr>
      <w:r>
        <w:rPr>
          <w:rFonts w:eastAsia="Times New Roman"/>
          <w:sz w:val="22"/>
          <w:szCs w:val="22"/>
        </w:rPr>
        <w:t>Art. 30.-</w:t>
      </w:r>
      <w:r>
        <w:rPr>
          <w:rFonts w:eastAsia="Times New Roman"/>
          <w:b/>
          <w:bCs/>
          <w:sz w:val="22"/>
          <w:szCs w:val="22"/>
        </w:rPr>
        <w:t xml:space="preserve"> Enajenación o transferencia de</w:t>
      </w:r>
      <w:r>
        <w:rPr>
          <w:rFonts w:eastAsia="Times New Roman"/>
          <w:b/>
          <w:bCs/>
          <w:sz w:val="22"/>
          <w:szCs w:val="22"/>
        </w:rPr>
        <w:t xml:space="preserve"> activos inmuebles improductivos.- </w:t>
      </w:r>
      <w:r>
        <w:rPr>
          <w:rFonts w:eastAsia="Times New Roman"/>
          <w:sz w:val="22"/>
          <w:szCs w:val="22"/>
        </w:rPr>
        <w:t>Para el caso de la Función Ejecutiva, se dispone la enajenación o transferencia a título gratuito de los activos inmuebles improductivos de las entidades a la Secretaría de Gestión Inmobiliaria del Sector Público; incluye</w:t>
      </w:r>
      <w:r>
        <w:rPr>
          <w:rFonts w:eastAsia="Times New Roman"/>
          <w:sz w:val="22"/>
          <w:szCs w:val="22"/>
        </w:rPr>
        <w:t>ndo, aquellos bienes inmuebles localizados fuera del territorio nacional.</w:t>
      </w:r>
    </w:p>
    <w:p w:rsidR="00000000" w:rsidRDefault="00AA35AB">
      <w:pPr>
        <w:divId w:val="627660243"/>
        <w:rPr>
          <w:rFonts w:eastAsia="Times New Roman"/>
          <w:sz w:val="22"/>
          <w:szCs w:val="22"/>
        </w:rPr>
      </w:pPr>
      <w:r>
        <w:rPr>
          <w:rFonts w:eastAsia="Times New Roman"/>
          <w:sz w:val="22"/>
          <w:szCs w:val="22"/>
        </w:rPr>
        <w:t>Art. 31.-</w:t>
      </w:r>
      <w:r>
        <w:rPr>
          <w:rFonts w:eastAsia="Times New Roman"/>
          <w:b/>
          <w:bCs/>
          <w:sz w:val="22"/>
          <w:szCs w:val="22"/>
        </w:rPr>
        <w:t xml:space="preserve"> Personal de seguridad.- </w:t>
      </w:r>
      <w:r>
        <w:rPr>
          <w:rFonts w:eastAsia="Times New Roman"/>
          <w:sz w:val="22"/>
          <w:szCs w:val="22"/>
        </w:rPr>
        <w:t>Se dispone la reducción del personal asignado a la seguridad de las autoridades públicas de conformidad con los lineamientos que emita el Ministerio</w:t>
      </w:r>
      <w:r>
        <w:rPr>
          <w:rFonts w:eastAsia="Times New Roman"/>
          <w:sz w:val="22"/>
          <w:szCs w:val="22"/>
        </w:rPr>
        <w:t xml:space="preserve"> del Interior.</w:t>
      </w:r>
    </w:p>
    <w:p w:rsidR="00000000" w:rsidRDefault="00AA35AB">
      <w:pPr>
        <w:jc w:val="center"/>
        <w:rPr>
          <w:rFonts w:eastAsia="Times New Roman"/>
        </w:rPr>
      </w:pPr>
      <w:r>
        <w:rPr>
          <w:rFonts w:eastAsia="Times New Roman"/>
          <w:b/>
          <w:bCs/>
        </w:rPr>
        <w:br/>
        <w:t>DISPOSICIONES GENERALES</w:t>
      </w:r>
    </w:p>
    <w:p w:rsidR="00000000" w:rsidRDefault="00AA35AB">
      <w:pPr>
        <w:divId w:val="484130732"/>
        <w:rPr>
          <w:rFonts w:eastAsia="Times New Roman"/>
          <w:sz w:val="22"/>
          <w:szCs w:val="22"/>
        </w:rPr>
      </w:pPr>
      <w:r>
        <w:rPr>
          <w:rFonts w:eastAsia="Times New Roman"/>
          <w:sz w:val="22"/>
          <w:szCs w:val="22"/>
        </w:rPr>
        <w:t>Primera.-</w:t>
      </w:r>
      <w:r>
        <w:rPr>
          <w:rFonts w:eastAsia="Times New Roman"/>
          <w:b/>
          <w:bCs/>
          <w:sz w:val="22"/>
          <w:szCs w:val="22"/>
        </w:rPr>
        <w:t xml:space="preserve"> Informes.- </w:t>
      </w:r>
      <w:r>
        <w:rPr>
          <w:rFonts w:eastAsia="Times New Roman"/>
          <w:sz w:val="22"/>
          <w:szCs w:val="22"/>
        </w:rPr>
        <w:t>Todas las instituciones del Estado sujetas al ámbito de aplicación de este decreto, presentarán en su sitio de internet informes semestrales sobre su cumplimiento. La Presidencia de la República,</w:t>
      </w:r>
      <w:r>
        <w:rPr>
          <w:rFonts w:eastAsia="Times New Roman"/>
          <w:sz w:val="22"/>
          <w:szCs w:val="22"/>
        </w:rPr>
        <w:t xml:space="preserve"> el Ministerio de Economía y Finanzas y Ministerio del Trabajo, podrán solicitar en cualquier momento información específica a las mencionadas instituciones, las cuales la deberán proporcionar información en un plazo no mayor de quince (15) días de la rece</w:t>
      </w:r>
      <w:r>
        <w:rPr>
          <w:rFonts w:eastAsia="Times New Roman"/>
          <w:sz w:val="22"/>
          <w:szCs w:val="22"/>
        </w:rPr>
        <w:t>pción del requerimiento.</w:t>
      </w:r>
    </w:p>
    <w:p w:rsidR="00000000" w:rsidRDefault="00AA35AB">
      <w:pPr>
        <w:divId w:val="1122113766"/>
        <w:rPr>
          <w:rFonts w:eastAsia="Times New Roman"/>
          <w:sz w:val="22"/>
          <w:szCs w:val="22"/>
        </w:rPr>
      </w:pPr>
      <w:r>
        <w:rPr>
          <w:rFonts w:eastAsia="Times New Roman"/>
          <w:sz w:val="22"/>
          <w:szCs w:val="22"/>
        </w:rPr>
        <w:t>Segunda.-</w:t>
      </w:r>
      <w:r>
        <w:rPr>
          <w:rFonts w:eastAsia="Times New Roman"/>
          <w:b/>
          <w:bCs/>
          <w:sz w:val="22"/>
          <w:szCs w:val="22"/>
        </w:rPr>
        <w:t xml:space="preserve"> Control.- </w:t>
      </w:r>
      <w:r>
        <w:rPr>
          <w:rFonts w:eastAsia="Times New Roman"/>
          <w:sz w:val="22"/>
          <w:szCs w:val="22"/>
        </w:rPr>
        <w:t>Todos los organismos de control del Estado, en el ámbito de sus respectivas competencias, están obligados a aplicar y vigilar el cumplimiento de las disposiciones del presente decreto.</w:t>
      </w:r>
    </w:p>
    <w:p w:rsidR="00000000" w:rsidRDefault="00AA35AB">
      <w:pPr>
        <w:divId w:val="1178009919"/>
        <w:rPr>
          <w:rFonts w:eastAsia="Times New Roman"/>
          <w:sz w:val="22"/>
          <w:szCs w:val="22"/>
        </w:rPr>
      </w:pPr>
      <w:r>
        <w:rPr>
          <w:rFonts w:eastAsia="Times New Roman"/>
          <w:sz w:val="22"/>
          <w:szCs w:val="22"/>
        </w:rPr>
        <w:t>Tercera</w:t>
      </w:r>
      <w:r>
        <w:rPr>
          <w:rFonts w:eastAsia="Times New Roman"/>
          <w:b/>
          <w:bCs/>
          <w:sz w:val="22"/>
          <w:szCs w:val="22"/>
        </w:rPr>
        <w:t xml:space="preserve">.- Sanción.- </w:t>
      </w:r>
      <w:r>
        <w:rPr>
          <w:rFonts w:eastAsia="Times New Roman"/>
          <w:sz w:val="22"/>
          <w:szCs w:val="22"/>
        </w:rPr>
        <w:t>El inc</w:t>
      </w:r>
      <w:r>
        <w:rPr>
          <w:rFonts w:eastAsia="Times New Roman"/>
          <w:sz w:val="22"/>
          <w:szCs w:val="22"/>
        </w:rPr>
        <w:t>umplimiento de las disposiciones contenidas en el presente decreto se sancionará de conformidad con el ordenamiento jurídico vigente.</w:t>
      </w:r>
    </w:p>
    <w:p w:rsidR="00000000" w:rsidRDefault="00AA35AB">
      <w:pPr>
        <w:divId w:val="1527213921"/>
        <w:rPr>
          <w:rFonts w:eastAsia="Times New Roman"/>
          <w:sz w:val="22"/>
          <w:szCs w:val="22"/>
        </w:rPr>
      </w:pPr>
      <w:r>
        <w:rPr>
          <w:rFonts w:eastAsia="Times New Roman"/>
          <w:sz w:val="22"/>
          <w:szCs w:val="22"/>
        </w:rPr>
        <w:t>Cuarta.-</w:t>
      </w:r>
      <w:r>
        <w:rPr>
          <w:rFonts w:eastAsia="Times New Roman"/>
          <w:b/>
          <w:bCs/>
          <w:sz w:val="22"/>
          <w:szCs w:val="22"/>
        </w:rPr>
        <w:t xml:space="preserve"> Domicilio de BanEcuador B.R.- </w:t>
      </w:r>
      <w:r>
        <w:rPr>
          <w:rFonts w:eastAsia="Times New Roman"/>
          <w:sz w:val="22"/>
          <w:szCs w:val="22"/>
        </w:rPr>
        <w:t>Cambíese la palabra Quevedo por la palabra Quito en el artículo 2 del Decreto Ejecu</w:t>
      </w:r>
      <w:r>
        <w:rPr>
          <w:rFonts w:eastAsia="Times New Roman"/>
          <w:sz w:val="22"/>
          <w:szCs w:val="22"/>
        </w:rPr>
        <w:t>tivo No. 677 del 13 de mayo del 2015, por lo que el domicilio principal de BanEcuador B.P, será la ciudad de Quito.</w:t>
      </w:r>
    </w:p>
    <w:p w:rsidR="00000000" w:rsidRDefault="00AA35AB">
      <w:pPr>
        <w:jc w:val="center"/>
        <w:rPr>
          <w:rFonts w:eastAsia="Times New Roman"/>
        </w:rPr>
      </w:pPr>
      <w:r>
        <w:rPr>
          <w:rFonts w:eastAsia="Times New Roman"/>
          <w:b/>
          <w:bCs/>
        </w:rPr>
        <w:br/>
        <w:t>DISPOSICIONES TRANSITORIAS</w:t>
      </w:r>
    </w:p>
    <w:p w:rsidR="00000000" w:rsidRDefault="00AA35AB">
      <w:pPr>
        <w:divId w:val="305857102"/>
        <w:rPr>
          <w:rFonts w:eastAsia="Times New Roman"/>
          <w:sz w:val="22"/>
          <w:szCs w:val="22"/>
        </w:rPr>
      </w:pPr>
      <w:r>
        <w:rPr>
          <w:rFonts w:eastAsia="Times New Roman"/>
          <w:b/>
          <w:bCs/>
          <w:sz w:val="22"/>
          <w:szCs w:val="22"/>
        </w:rPr>
        <w:t xml:space="preserve">Primera.- </w:t>
      </w:r>
      <w:r>
        <w:rPr>
          <w:rFonts w:eastAsia="Times New Roman"/>
          <w:sz w:val="22"/>
          <w:szCs w:val="22"/>
        </w:rPr>
        <w:t>Se exceptúa de la disposición contemplada en el artículo 6 del presente decreto, las partidas vacantes</w:t>
      </w:r>
      <w:r>
        <w:rPr>
          <w:rFonts w:eastAsia="Times New Roman"/>
          <w:sz w:val="22"/>
          <w:szCs w:val="22"/>
        </w:rPr>
        <w:t xml:space="preserve"> cuyos procesos de concursos de méritos y oposición hayan sido convocados hasta la fecha de expedición del presente decreto, así como aquellas que se encuentran en proceso de litigio, en comisión de servicios sin remuneración, las vacantes temporalmente in</w:t>
      </w:r>
      <w:r>
        <w:rPr>
          <w:rFonts w:eastAsia="Times New Roman"/>
          <w:sz w:val="22"/>
          <w:szCs w:val="22"/>
        </w:rPr>
        <w:t>activas o las correspondientes al nivel jerárquico superior a excepción de los puestos de asesores.</w:t>
      </w:r>
    </w:p>
    <w:p w:rsidR="00000000" w:rsidRDefault="00AA35AB">
      <w:pPr>
        <w:jc w:val="center"/>
        <w:rPr>
          <w:rFonts w:eastAsia="Times New Roman"/>
        </w:rPr>
      </w:pPr>
      <w:r>
        <w:rPr>
          <w:rFonts w:eastAsia="Times New Roman"/>
          <w:b/>
          <w:bCs/>
        </w:rPr>
        <w:br/>
        <w:t>DISPOSICIÓN FINAL</w:t>
      </w:r>
    </w:p>
    <w:p w:rsidR="00000000" w:rsidRDefault="00AA35AB">
      <w:pPr>
        <w:divId w:val="1698307286"/>
        <w:rPr>
          <w:rFonts w:eastAsia="Times New Roman"/>
          <w:sz w:val="22"/>
          <w:szCs w:val="22"/>
        </w:rPr>
      </w:pPr>
      <w:r>
        <w:rPr>
          <w:rFonts w:eastAsia="Times New Roman"/>
          <w:sz w:val="22"/>
          <w:szCs w:val="22"/>
        </w:rPr>
        <w:t xml:space="preserve">Este Decreto Ejecutivo entrará en vigencia a partir de la presente fecha, sin perjuicio de su publicación en el Registro Oficial y de su </w:t>
      </w:r>
      <w:r>
        <w:rPr>
          <w:rFonts w:eastAsia="Times New Roman"/>
          <w:sz w:val="22"/>
          <w:szCs w:val="22"/>
        </w:rPr>
        <w:t>ejecución encárguense los Ministros de Economía y Finanzas y de Trabajo.</w:t>
      </w:r>
      <w:r>
        <w:rPr>
          <w:rFonts w:eastAsia="Times New Roman"/>
          <w:sz w:val="22"/>
          <w:szCs w:val="22"/>
        </w:rPr>
        <w:br/>
      </w:r>
      <w:r>
        <w:rPr>
          <w:rFonts w:eastAsia="Times New Roman"/>
          <w:sz w:val="22"/>
          <w:szCs w:val="22"/>
        </w:rPr>
        <w:br/>
        <w:t>Dado en el Palacio Nacional, en Quito, a 1 de septiembre de 2017.</w:t>
      </w:r>
    </w:p>
    <w:p w:rsidR="00000000" w:rsidRDefault="00AA35AB">
      <w:pPr>
        <w:jc w:val="center"/>
        <w:rPr>
          <w:rFonts w:eastAsia="Times New Roman"/>
        </w:rPr>
      </w:pPr>
      <w:r>
        <w:rPr>
          <w:rFonts w:eastAsia="Times New Roman"/>
          <w:b/>
          <w:bCs/>
        </w:rPr>
        <w:br/>
      </w:r>
      <w:r>
        <w:rPr>
          <w:rFonts w:eastAsia="Times New Roman"/>
          <w:b/>
          <w:bCs/>
        </w:rPr>
        <w:br/>
        <w:t>FUENTES DE LA PRESENTE EDICIÓN DEL DECRETO QUE EXPIDE LAS NORMAS DE OPTIMIZACIÓN Y AUSTERIDAD DEL GASTO PÚBLICO</w:t>
      </w:r>
    </w:p>
    <w:p w:rsidR="00AA35AB" w:rsidRDefault="00AA35AB">
      <w:pPr>
        <w:divId w:val="1123184435"/>
        <w:rPr>
          <w:rFonts w:eastAsia="Times New Roman"/>
          <w:sz w:val="22"/>
          <w:szCs w:val="22"/>
        </w:rPr>
      </w:pPr>
      <w:r>
        <w:rPr>
          <w:rFonts w:eastAsia="Times New Roman"/>
          <w:sz w:val="22"/>
          <w:szCs w:val="22"/>
        </w:rPr>
        <w:lastRenderedPageBreak/>
        <w:br/>
        <w:t>1</w:t>
      </w:r>
      <w:r>
        <w:rPr>
          <w:rFonts w:eastAsia="Times New Roman"/>
          <w:sz w:val="22"/>
          <w:szCs w:val="22"/>
        </w:rPr>
        <w:t>.- Decreto 135 (Suplemento del Registro Oficial 76, 11-IX-2017).</w:t>
      </w:r>
      <w:r>
        <w:rPr>
          <w:rFonts w:eastAsia="Times New Roman"/>
          <w:sz w:val="22"/>
          <w:szCs w:val="22"/>
        </w:rPr>
        <w:br/>
      </w:r>
      <w:r>
        <w:rPr>
          <w:rFonts w:eastAsia="Times New Roman"/>
          <w:sz w:val="22"/>
          <w:szCs w:val="22"/>
        </w:rPr>
        <w:br/>
        <w:t>2.- Decreto 178 (Suplemento del Registro Oficial 105-S, 23-X-2017).</w:t>
      </w:r>
      <w:r>
        <w:rPr>
          <w:rFonts w:eastAsia="Times New Roman"/>
          <w:sz w:val="22"/>
          <w:szCs w:val="22"/>
        </w:rPr>
        <w:br/>
      </w:r>
      <w:r>
        <w:rPr>
          <w:rFonts w:eastAsia="Times New Roman"/>
          <w:sz w:val="22"/>
          <w:szCs w:val="22"/>
        </w:rPr>
        <w:br/>
        <w:t>3.- Acuerdo MDT-2017-0160 (Registro Oficial 113, 6-XI-2017).</w:t>
      </w:r>
    </w:p>
    <w:sectPr w:rsidR="00AA35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92C08"/>
    <w:rsid w:val="00292C08"/>
    <w:rsid w:val="00AA3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3D3CBF-276E-4344-9F59-DB0214A8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473">
      <w:marLeft w:val="0"/>
      <w:marRight w:val="0"/>
      <w:marTop w:val="0"/>
      <w:marBottom w:val="0"/>
      <w:divBdr>
        <w:top w:val="none" w:sz="0" w:space="0" w:color="auto"/>
        <w:left w:val="none" w:sz="0" w:space="0" w:color="auto"/>
        <w:bottom w:val="none" w:sz="0" w:space="0" w:color="auto"/>
        <w:right w:val="none" w:sz="0" w:space="0" w:color="auto"/>
      </w:divBdr>
    </w:div>
    <w:div w:id="46538164">
      <w:marLeft w:val="0"/>
      <w:marRight w:val="0"/>
      <w:marTop w:val="0"/>
      <w:marBottom w:val="0"/>
      <w:divBdr>
        <w:top w:val="none" w:sz="0" w:space="0" w:color="auto"/>
        <w:left w:val="none" w:sz="0" w:space="0" w:color="auto"/>
        <w:bottom w:val="none" w:sz="0" w:space="0" w:color="auto"/>
        <w:right w:val="none" w:sz="0" w:space="0" w:color="auto"/>
      </w:divBdr>
    </w:div>
    <w:div w:id="58555489">
      <w:marLeft w:val="0"/>
      <w:marRight w:val="0"/>
      <w:marTop w:val="0"/>
      <w:marBottom w:val="0"/>
      <w:divBdr>
        <w:top w:val="none" w:sz="0" w:space="0" w:color="auto"/>
        <w:left w:val="none" w:sz="0" w:space="0" w:color="auto"/>
        <w:bottom w:val="none" w:sz="0" w:space="0" w:color="auto"/>
        <w:right w:val="none" w:sz="0" w:space="0" w:color="auto"/>
      </w:divBdr>
    </w:div>
    <w:div w:id="86316873">
      <w:marLeft w:val="0"/>
      <w:marRight w:val="0"/>
      <w:marTop w:val="0"/>
      <w:marBottom w:val="0"/>
      <w:divBdr>
        <w:top w:val="none" w:sz="0" w:space="0" w:color="auto"/>
        <w:left w:val="none" w:sz="0" w:space="0" w:color="auto"/>
        <w:bottom w:val="none" w:sz="0" w:space="0" w:color="auto"/>
        <w:right w:val="none" w:sz="0" w:space="0" w:color="auto"/>
      </w:divBdr>
    </w:div>
    <w:div w:id="89784520">
      <w:marLeft w:val="0"/>
      <w:marRight w:val="0"/>
      <w:marTop w:val="0"/>
      <w:marBottom w:val="0"/>
      <w:divBdr>
        <w:top w:val="none" w:sz="0" w:space="0" w:color="auto"/>
        <w:left w:val="none" w:sz="0" w:space="0" w:color="auto"/>
        <w:bottom w:val="none" w:sz="0" w:space="0" w:color="auto"/>
        <w:right w:val="none" w:sz="0" w:space="0" w:color="auto"/>
      </w:divBdr>
    </w:div>
    <w:div w:id="142702995">
      <w:marLeft w:val="0"/>
      <w:marRight w:val="0"/>
      <w:marTop w:val="0"/>
      <w:marBottom w:val="0"/>
      <w:divBdr>
        <w:top w:val="none" w:sz="0" w:space="0" w:color="auto"/>
        <w:left w:val="none" w:sz="0" w:space="0" w:color="auto"/>
        <w:bottom w:val="none" w:sz="0" w:space="0" w:color="auto"/>
        <w:right w:val="none" w:sz="0" w:space="0" w:color="auto"/>
      </w:divBdr>
    </w:div>
    <w:div w:id="233131644">
      <w:marLeft w:val="0"/>
      <w:marRight w:val="0"/>
      <w:marTop w:val="0"/>
      <w:marBottom w:val="0"/>
      <w:divBdr>
        <w:top w:val="none" w:sz="0" w:space="0" w:color="auto"/>
        <w:left w:val="none" w:sz="0" w:space="0" w:color="auto"/>
        <w:bottom w:val="none" w:sz="0" w:space="0" w:color="auto"/>
        <w:right w:val="none" w:sz="0" w:space="0" w:color="auto"/>
      </w:divBdr>
    </w:div>
    <w:div w:id="241793872">
      <w:marLeft w:val="0"/>
      <w:marRight w:val="0"/>
      <w:marTop w:val="0"/>
      <w:marBottom w:val="0"/>
      <w:divBdr>
        <w:top w:val="none" w:sz="0" w:space="0" w:color="auto"/>
        <w:left w:val="none" w:sz="0" w:space="0" w:color="auto"/>
        <w:bottom w:val="none" w:sz="0" w:space="0" w:color="auto"/>
        <w:right w:val="none" w:sz="0" w:space="0" w:color="auto"/>
      </w:divBdr>
    </w:div>
    <w:div w:id="305857102">
      <w:marLeft w:val="0"/>
      <w:marRight w:val="0"/>
      <w:marTop w:val="0"/>
      <w:marBottom w:val="0"/>
      <w:divBdr>
        <w:top w:val="none" w:sz="0" w:space="0" w:color="auto"/>
        <w:left w:val="none" w:sz="0" w:space="0" w:color="auto"/>
        <w:bottom w:val="none" w:sz="0" w:space="0" w:color="auto"/>
        <w:right w:val="none" w:sz="0" w:space="0" w:color="auto"/>
      </w:divBdr>
    </w:div>
    <w:div w:id="359622558">
      <w:marLeft w:val="0"/>
      <w:marRight w:val="0"/>
      <w:marTop w:val="0"/>
      <w:marBottom w:val="0"/>
      <w:divBdr>
        <w:top w:val="none" w:sz="0" w:space="0" w:color="auto"/>
        <w:left w:val="none" w:sz="0" w:space="0" w:color="auto"/>
        <w:bottom w:val="none" w:sz="0" w:space="0" w:color="auto"/>
        <w:right w:val="none" w:sz="0" w:space="0" w:color="auto"/>
      </w:divBdr>
    </w:div>
    <w:div w:id="428934952">
      <w:marLeft w:val="0"/>
      <w:marRight w:val="0"/>
      <w:marTop w:val="0"/>
      <w:marBottom w:val="0"/>
      <w:divBdr>
        <w:top w:val="none" w:sz="0" w:space="0" w:color="auto"/>
        <w:left w:val="none" w:sz="0" w:space="0" w:color="auto"/>
        <w:bottom w:val="none" w:sz="0" w:space="0" w:color="auto"/>
        <w:right w:val="none" w:sz="0" w:space="0" w:color="auto"/>
      </w:divBdr>
    </w:div>
    <w:div w:id="430974057">
      <w:marLeft w:val="0"/>
      <w:marRight w:val="0"/>
      <w:marTop w:val="0"/>
      <w:marBottom w:val="0"/>
      <w:divBdr>
        <w:top w:val="none" w:sz="0" w:space="0" w:color="auto"/>
        <w:left w:val="none" w:sz="0" w:space="0" w:color="auto"/>
        <w:bottom w:val="none" w:sz="0" w:space="0" w:color="auto"/>
        <w:right w:val="none" w:sz="0" w:space="0" w:color="auto"/>
      </w:divBdr>
    </w:div>
    <w:div w:id="484130732">
      <w:marLeft w:val="0"/>
      <w:marRight w:val="0"/>
      <w:marTop w:val="0"/>
      <w:marBottom w:val="0"/>
      <w:divBdr>
        <w:top w:val="none" w:sz="0" w:space="0" w:color="auto"/>
        <w:left w:val="none" w:sz="0" w:space="0" w:color="auto"/>
        <w:bottom w:val="none" w:sz="0" w:space="0" w:color="auto"/>
        <w:right w:val="none" w:sz="0" w:space="0" w:color="auto"/>
      </w:divBdr>
    </w:div>
    <w:div w:id="498276552">
      <w:marLeft w:val="0"/>
      <w:marRight w:val="0"/>
      <w:marTop w:val="0"/>
      <w:marBottom w:val="0"/>
      <w:divBdr>
        <w:top w:val="none" w:sz="0" w:space="0" w:color="auto"/>
        <w:left w:val="none" w:sz="0" w:space="0" w:color="auto"/>
        <w:bottom w:val="none" w:sz="0" w:space="0" w:color="auto"/>
        <w:right w:val="none" w:sz="0" w:space="0" w:color="auto"/>
      </w:divBdr>
    </w:div>
    <w:div w:id="545410441">
      <w:marLeft w:val="0"/>
      <w:marRight w:val="0"/>
      <w:marTop w:val="0"/>
      <w:marBottom w:val="0"/>
      <w:divBdr>
        <w:top w:val="none" w:sz="0" w:space="0" w:color="auto"/>
        <w:left w:val="none" w:sz="0" w:space="0" w:color="auto"/>
        <w:bottom w:val="none" w:sz="0" w:space="0" w:color="auto"/>
        <w:right w:val="none" w:sz="0" w:space="0" w:color="auto"/>
      </w:divBdr>
    </w:div>
    <w:div w:id="627660243">
      <w:marLeft w:val="0"/>
      <w:marRight w:val="0"/>
      <w:marTop w:val="0"/>
      <w:marBottom w:val="0"/>
      <w:divBdr>
        <w:top w:val="none" w:sz="0" w:space="0" w:color="auto"/>
        <w:left w:val="none" w:sz="0" w:space="0" w:color="auto"/>
        <w:bottom w:val="none" w:sz="0" w:space="0" w:color="auto"/>
        <w:right w:val="none" w:sz="0" w:space="0" w:color="auto"/>
      </w:divBdr>
    </w:div>
    <w:div w:id="636423522">
      <w:marLeft w:val="0"/>
      <w:marRight w:val="0"/>
      <w:marTop w:val="0"/>
      <w:marBottom w:val="0"/>
      <w:divBdr>
        <w:top w:val="none" w:sz="0" w:space="0" w:color="auto"/>
        <w:left w:val="none" w:sz="0" w:space="0" w:color="auto"/>
        <w:bottom w:val="none" w:sz="0" w:space="0" w:color="auto"/>
        <w:right w:val="none" w:sz="0" w:space="0" w:color="auto"/>
      </w:divBdr>
    </w:div>
    <w:div w:id="646251684">
      <w:marLeft w:val="0"/>
      <w:marRight w:val="0"/>
      <w:marTop w:val="0"/>
      <w:marBottom w:val="0"/>
      <w:divBdr>
        <w:top w:val="none" w:sz="0" w:space="0" w:color="auto"/>
        <w:left w:val="none" w:sz="0" w:space="0" w:color="auto"/>
        <w:bottom w:val="none" w:sz="0" w:space="0" w:color="auto"/>
        <w:right w:val="none" w:sz="0" w:space="0" w:color="auto"/>
      </w:divBdr>
    </w:div>
    <w:div w:id="653949698">
      <w:marLeft w:val="0"/>
      <w:marRight w:val="0"/>
      <w:marTop w:val="0"/>
      <w:marBottom w:val="0"/>
      <w:divBdr>
        <w:top w:val="none" w:sz="0" w:space="0" w:color="auto"/>
        <w:left w:val="none" w:sz="0" w:space="0" w:color="auto"/>
        <w:bottom w:val="none" w:sz="0" w:space="0" w:color="auto"/>
        <w:right w:val="none" w:sz="0" w:space="0" w:color="auto"/>
      </w:divBdr>
    </w:div>
    <w:div w:id="821391938">
      <w:marLeft w:val="0"/>
      <w:marRight w:val="0"/>
      <w:marTop w:val="0"/>
      <w:marBottom w:val="0"/>
      <w:divBdr>
        <w:top w:val="none" w:sz="0" w:space="0" w:color="auto"/>
        <w:left w:val="none" w:sz="0" w:space="0" w:color="auto"/>
        <w:bottom w:val="none" w:sz="0" w:space="0" w:color="auto"/>
        <w:right w:val="none" w:sz="0" w:space="0" w:color="auto"/>
      </w:divBdr>
    </w:div>
    <w:div w:id="875504658">
      <w:marLeft w:val="0"/>
      <w:marRight w:val="0"/>
      <w:marTop w:val="0"/>
      <w:marBottom w:val="0"/>
      <w:divBdr>
        <w:top w:val="none" w:sz="0" w:space="0" w:color="auto"/>
        <w:left w:val="none" w:sz="0" w:space="0" w:color="auto"/>
        <w:bottom w:val="none" w:sz="0" w:space="0" w:color="auto"/>
        <w:right w:val="none" w:sz="0" w:space="0" w:color="auto"/>
      </w:divBdr>
    </w:div>
    <w:div w:id="926378165">
      <w:marLeft w:val="0"/>
      <w:marRight w:val="0"/>
      <w:marTop w:val="0"/>
      <w:marBottom w:val="0"/>
      <w:divBdr>
        <w:top w:val="none" w:sz="0" w:space="0" w:color="auto"/>
        <w:left w:val="none" w:sz="0" w:space="0" w:color="auto"/>
        <w:bottom w:val="none" w:sz="0" w:space="0" w:color="auto"/>
        <w:right w:val="none" w:sz="0" w:space="0" w:color="auto"/>
      </w:divBdr>
    </w:div>
    <w:div w:id="1061172081">
      <w:marLeft w:val="0"/>
      <w:marRight w:val="0"/>
      <w:marTop w:val="0"/>
      <w:marBottom w:val="0"/>
      <w:divBdr>
        <w:top w:val="none" w:sz="0" w:space="0" w:color="auto"/>
        <w:left w:val="none" w:sz="0" w:space="0" w:color="auto"/>
        <w:bottom w:val="none" w:sz="0" w:space="0" w:color="auto"/>
        <w:right w:val="none" w:sz="0" w:space="0" w:color="auto"/>
      </w:divBdr>
    </w:div>
    <w:div w:id="1122113766">
      <w:marLeft w:val="0"/>
      <w:marRight w:val="0"/>
      <w:marTop w:val="0"/>
      <w:marBottom w:val="0"/>
      <w:divBdr>
        <w:top w:val="none" w:sz="0" w:space="0" w:color="auto"/>
        <w:left w:val="none" w:sz="0" w:space="0" w:color="auto"/>
        <w:bottom w:val="none" w:sz="0" w:space="0" w:color="auto"/>
        <w:right w:val="none" w:sz="0" w:space="0" w:color="auto"/>
      </w:divBdr>
    </w:div>
    <w:div w:id="1123184435">
      <w:marLeft w:val="0"/>
      <w:marRight w:val="0"/>
      <w:marTop w:val="0"/>
      <w:marBottom w:val="0"/>
      <w:divBdr>
        <w:top w:val="none" w:sz="0" w:space="0" w:color="auto"/>
        <w:left w:val="none" w:sz="0" w:space="0" w:color="auto"/>
        <w:bottom w:val="none" w:sz="0" w:space="0" w:color="auto"/>
        <w:right w:val="none" w:sz="0" w:space="0" w:color="auto"/>
      </w:divBdr>
    </w:div>
    <w:div w:id="1178009919">
      <w:marLeft w:val="0"/>
      <w:marRight w:val="0"/>
      <w:marTop w:val="0"/>
      <w:marBottom w:val="0"/>
      <w:divBdr>
        <w:top w:val="none" w:sz="0" w:space="0" w:color="auto"/>
        <w:left w:val="none" w:sz="0" w:space="0" w:color="auto"/>
        <w:bottom w:val="none" w:sz="0" w:space="0" w:color="auto"/>
        <w:right w:val="none" w:sz="0" w:space="0" w:color="auto"/>
      </w:divBdr>
    </w:div>
    <w:div w:id="1262178721">
      <w:marLeft w:val="0"/>
      <w:marRight w:val="0"/>
      <w:marTop w:val="0"/>
      <w:marBottom w:val="0"/>
      <w:divBdr>
        <w:top w:val="none" w:sz="0" w:space="0" w:color="auto"/>
        <w:left w:val="none" w:sz="0" w:space="0" w:color="auto"/>
        <w:bottom w:val="none" w:sz="0" w:space="0" w:color="auto"/>
        <w:right w:val="none" w:sz="0" w:space="0" w:color="auto"/>
      </w:divBdr>
    </w:div>
    <w:div w:id="1268582658">
      <w:marLeft w:val="0"/>
      <w:marRight w:val="0"/>
      <w:marTop w:val="0"/>
      <w:marBottom w:val="0"/>
      <w:divBdr>
        <w:top w:val="none" w:sz="0" w:space="0" w:color="auto"/>
        <w:left w:val="none" w:sz="0" w:space="0" w:color="auto"/>
        <w:bottom w:val="none" w:sz="0" w:space="0" w:color="auto"/>
        <w:right w:val="none" w:sz="0" w:space="0" w:color="auto"/>
      </w:divBdr>
    </w:div>
    <w:div w:id="1278754146">
      <w:marLeft w:val="0"/>
      <w:marRight w:val="0"/>
      <w:marTop w:val="0"/>
      <w:marBottom w:val="0"/>
      <w:divBdr>
        <w:top w:val="none" w:sz="0" w:space="0" w:color="auto"/>
        <w:left w:val="none" w:sz="0" w:space="0" w:color="auto"/>
        <w:bottom w:val="none" w:sz="0" w:space="0" w:color="auto"/>
        <w:right w:val="none" w:sz="0" w:space="0" w:color="auto"/>
      </w:divBdr>
    </w:div>
    <w:div w:id="1375736228">
      <w:marLeft w:val="0"/>
      <w:marRight w:val="0"/>
      <w:marTop w:val="0"/>
      <w:marBottom w:val="0"/>
      <w:divBdr>
        <w:top w:val="none" w:sz="0" w:space="0" w:color="auto"/>
        <w:left w:val="none" w:sz="0" w:space="0" w:color="auto"/>
        <w:bottom w:val="none" w:sz="0" w:space="0" w:color="auto"/>
        <w:right w:val="none" w:sz="0" w:space="0" w:color="auto"/>
      </w:divBdr>
    </w:div>
    <w:div w:id="1423407845">
      <w:marLeft w:val="0"/>
      <w:marRight w:val="0"/>
      <w:marTop w:val="0"/>
      <w:marBottom w:val="0"/>
      <w:divBdr>
        <w:top w:val="none" w:sz="0" w:space="0" w:color="auto"/>
        <w:left w:val="none" w:sz="0" w:space="0" w:color="auto"/>
        <w:bottom w:val="none" w:sz="0" w:space="0" w:color="auto"/>
        <w:right w:val="none" w:sz="0" w:space="0" w:color="auto"/>
      </w:divBdr>
    </w:div>
    <w:div w:id="1468818543">
      <w:marLeft w:val="0"/>
      <w:marRight w:val="0"/>
      <w:marTop w:val="0"/>
      <w:marBottom w:val="0"/>
      <w:divBdr>
        <w:top w:val="none" w:sz="0" w:space="0" w:color="auto"/>
        <w:left w:val="none" w:sz="0" w:space="0" w:color="auto"/>
        <w:bottom w:val="none" w:sz="0" w:space="0" w:color="auto"/>
        <w:right w:val="none" w:sz="0" w:space="0" w:color="auto"/>
      </w:divBdr>
    </w:div>
    <w:div w:id="1527213921">
      <w:marLeft w:val="0"/>
      <w:marRight w:val="0"/>
      <w:marTop w:val="0"/>
      <w:marBottom w:val="0"/>
      <w:divBdr>
        <w:top w:val="none" w:sz="0" w:space="0" w:color="auto"/>
        <w:left w:val="none" w:sz="0" w:space="0" w:color="auto"/>
        <w:bottom w:val="none" w:sz="0" w:space="0" w:color="auto"/>
        <w:right w:val="none" w:sz="0" w:space="0" w:color="auto"/>
      </w:divBdr>
    </w:div>
    <w:div w:id="1577663176">
      <w:marLeft w:val="0"/>
      <w:marRight w:val="0"/>
      <w:marTop w:val="0"/>
      <w:marBottom w:val="0"/>
      <w:divBdr>
        <w:top w:val="none" w:sz="0" w:space="0" w:color="auto"/>
        <w:left w:val="none" w:sz="0" w:space="0" w:color="auto"/>
        <w:bottom w:val="none" w:sz="0" w:space="0" w:color="auto"/>
        <w:right w:val="none" w:sz="0" w:space="0" w:color="auto"/>
      </w:divBdr>
    </w:div>
    <w:div w:id="1616980361">
      <w:marLeft w:val="0"/>
      <w:marRight w:val="0"/>
      <w:marTop w:val="0"/>
      <w:marBottom w:val="0"/>
      <w:divBdr>
        <w:top w:val="none" w:sz="0" w:space="0" w:color="auto"/>
        <w:left w:val="none" w:sz="0" w:space="0" w:color="auto"/>
        <w:bottom w:val="none" w:sz="0" w:space="0" w:color="auto"/>
        <w:right w:val="none" w:sz="0" w:space="0" w:color="auto"/>
      </w:divBdr>
    </w:div>
    <w:div w:id="1698307286">
      <w:marLeft w:val="0"/>
      <w:marRight w:val="0"/>
      <w:marTop w:val="0"/>
      <w:marBottom w:val="0"/>
      <w:divBdr>
        <w:top w:val="none" w:sz="0" w:space="0" w:color="auto"/>
        <w:left w:val="none" w:sz="0" w:space="0" w:color="auto"/>
        <w:bottom w:val="none" w:sz="0" w:space="0" w:color="auto"/>
        <w:right w:val="none" w:sz="0" w:space="0" w:color="auto"/>
      </w:divBdr>
    </w:div>
    <w:div w:id="1873958253">
      <w:marLeft w:val="0"/>
      <w:marRight w:val="0"/>
      <w:marTop w:val="0"/>
      <w:marBottom w:val="0"/>
      <w:divBdr>
        <w:top w:val="none" w:sz="0" w:space="0" w:color="auto"/>
        <w:left w:val="none" w:sz="0" w:space="0" w:color="auto"/>
        <w:bottom w:val="none" w:sz="0" w:space="0" w:color="auto"/>
        <w:right w:val="none" w:sz="0" w:space="0" w:color="auto"/>
      </w:divBdr>
    </w:div>
    <w:div w:id="1993561215">
      <w:marLeft w:val="0"/>
      <w:marRight w:val="0"/>
      <w:marTop w:val="0"/>
      <w:marBottom w:val="0"/>
      <w:divBdr>
        <w:top w:val="none" w:sz="0" w:space="0" w:color="auto"/>
        <w:left w:val="none" w:sz="0" w:space="0" w:color="auto"/>
        <w:bottom w:val="none" w:sz="0" w:space="0" w:color="auto"/>
        <w:right w:val="none" w:sz="0" w:space="0" w:color="auto"/>
      </w:divBdr>
    </w:div>
    <w:div w:id="20972466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4083</Words>
  <Characters>22459</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dc:creator>
  <cp:keywords/>
  <dc:description/>
  <cp:lastModifiedBy>Leopoldo</cp:lastModifiedBy>
  <cp:revision>2</cp:revision>
  <dcterms:created xsi:type="dcterms:W3CDTF">2018-06-26T15:52:00Z</dcterms:created>
  <dcterms:modified xsi:type="dcterms:W3CDTF">2018-06-26T15:52:00Z</dcterms:modified>
</cp:coreProperties>
</file>