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34F0F">
      <w:pPr>
        <w:pStyle w:val="NormalWeb"/>
        <w:rPr>
          <w:lang w:val="es-ES"/>
        </w:rPr>
      </w:pPr>
      <w:r>
        <w:rPr>
          <w:b/>
          <w:bCs/>
          <w:lang w:val="es-ES"/>
        </w:rPr>
        <w:t>Registro Oficial No. 611 , 1 de Noviembre 1983</w:t>
      </w:r>
    </w:p>
    <w:p w:rsidR="00000000" w:rsidRDefault="00334F0F">
      <w:pPr>
        <w:pStyle w:val="NormalWeb"/>
        <w:rPr>
          <w:lang w:val="es-ES"/>
        </w:rPr>
      </w:pPr>
      <w:r>
        <w:rPr>
          <w:b/>
          <w:bCs/>
          <w:lang w:val="es-ES"/>
        </w:rPr>
        <w:t>Normativa:</w:t>
      </w:r>
      <w:r>
        <w:rPr>
          <w:lang w:val="es-ES"/>
        </w:rPr>
        <w:t xml:space="preserve"> Vigente</w:t>
      </w:r>
    </w:p>
    <w:p w:rsidR="00000000" w:rsidRDefault="00334F0F">
      <w:pPr>
        <w:jc w:val="center"/>
        <w:rPr>
          <w:rFonts w:eastAsia="Times New Roman"/>
          <w:sz w:val="48"/>
          <w:szCs w:val="48"/>
          <w:lang w:val="es-ES"/>
        </w:rPr>
      </w:pPr>
      <w:r>
        <w:rPr>
          <w:rFonts w:eastAsia="Times New Roman"/>
          <w:b/>
          <w:bCs/>
          <w:sz w:val="48"/>
          <w:szCs w:val="48"/>
          <w:lang w:val="es-ES"/>
        </w:rPr>
        <w:br/>
      </w:r>
      <w:r>
        <w:rPr>
          <w:rFonts w:eastAsia="Times New Roman"/>
          <w:b/>
          <w:bCs/>
          <w:sz w:val="48"/>
          <w:szCs w:val="48"/>
          <w:lang w:val="es-ES"/>
        </w:rPr>
        <w:br/>
        <w:t>DECISIÓN 182:</w:t>
      </w:r>
      <w:r>
        <w:rPr>
          <w:rFonts w:eastAsia="Times New Roman"/>
          <w:b/>
          <w:bCs/>
          <w:sz w:val="48"/>
          <w:szCs w:val="48"/>
          <w:lang w:val="es-ES"/>
        </w:rPr>
        <w:br/>
      </w:r>
      <w:bookmarkStart w:id="0" w:name="_GoBack"/>
      <w:r>
        <w:rPr>
          <w:rFonts w:eastAsia="Times New Roman"/>
          <w:b/>
          <w:bCs/>
          <w:sz w:val="48"/>
          <w:szCs w:val="48"/>
          <w:lang w:val="es-ES"/>
        </w:rPr>
        <w:t>SISTEMA ANDINO "JOSÉ CELESTINO MUTIS" SOBRE AGRICULTURA, SEGURIDAD ALIMENTARIA Y CONSERVACIÓN DEL AMBIENTE</w:t>
      </w:r>
      <w:bookmarkEnd w:id="0"/>
    </w:p>
    <w:p w:rsidR="00000000" w:rsidRDefault="00334F0F">
      <w:pPr>
        <w:divId w:val="527065005"/>
        <w:rPr>
          <w:rFonts w:eastAsia="Times New Roman"/>
          <w:sz w:val="30"/>
          <w:szCs w:val="30"/>
          <w:lang w:val="es-ES"/>
        </w:rPr>
      </w:pPr>
      <w:r>
        <w:rPr>
          <w:rFonts w:eastAsia="Times New Roman"/>
          <w:sz w:val="30"/>
          <w:szCs w:val="30"/>
          <w:lang w:val="es-ES"/>
        </w:rPr>
        <w:br/>
      </w:r>
      <w:r>
        <w:rPr>
          <w:rFonts w:eastAsia="Times New Roman"/>
          <w:sz w:val="30"/>
          <w:szCs w:val="30"/>
          <w:lang w:val="es-ES"/>
        </w:rPr>
        <w:br/>
        <w:t>LA COMISIÓN DEL ACUERDO DE CARTAGENA,</w:t>
      </w:r>
      <w:r>
        <w:rPr>
          <w:rFonts w:eastAsia="Times New Roman"/>
          <w:sz w:val="30"/>
          <w:szCs w:val="30"/>
          <w:lang w:val="es-ES"/>
        </w:rPr>
        <w:br/>
      </w:r>
      <w:r>
        <w:rPr>
          <w:rFonts w:eastAsia="Times New Roman"/>
          <w:sz w:val="30"/>
          <w:szCs w:val="30"/>
          <w:lang w:val="es-ES"/>
        </w:rPr>
        <w:br/>
      </w:r>
      <w:r>
        <w:rPr>
          <w:rFonts w:eastAsia="Times New Roman"/>
          <w:sz w:val="30"/>
          <w:szCs w:val="30"/>
          <w:lang w:val="es-ES"/>
        </w:rPr>
        <w:t>REUNIDA en la ciudad de Caracas el 25 de julio de 1983, Año del Bicentenario del Nacimiento del Libertador Simón Bolívar, que lo es también de la primera expedición botánica en Colombia, dirigida por el sabio naturalista José Celestino Mutis,</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Vistos: </w:t>
      </w:r>
      <w:r>
        <w:rPr>
          <w:rFonts w:eastAsia="Times New Roman"/>
          <w:sz w:val="30"/>
          <w:szCs w:val="30"/>
          <w:lang w:val="es-ES"/>
        </w:rPr>
        <w:br/>
      </w:r>
      <w:r>
        <w:rPr>
          <w:rFonts w:eastAsia="Times New Roman"/>
          <w:sz w:val="30"/>
          <w:szCs w:val="30"/>
          <w:lang w:val="es-ES"/>
        </w:rPr>
        <w:br/>
        <w:t>El</w:t>
      </w:r>
      <w:r>
        <w:rPr>
          <w:rFonts w:eastAsia="Times New Roman"/>
          <w:sz w:val="30"/>
          <w:szCs w:val="30"/>
          <w:lang w:val="es-ES"/>
        </w:rPr>
        <w:t xml:space="preserve"> capítulo VII del Acuerdo y la Propuesta 139 de la Junta,</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 xml:space="preserve">Considerando: </w:t>
      </w:r>
      <w:r>
        <w:rPr>
          <w:rFonts w:eastAsia="Times New Roman"/>
          <w:sz w:val="30"/>
          <w:szCs w:val="30"/>
          <w:lang w:val="es-ES"/>
        </w:rPr>
        <w:br/>
      </w:r>
      <w:r>
        <w:rPr>
          <w:rFonts w:eastAsia="Times New Roman"/>
          <w:sz w:val="30"/>
          <w:szCs w:val="30"/>
          <w:lang w:val="es-ES"/>
        </w:rPr>
        <w:br/>
        <w:t>Que la Quinta Reunión de Ministros de Agricultura recomendó a los presidentes de los Países Miembros la adopción de un convenio sobre agricultura, seguridad alimentaria y conservaci</w:t>
      </w:r>
      <w:r>
        <w:rPr>
          <w:rFonts w:eastAsia="Times New Roman"/>
          <w:sz w:val="30"/>
          <w:szCs w:val="30"/>
          <w:lang w:val="es-ES"/>
        </w:rPr>
        <w:t>ón del ambiente en la Subregión, con base en lo dispuesto por el Capítulo VII del Acuerdo;</w:t>
      </w:r>
      <w:r>
        <w:rPr>
          <w:rFonts w:eastAsia="Times New Roman"/>
          <w:sz w:val="30"/>
          <w:szCs w:val="30"/>
          <w:lang w:val="es-ES"/>
        </w:rPr>
        <w:br/>
      </w:r>
      <w:r>
        <w:rPr>
          <w:rFonts w:eastAsia="Times New Roman"/>
          <w:sz w:val="30"/>
          <w:szCs w:val="30"/>
          <w:lang w:val="es-ES"/>
        </w:rPr>
        <w:br/>
        <w:t>Que es necesario adelantar iniciativas de carácter fundamental para el ejercicio de la soberanía e independencia de los Países Miembros y especialmente para que sus</w:t>
      </w:r>
      <w:r>
        <w:rPr>
          <w:rFonts w:eastAsia="Times New Roman"/>
          <w:sz w:val="30"/>
          <w:szCs w:val="30"/>
          <w:lang w:val="es-ES"/>
        </w:rPr>
        <w:t xml:space="preserve"> habitantes puedan ejercer el derecho a la alimentación en condiciones cónsonas con la dignidad humana;</w:t>
      </w:r>
      <w:r>
        <w:rPr>
          <w:rFonts w:eastAsia="Times New Roman"/>
          <w:sz w:val="30"/>
          <w:szCs w:val="30"/>
          <w:lang w:val="es-ES"/>
        </w:rPr>
        <w:br/>
      </w:r>
      <w:r>
        <w:rPr>
          <w:rFonts w:eastAsia="Times New Roman"/>
          <w:sz w:val="30"/>
          <w:szCs w:val="30"/>
          <w:lang w:val="es-ES"/>
        </w:rPr>
        <w:lastRenderedPageBreak/>
        <w:br/>
        <w:t>Que la producción agropecuaria es altamente vulnerable y dependiente de los elementos naturales, lo cual se evidencia por las situaciones de emergencia</w:t>
      </w:r>
      <w:r>
        <w:rPr>
          <w:rFonts w:eastAsia="Times New Roman"/>
          <w:sz w:val="30"/>
          <w:szCs w:val="30"/>
          <w:lang w:val="es-ES"/>
        </w:rPr>
        <w:t xml:space="preserve"> vividas por algunos Países Miembros a consecuencia de los desastres naturales;</w:t>
      </w:r>
      <w:r>
        <w:rPr>
          <w:rFonts w:eastAsia="Times New Roman"/>
          <w:sz w:val="30"/>
          <w:szCs w:val="30"/>
          <w:lang w:val="es-ES"/>
        </w:rPr>
        <w:br/>
      </w:r>
      <w:r>
        <w:rPr>
          <w:rFonts w:eastAsia="Times New Roman"/>
          <w:sz w:val="30"/>
          <w:szCs w:val="30"/>
          <w:lang w:val="es-ES"/>
        </w:rPr>
        <w:br/>
        <w:t>Que la crisis, alimentaria en los Países Miembros guarda estrecha relación con las limitaciones para el financiamiento del desarrollo agropecuario, especialmente por el reduci</w:t>
      </w:r>
      <w:r>
        <w:rPr>
          <w:rFonts w:eastAsia="Times New Roman"/>
          <w:sz w:val="30"/>
          <w:szCs w:val="30"/>
          <w:lang w:val="es-ES"/>
        </w:rPr>
        <w:t>do acceso a las fuentes disponibles y por las condiciones onerosas de dichos recursos en los mercados internacionales;</w:t>
      </w:r>
      <w:r>
        <w:rPr>
          <w:rFonts w:eastAsia="Times New Roman"/>
          <w:sz w:val="30"/>
          <w:szCs w:val="30"/>
          <w:lang w:val="es-ES"/>
        </w:rPr>
        <w:br/>
      </w:r>
      <w:r>
        <w:rPr>
          <w:rFonts w:eastAsia="Times New Roman"/>
          <w:sz w:val="30"/>
          <w:szCs w:val="30"/>
          <w:lang w:val="es-ES"/>
        </w:rPr>
        <w:br/>
        <w:t>Que la demanda alimentaria de la Subregión supera su producción de alimentos y que tal situación tiende a agravarse y repercute negativa</w:t>
      </w:r>
      <w:r>
        <w:rPr>
          <w:rFonts w:eastAsia="Times New Roman"/>
          <w:sz w:val="30"/>
          <w:szCs w:val="30"/>
          <w:lang w:val="es-ES"/>
        </w:rPr>
        <w:t>mente en su grado de autosuficiencia;</w:t>
      </w:r>
      <w:r>
        <w:rPr>
          <w:rFonts w:eastAsia="Times New Roman"/>
          <w:sz w:val="30"/>
          <w:szCs w:val="30"/>
          <w:lang w:val="es-ES"/>
        </w:rPr>
        <w:br/>
      </w:r>
      <w:r>
        <w:rPr>
          <w:rFonts w:eastAsia="Times New Roman"/>
          <w:sz w:val="30"/>
          <w:szCs w:val="30"/>
          <w:lang w:val="es-ES"/>
        </w:rPr>
        <w:br/>
        <w:t>Que para la atención de la demanda creciente de productos alimentarios básicos, la Subregión recurre a fuentes externas de abastecimiento, en proporciones cada vez mayores;</w:t>
      </w:r>
      <w:r>
        <w:rPr>
          <w:rFonts w:eastAsia="Times New Roman"/>
          <w:sz w:val="30"/>
          <w:szCs w:val="30"/>
          <w:lang w:val="es-ES"/>
        </w:rPr>
        <w:br/>
      </w:r>
      <w:r>
        <w:rPr>
          <w:rFonts w:eastAsia="Times New Roman"/>
          <w:sz w:val="30"/>
          <w:szCs w:val="30"/>
          <w:lang w:val="es-ES"/>
        </w:rPr>
        <w:br/>
        <w:t>Que los Países Miembros tienen el potencial</w:t>
      </w:r>
      <w:r>
        <w:rPr>
          <w:rFonts w:eastAsia="Times New Roman"/>
          <w:sz w:val="30"/>
          <w:szCs w:val="30"/>
          <w:lang w:val="es-ES"/>
        </w:rPr>
        <w:t xml:space="preserve"> agropecuario para satisfacer las necesidades de abastecimiento a través de un aumento en la producción y del intercambio ordenado de productos del sector;</w:t>
      </w:r>
      <w:r>
        <w:rPr>
          <w:rFonts w:eastAsia="Times New Roman"/>
          <w:sz w:val="30"/>
          <w:szCs w:val="30"/>
          <w:lang w:val="es-ES"/>
        </w:rPr>
        <w:br/>
      </w:r>
      <w:r>
        <w:rPr>
          <w:rFonts w:eastAsia="Times New Roman"/>
          <w:sz w:val="30"/>
          <w:szCs w:val="30"/>
          <w:lang w:val="es-ES"/>
        </w:rPr>
        <w:br/>
        <w:t xml:space="preserve">Que la prioridad que debe darse a la seguridad alimentaria de la Subregión requiere la formulación </w:t>
      </w:r>
      <w:r>
        <w:rPr>
          <w:rFonts w:eastAsia="Times New Roman"/>
          <w:sz w:val="30"/>
          <w:szCs w:val="30"/>
          <w:lang w:val="es-ES"/>
        </w:rPr>
        <w:t>de políticas en el campo de la producción, almacenamiento, distribución y comercialización de alimentos e insumos y la investigación y transferencia tecnológica que aseguren a sus pobladores el abastecimiento y consumo de su dieta básica en cualquier circu</w:t>
      </w:r>
      <w:r>
        <w:rPr>
          <w:rFonts w:eastAsia="Times New Roman"/>
          <w:sz w:val="30"/>
          <w:szCs w:val="30"/>
          <w:lang w:val="es-ES"/>
        </w:rPr>
        <w:t>nstancia;</w:t>
      </w:r>
      <w:r>
        <w:rPr>
          <w:rFonts w:eastAsia="Times New Roman"/>
          <w:sz w:val="30"/>
          <w:szCs w:val="30"/>
          <w:lang w:val="es-ES"/>
        </w:rPr>
        <w:br/>
      </w:r>
      <w:r>
        <w:rPr>
          <w:rFonts w:eastAsia="Times New Roman"/>
          <w:sz w:val="30"/>
          <w:szCs w:val="30"/>
          <w:lang w:val="es-ES"/>
        </w:rPr>
        <w:br/>
        <w:t>Que es conveniente armonizar el uso agropecuario y la preservación del medio ambiente, base y soporte del acontecer humano, y conservar el potencial de los recursos naturales renovables;</w:t>
      </w:r>
      <w:r>
        <w:rPr>
          <w:rFonts w:eastAsia="Times New Roman"/>
          <w:sz w:val="30"/>
          <w:szCs w:val="30"/>
          <w:lang w:val="es-ES"/>
        </w:rPr>
        <w:br/>
      </w:r>
      <w:r>
        <w:rPr>
          <w:rFonts w:eastAsia="Times New Roman"/>
          <w:sz w:val="30"/>
          <w:szCs w:val="30"/>
          <w:lang w:val="es-ES"/>
        </w:rPr>
        <w:br/>
        <w:t>Que es importante la investigación del medio ambiente, de</w:t>
      </w:r>
      <w:r>
        <w:rPr>
          <w:rFonts w:eastAsia="Times New Roman"/>
          <w:sz w:val="30"/>
          <w:szCs w:val="30"/>
          <w:lang w:val="es-ES"/>
        </w:rPr>
        <w:t>l uso racional de los recursos y de las medidas conservacionistas, especialmente de aquellas áreas que han sido o pueden ser afectadas por la expansión de las fronteras agrícolas en las reservas forestales y en las cuencas, patrimonio de las generaciones a</w:t>
      </w:r>
      <w:r>
        <w:rPr>
          <w:rFonts w:eastAsia="Times New Roman"/>
          <w:sz w:val="30"/>
          <w:szCs w:val="30"/>
          <w:lang w:val="es-ES"/>
        </w:rPr>
        <w:t>ctuales y futuras;</w:t>
      </w:r>
      <w:r>
        <w:rPr>
          <w:rFonts w:eastAsia="Times New Roman"/>
          <w:sz w:val="30"/>
          <w:szCs w:val="30"/>
          <w:lang w:val="es-ES"/>
        </w:rPr>
        <w:br/>
      </w:r>
      <w:r>
        <w:rPr>
          <w:rFonts w:eastAsia="Times New Roman"/>
          <w:sz w:val="30"/>
          <w:szCs w:val="30"/>
          <w:lang w:val="es-ES"/>
        </w:rPr>
        <w:lastRenderedPageBreak/>
        <w:br/>
        <w:t>Que es importante desarrollar un sistema, planes, estrategias y acciones para alcanzar los objetivos de la seguridad alimentaria de la Subregión, que propicien un mayor grado de autosuficiencia;</w:t>
      </w:r>
      <w:r>
        <w:rPr>
          <w:rFonts w:eastAsia="Times New Roman"/>
          <w:sz w:val="30"/>
          <w:szCs w:val="30"/>
          <w:lang w:val="es-ES"/>
        </w:rPr>
        <w:br/>
      </w:r>
      <w:r>
        <w:rPr>
          <w:rFonts w:eastAsia="Times New Roman"/>
          <w:sz w:val="30"/>
          <w:szCs w:val="30"/>
          <w:lang w:val="es-ES"/>
        </w:rPr>
        <w:br/>
      </w:r>
      <w:r>
        <w:rPr>
          <w:rFonts w:eastAsia="Times New Roman"/>
          <w:b/>
          <w:bCs/>
          <w:sz w:val="30"/>
          <w:szCs w:val="30"/>
          <w:lang w:val="es-ES"/>
        </w:rPr>
        <w:t>Decide:</w:t>
      </w:r>
    </w:p>
    <w:p w:rsidR="00000000" w:rsidRDefault="00334F0F">
      <w:pPr>
        <w:jc w:val="center"/>
        <w:rPr>
          <w:rFonts w:eastAsia="Times New Roman"/>
          <w:sz w:val="36"/>
          <w:szCs w:val="36"/>
          <w:lang w:val="es-ES"/>
        </w:rPr>
      </w:pPr>
      <w:r>
        <w:rPr>
          <w:rFonts w:eastAsia="Times New Roman"/>
          <w:b/>
          <w:bCs/>
          <w:sz w:val="36"/>
          <w:szCs w:val="36"/>
          <w:lang w:val="es-ES"/>
        </w:rPr>
        <w:br/>
        <w:t>Capítulo I</w:t>
      </w:r>
      <w:r>
        <w:rPr>
          <w:rFonts w:eastAsia="Times New Roman"/>
          <w:b/>
          <w:bCs/>
          <w:sz w:val="36"/>
          <w:szCs w:val="36"/>
          <w:lang w:val="es-ES"/>
        </w:rPr>
        <w:br/>
        <w:t>DE LA CREACIÓN Y OBJ</w:t>
      </w:r>
      <w:r>
        <w:rPr>
          <w:rFonts w:eastAsia="Times New Roman"/>
          <w:b/>
          <w:bCs/>
          <w:sz w:val="36"/>
          <w:szCs w:val="36"/>
          <w:lang w:val="es-ES"/>
        </w:rPr>
        <w:t>ETIVOS DEL SISTEMA ANDINO "JOSÉ CELESTINO MUTIS"</w:t>
      </w:r>
    </w:p>
    <w:p w:rsidR="00000000" w:rsidRDefault="00334F0F">
      <w:pPr>
        <w:divId w:val="514999174"/>
        <w:rPr>
          <w:rFonts w:eastAsia="Times New Roman"/>
          <w:sz w:val="30"/>
          <w:szCs w:val="30"/>
          <w:lang w:val="es-ES"/>
        </w:rPr>
      </w:pPr>
      <w:r>
        <w:rPr>
          <w:rFonts w:eastAsia="Times New Roman"/>
          <w:b/>
          <w:bCs/>
          <w:sz w:val="30"/>
          <w:szCs w:val="30"/>
          <w:lang w:val="es-ES"/>
        </w:rPr>
        <w:t>Art. 1.-</w:t>
      </w:r>
      <w:r>
        <w:rPr>
          <w:rFonts w:eastAsia="Times New Roman"/>
          <w:sz w:val="30"/>
          <w:szCs w:val="30"/>
          <w:lang w:val="es-ES"/>
        </w:rPr>
        <w:t xml:space="preserve"> Crear el Sistema Andino "JOSÉ CELESTINO MUTIS" sobre agricultura, seguridad alimentaria y conservación del ambiente, definido como el conjunto de acciones que permitan proteger a los Países Miembros</w:t>
      </w:r>
      <w:r>
        <w:rPr>
          <w:rFonts w:eastAsia="Times New Roman"/>
          <w:sz w:val="30"/>
          <w:szCs w:val="30"/>
          <w:lang w:val="es-ES"/>
        </w:rPr>
        <w:t xml:space="preserve"> contra los riesgos del desabastecimiento de alimentos y atender las necesidades alimentarias y nutricionales de la población, a través de mejoras en la producción, productividad, tecnología, establecimiento de reservas, comercialización y consumo de alime</w:t>
      </w:r>
      <w:r>
        <w:rPr>
          <w:rFonts w:eastAsia="Times New Roman"/>
          <w:sz w:val="30"/>
          <w:szCs w:val="30"/>
          <w:lang w:val="es-ES"/>
        </w:rPr>
        <w:t>ntos.</w:t>
      </w:r>
      <w:r>
        <w:rPr>
          <w:rFonts w:eastAsia="Times New Roman"/>
          <w:sz w:val="30"/>
          <w:szCs w:val="30"/>
          <w:lang w:val="es-ES"/>
        </w:rPr>
        <w:br/>
      </w:r>
      <w:r>
        <w:rPr>
          <w:rFonts w:eastAsia="Times New Roman"/>
          <w:sz w:val="30"/>
          <w:szCs w:val="30"/>
          <w:lang w:val="es-ES"/>
        </w:rPr>
        <w:br/>
        <w:t>Se organizará también un Programa Conjunto de Investigación y Transferencia Tecnológica Agropecuaria y se desarrollarán acciones coordinadas que favorezcan el uso y el manejo racional de los recursos naturales.</w:t>
      </w:r>
    </w:p>
    <w:p w:rsidR="00000000" w:rsidRDefault="00334F0F">
      <w:pPr>
        <w:divId w:val="1962683147"/>
        <w:rPr>
          <w:rFonts w:eastAsia="Times New Roman"/>
          <w:sz w:val="30"/>
          <w:szCs w:val="30"/>
          <w:lang w:val="es-ES"/>
        </w:rPr>
      </w:pPr>
      <w:r>
        <w:rPr>
          <w:rFonts w:eastAsia="Times New Roman"/>
          <w:b/>
          <w:bCs/>
          <w:sz w:val="30"/>
          <w:szCs w:val="30"/>
          <w:lang w:val="es-ES"/>
        </w:rPr>
        <w:t>Art. 2.-</w:t>
      </w:r>
      <w:r>
        <w:rPr>
          <w:rFonts w:eastAsia="Times New Roman"/>
          <w:sz w:val="30"/>
          <w:szCs w:val="30"/>
          <w:lang w:val="es-ES"/>
        </w:rPr>
        <w:t xml:space="preserve"> Son objetivos del Sistema: </w:t>
      </w:r>
      <w:r>
        <w:rPr>
          <w:rFonts w:eastAsia="Times New Roman"/>
          <w:sz w:val="30"/>
          <w:szCs w:val="30"/>
          <w:lang w:val="es-ES"/>
        </w:rPr>
        <w:br/>
      </w:r>
      <w:r>
        <w:rPr>
          <w:rFonts w:eastAsia="Times New Roman"/>
          <w:sz w:val="30"/>
          <w:szCs w:val="30"/>
          <w:lang w:val="es-ES"/>
        </w:rPr>
        <w:br/>
      </w:r>
      <w:r>
        <w:rPr>
          <w:rFonts w:eastAsia="Times New Roman"/>
          <w:sz w:val="30"/>
          <w:szCs w:val="30"/>
          <w:lang w:val="es-ES"/>
        </w:rPr>
        <w:t xml:space="preserve">a) Incrementar la producción y la productividad agropecuarias, especialmente en los renglones de cereales, oleaginosas y leguminosas, raíces y tubérculos, carne, huevos, leche y sus derivados y semillas mejoradas; </w:t>
      </w:r>
      <w:r>
        <w:rPr>
          <w:rFonts w:eastAsia="Times New Roman"/>
          <w:sz w:val="30"/>
          <w:szCs w:val="30"/>
          <w:lang w:val="es-ES"/>
        </w:rPr>
        <w:br/>
      </w:r>
      <w:r>
        <w:rPr>
          <w:rFonts w:eastAsia="Times New Roman"/>
          <w:sz w:val="30"/>
          <w:szCs w:val="30"/>
          <w:lang w:val="es-ES"/>
        </w:rPr>
        <w:br/>
        <w:t>b) Garantizar el abastecimiento suficien</w:t>
      </w:r>
      <w:r>
        <w:rPr>
          <w:rFonts w:eastAsia="Times New Roman"/>
          <w:sz w:val="30"/>
          <w:szCs w:val="30"/>
          <w:lang w:val="es-ES"/>
        </w:rPr>
        <w:t xml:space="preserve">te y oportuno de los productos prioritarios de la dieta básica y asegurar la capacidad adquisitiva para alcanzar niveles de consumo acordes con los requerimientos nutricionales de todos los estratos socioeconómicos de la población andina; </w:t>
      </w:r>
      <w:r>
        <w:rPr>
          <w:rFonts w:eastAsia="Times New Roman"/>
          <w:sz w:val="30"/>
          <w:szCs w:val="30"/>
          <w:lang w:val="es-ES"/>
        </w:rPr>
        <w:br/>
      </w:r>
      <w:r>
        <w:rPr>
          <w:rFonts w:eastAsia="Times New Roman"/>
          <w:sz w:val="30"/>
          <w:szCs w:val="30"/>
          <w:lang w:val="es-ES"/>
        </w:rPr>
        <w:br/>
        <w:t>c) Mejorar la r</w:t>
      </w:r>
      <w:r>
        <w:rPr>
          <w:rFonts w:eastAsia="Times New Roman"/>
          <w:sz w:val="30"/>
          <w:szCs w:val="30"/>
          <w:lang w:val="es-ES"/>
        </w:rPr>
        <w:t xml:space="preserve">elación entre los patrones de consumo de cada País Miembro y su respectivo potencial agropecuario; </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d) Estimular y facilitar el comercio intrasubregional de alimentos básicos, para lo cual deberán mejorarse los canales de distribución y el transporte, así</w:t>
      </w:r>
      <w:r>
        <w:rPr>
          <w:rFonts w:eastAsia="Times New Roman"/>
          <w:sz w:val="30"/>
          <w:szCs w:val="30"/>
          <w:lang w:val="es-ES"/>
        </w:rPr>
        <w:t xml:space="preserve"> como perfeccionarse los mecanismos bajo los cuales se desarrolla. Para ello se otorgarán y mantendrán preferencias en el abastecimiento de alimentos e insumos agropecuarios provenientes de la Subregión; </w:t>
      </w:r>
      <w:r>
        <w:rPr>
          <w:rFonts w:eastAsia="Times New Roman"/>
          <w:sz w:val="30"/>
          <w:szCs w:val="30"/>
          <w:lang w:val="es-ES"/>
        </w:rPr>
        <w:br/>
      </w:r>
      <w:r>
        <w:rPr>
          <w:rFonts w:eastAsia="Times New Roman"/>
          <w:sz w:val="30"/>
          <w:szCs w:val="30"/>
          <w:lang w:val="es-ES"/>
        </w:rPr>
        <w:br/>
        <w:t>e) Promover el desarrollo agroindustrial en funció</w:t>
      </w:r>
      <w:r>
        <w:rPr>
          <w:rFonts w:eastAsia="Times New Roman"/>
          <w:sz w:val="30"/>
          <w:szCs w:val="30"/>
          <w:lang w:val="es-ES"/>
        </w:rPr>
        <w:t>n del abastecimiento de productos prioritarios;</w:t>
      </w:r>
      <w:r>
        <w:rPr>
          <w:rFonts w:eastAsia="Times New Roman"/>
          <w:sz w:val="30"/>
          <w:szCs w:val="30"/>
          <w:lang w:val="es-ES"/>
        </w:rPr>
        <w:br/>
      </w:r>
      <w:r>
        <w:rPr>
          <w:rFonts w:eastAsia="Times New Roman"/>
          <w:sz w:val="30"/>
          <w:szCs w:val="30"/>
          <w:lang w:val="es-ES"/>
        </w:rPr>
        <w:br/>
        <w:t xml:space="preserve">f) Fortalecer los sistemas nacionales de almacenamiento; </w:t>
      </w:r>
      <w:r>
        <w:rPr>
          <w:rFonts w:eastAsia="Times New Roman"/>
          <w:sz w:val="30"/>
          <w:szCs w:val="30"/>
          <w:lang w:val="es-ES"/>
        </w:rPr>
        <w:br/>
      </w:r>
      <w:r>
        <w:rPr>
          <w:rFonts w:eastAsia="Times New Roman"/>
          <w:sz w:val="30"/>
          <w:szCs w:val="30"/>
          <w:lang w:val="es-ES"/>
        </w:rPr>
        <w:br/>
        <w:t xml:space="preserve">g) Intercambiar experiencias e información y complementar los esfuerzos regionales en materia de seguridad alimentaria; </w:t>
      </w:r>
      <w:r>
        <w:rPr>
          <w:rFonts w:eastAsia="Times New Roman"/>
          <w:sz w:val="30"/>
          <w:szCs w:val="30"/>
          <w:lang w:val="es-ES"/>
        </w:rPr>
        <w:br/>
      </w:r>
      <w:r>
        <w:rPr>
          <w:rFonts w:eastAsia="Times New Roman"/>
          <w:sz w:val="30"/>
          <w:szCs w:val="30"/>
          <w:lang w:val="es-ES"/>
        </w:rPr>
        <w:br/>
        <w:t>h) Aprovechar las capacida</w:t>
      </w:r>
      <w:r>
        <w:rPr>
          <w:rFonts w:eastAsia="Times New Roman"/>
          <w:sz w:val="30"/>
          <w:szCs w:val="30"/>
          <w:lang w:val="es-ES"/>
        </w:rPr>
        <w:t xml:space="preserve">des existentes en la Subregión con respecto a la formación de recursos humanos en el área de la agricultura y la alimentación, así como de la investigación y transferencia de tecnología agropecuaria; </w:t>
      </w:r>
      <w:r>
        <w:rPr>
          <w:rFonts w:eastAsia="Times New Roman"/>
          <w:sz w:val="30"/>
          <w:szCs w:val="30"/>
          <w:lang w:val="es-ES"/>
        </w:rPr>
        <w:br/>
      </w:r>
      <w:r>
        <w:rPr>
          <w:rFonts w:eastAsia="Times New Roman"/>
          <w:sz w:val="30"/>
          <w:szCs w:val="30"/>
          <w:lang w:val="es-ES"/>
        </w:rPr>
        <w:br/>
        <w:t>i) Adecuar las experiencias científicas y tecnológicas</w:t>
      </w:r>
      <w:r>
        <w:rPr>
          <w:rFonts w:eastAsia="Times New Roman"/>
          <w:sz w:val="30"/>
          <w:szCs w:val="30"/>
          <w:lang w:val="es-ES"/>
        </w:rPr>
        <w:t xml:space="preserve"> foráneas y fomentar el desarrollo de Tecnologías propias, de acuerdo con las características de la Subregión; </w:t>
      </w:r>
      <w:r>
        <w:rPr>
          <w:rFonts w:eastAsia="Times New Roman"/>
          <w:sz w:val="30"/>
          <w:szCs w:val="30"/>
          <w:lang w:val="es-ES"/>
        </w:rPr>
        <w:br/>
      </w:r>
      <w:r>
        <w:rPr>
          <w:rFonts w:eastAsia="Times New Roman"/>
          <w:sz w:val="30"/>
          <w:szCs w:val="30"/>
          <w:lang w:val="es-ES"/>
        </w:rPr>
        <w:br/>
        <w:t>j) Adoptar criterios comunes y posiciones conjuntas en los temas vinculados a la crisis económica internacional, fundamentalmente en el comerci</w:t>
      </w:r>
      <w:r>
        <w:rPr>
          <w:rFonts w:eastAsia="Times New Roman"/>
          <w:sz w:val="30"/>
          <w:szCs w:val="30"/>
          <w:lang w:val="es-ES"/>
        </w:rPr>
        <w:t xml:space="preserve">o internacional de los productos básicos; </w:t>
      </w:r>
      <w:r>
        <w:rPr>
          <w:rFonts w:eastAsia="Times New Roman"/>
          <w:sz w:val="30"/>
          <w:szCs w:val="30"/>
          <w:lang w:val="es-ES"/>
        </w:rPr>
        <w:br/>
      </w:r>
      <w:r>
        <w:rPr>
          <w:rFonts w:eastAsia="Times New Roman"/>
          <w:sz w:val="30"/>
          <w:szCs w:val="30"/>
          <w:lang w:val="es-ES"/>
        </w:rPr>
        <w:br/>
        <w:t xml:space="preserve">k) Fortalecer los mecanismos subregionales de financiamiento en beneficio de las actividades previstas en el Sistema; </w:t>
      </w:r>
      <w:r>
        <w:rPr>
          <w:rFonts w:eastAsia="Times New Roman"/>
          <w:sz w:val="30"/>
          <w:szCs w:val="30"/>
          <w:lang w:val="es-ES"/>
        </w:rPr>
        <w:br/>
      </w:r>
      <w:r>
        <w:rPr>
          <w:rFonts w:eastAsia="Times New Roman"/>
          <w:sz w:val="30"/>
          <w:szCs w:val="30"/>
          <w:lang w:val="es-ES"/>
        </w:rPr>
        <w:br/>
        <w:t>l) Promover políticas y acciones conjuntas para el aprovechamiento y conservación de los rec</w:t>
      </w:r>
      <w:r>
        <w:rPr>
          <w:rFonts w:eastAsia="Times New Roman"/>
          <w:sz w:val="30"/>
          <w:szCs w:val="30"/>
          <w:lang w:val="es-ES"/>
        </w:rPr>
        <w:t>ursos hidrobiológicos, forestales y naturales conexos.</w:t>
      </w:r>
    </w:p>
    <w:p w:rsidR="00000000" w:rsidRDefault="00334F0F">
      <w:pPr>
        <w:jc w:val="center"/>
        <w:rPr>
          <w:rFonts w:eastAsia="Times New Roman"/>
          <w:sz w:val="36"/>
          <w:szCs w:val="36"/>
          <w:lang w:val="es-ES"/>
        </w:rPr>
      </w:pPr>
      <w:r>
        <w:rPr>
          <w:rFonts w:eastAsia="Times New Roman"/>
          <w:b/>
          <w:bCs/>
          <w:sz w:val="36"/>
          <w:szCs w:val="36"/>
          <w:lang w:val="es-ES"/>
        </w:rPr>
        <w:br/>
        <w:t>Capítulo II</w:t>
      </w:r>
      <w:r>
        <w:rPr>
          <w:rFonts w:eastAsia="Times New Roman"/>
          <w:b/>
          <w:bCs/>
          <w:sz w:val="36"/>
          <w:szCs w:val="36"/>
          <w:lang w:val="es-ES"/>
        </w:rPr>
        <w:br/>
        <w:t>DEL SISTEMA ANDINO DE SEGURIDAD ALIMENTARIA</w:t>
      </w:r>
    </w:p>
    <w:p w:rsidR="00000000" w:rsidRDefault="00334F0F">
      <w:pPr>
        <w:jc w:val="center"/>
        <w:rPr>
          <w:rFonts w:eastAsia="Times New Roman"/>
          <w:sz w:val="36"/>
          <w:szCs w:val="36"/>
          <w:lang w:val="es-ES"/>
        </w:rPr>
      </w:pPr>
      <w:r>
        <w:rPr>
          <w:rFonts w:eastAsia="Times New Roman"/>
          <w:b/>
          <w:bCs/>
          <w:sz w:val="36"/>
          <w:szCs w:val="36"/>
          <w:lang w:val="es-ES"/>
        </w:rPr>
        <w:lastRenderedPageBreak/>
        <w:br/>
        <w:t>Sección Primera</w:t>
      </w:r>
      <w:r>
        <w:rPr>
          <w:rFonts w:eastAsia="Times New Roman"/>
          <w:b/>
          <w:bCs/>
          <w:sz w:val="36"/>
          <w:szCs w:val="36"/>
          <w:lang w:val="es-ES"/>
        </w:rPr>
        <w:br/>
        <w:t>DE LOS SISTEMAS NACIONALES DE SEGURIDAD ALIMENTARIA</w:t>
      </w:r>
    </w:p>
    <w:p w:rsidR="00000000" w:rsidRDefault="00334F0F">
      <w:pPr>
        <w:divId w:val="1604877559"/>
        <w:rPr>
          <w:rFonts w:eastAsia="Times New Roman"/>
          <w:sz w:val="30"/>
          <w:szCs w:val="30"/>
          <w:lang w:val="es-ES"/>
        </w:rPr>
      </w:pPr>
      <w:r>
        <w:rPr>
          <w:rFonts w:eastAsia="Times New Roman"/>
          <w:b/>
          <w:bCs/>
          <w:sz w:val="30"/>
          <w:szCs w:val="30"/>
          <w:lang w:val="es-ES"/>
        </w:rPr>
        <w:t>Art. 3.-</w:t>
      </w:r>
      <w:r>
        <w:rPr>
          <w:rFonts w:eastAsia="Times New Roman"/>
          <w:sz w:val="30"/>
          <w:szCs w:val="30"/>
          <w:lang w:val="es-ES"/>
        </w:rPr>
        <w:t xml:space="preserve"> Cada País Miembro promoverá la creación de un Sistema Nacional de </w:t>
      </w:r>
      <w:r>
        <w:rPr>
          <w:rFonts w:eastAsia="Times New Roman"/>
          <w:sz w:val="30"/>
          <w:szCs w:val="30"/>
          <w:lang w:val="es-ES"/>
        </w:rPr>
        <w:t>Seguridad Alimentaria, como condición necesaria para la instrumentación del Sistema Andino que prevé esta Decisión.</w:t>
      </w:r>
    </w:p>
    <w:p w:rsidR="00000000" w:rsidRDefault="00334F0F">
      <w:pPr>
        <w:divId w:val="1018968206"/>
        <w:rPr>
          <w:rFonts w:eastAsia="Times New Roman"/>
          <w:sz w:val="30"/>
          <w:szCs w:val="30"/>
          <w:lang w:val="es-ES"/>
        </w:rPr>
      </w:pPr>
      <w:r>
        <w:rPr>
          <w:rFonts w:eastAsia="Times New Roman"/>
          <w:b/>
          <w:bCs/>
          <w:sz w:val="30"/>
          <w:szCs w:val="30"/>
          <w:lang w:val="es-ES"/>
        </w:rPr>
        <w:t xml:space="preserve">Art. 4.- </w:t>
      </w:r>
      <w:r>
        <w:rPr>
          <w:rFonts w:eastAsia="Times New Roman"/>
          <w:sz w:val="30"/>
          <w:szCs w:val="30"/>
          <w:lang w:val="es-ES"/>
        </w:rPr>
        <w:t>Los planes nacionales constituirán la base para la puesta en marcha de los respectivos sistemas nacionales de seguridad alimentaria</w:t>
      </w:r>
      <w:r>
        <w:rPr>
          <w:rFonts w:eastAsia="Times New Roman"/>
          <w:sz w:val="30"/>
          <w:szCs w:val="30"/>
          <w:lang w:val="es-ES"/>
        </w:rPr>
        <w:t>. Con base en dichos planes, se diseñará el mecanismo de coordinación e interconexión de los sistemas nacionales.</w:t>
      </w:r>
    </w:p>
    <w:p w:rsidR="00000000" w:rsidRDefault="00334F0F">
      <w:pPr>
        <w:divId w:val="671419616"/>
        <w:rPr>
          <w:rFonts w:eastAsia="Times New Roman"/>
          <w:sz w:val="30"/>
          <w:szCs w:val="30"/>
          <w:lang w:val="es-ES"/>
        </w:rPr>
      </w:pPr>
      <w:r>
        <w:rPr>
          <w:rFonts w:eastAsia="Times New Roman"/>
          <w:b/>
          <w:bCs/>
          <w:sz w:val="30"/>
          <w:szCs w:val="30"/>
          <w:lang w:val="es-ES"/>
        </w:rPr>
        <w:t>Art. 5.-</w:t>
      </w:r>
      <w:r>
        <w:rPr>
          <w:rFonts w:eastAsia="Times New Roman"/>
          <w:sz w:val="30"/>
          <w:szCs w:val="30"/>
          <w:lang w:val="es-ES"/>
        </w:rPr>
        <w:t xml:space="preserve"> Para el cumplimiento de los objetivos del Sistema, cada País Miembro:</w:t>
      </w:r>
      <w:r>
        <w:rPr>
          <w:rFonts w:eastAsia="Times New Roman"/>
          <w:sz w:val="30"/>
          <w:szCs w:val="30"/>
          <w:lang w:val="es-ES"/>
        </w:rPr>
        <w:br/>
      </w:r>
      <w:r>
        <w:rPr>
          <w:rFonts w:eastAsia="Times New Roman"/>
          <w:sz w:val="30"/>
          <w:szCs w:val="30"/>
          <w:lang w:val="es-ES"/>
        </w:rPr>
        <w:br/>
        <w:t>a) Evaluará su situación alimentaria, con el fin de definir la</w:t>
      </w:r>
      <w:r>
        <w:rPr>
          <w:rFonts w:eastAsia="Times New Roman"/>
          <w:sz w:val="30"/>
          <w:szCs w:val="30"/>
          <w:lang w:val="es-ES"/>
        </w:rPr>
        <w:t xml:space="preserve">s acciones por seguir a corto, mediano y largo plazo; </w:t>
      </w:r>
      <w:r>
        <w:rPr>
          <w:rFonts w:eastAsia="Times New Roman"/>
          <w:sz w:val="30"/>
          <w:szCs w:val="30"/>
          <w:lang w:val="es-ES"/>
        </w:rPr>
        <w:br/>
      </w:r>
      <w:r>
        <w:rPr>
          <w:rFonts w:eastAsia="Times New Roman"/>
          <w:sz w:val="30"/>
          <w:szCs w:val="30"/>
          <w:lang w:val="es-ES"/>
        </w:rPr>
        <w:br/>
        <w:t>b) Establecerá la debida coordinación entre los distintos órganos nacionales vinculados al sistema nacional de seguridad alimentaria y la estructura sectorial agrícola.</w:t>
      </w:r>
    </w:p>
    <w:p w:rsidR="00000000" w:rsidRDefault="00334F0F">
      <w:pPr>
        <w:jc w:val="center"/>
        <w:rPr>
          <w:rFonts w:eastAsia="Times New Roman"/>
          <w:sz w:val="36"/>
          <w:szCs w:val="36"/>
          <w:lang w:val="es-ES"/>
        </w:rPr>
      </w:pPr>
      <w:r>
        <w:rPr>
          <w:rFonts w:eastAsia="Times New Roman"/>
          <w:b/>
          <w:bCs/>
          <w:sz w:val="36"/>
          <w:szCs w:val="36"/>
          <w:lang w:val="es-ES"/>
        </w:rPr>
        <w:br/>
        <w:t>Sección Segunda</w:t>
      </w:r>
      <w:r>
        <w:rPr>
          <w:rFonts w:eastAsia="Times New Roman"/>
          <w:b/>
          <w:bCs/>
          <w:sz w:val="36"/>
          <w:szCs w:val="36"/>
          <w:lang w:val="es-ES"/>
        </w:rPr>
        <w:br/>
        <w:t>DE LOS INSTRUM</w:t>
      </w:r>
      <w:r>
        <w:rPr>
          <w:rFonts w:eastAsia="Times New Roman"/>
          <w:b/>
          <w:bCs/>
          <w:sz w:val="36"/>
          <w:szCs w:val="36"/>
          <w:lang w:val="es-ES"/>
        </w:rPr>
        <w:t>ENTOS DE LA PRODUCCIÓN Y LA AGROINDUSTRIA</w:t>
      </w:r>
    </w:p>
    <w:p w:rsidR="00000000" w:rsidRDefault="00334F0F">
      <w:pPr>
        <w:divId w:val="1768574679"/>
        <w:rPr>
          <w:rFonts w:eastAsia="Times New Roman"/>
          <w:sz w:val="30"/>
          <w:szCs w:val="30"/>
          <w:lang w:val="es-ES"/>
        </w:rPr>
      </w:pPr>
      <w:r>
        <w:rPr>
          <w:rFonts w:eastAsia="Times New Roman"/>
          <w:b/>
          <w:bCs/>
          <w:sz w:val="30"/>
          <w:szCs w:val="30"/>
          <w:lang w:val="es-ES"/>
        </w:rPr>
        <w:t>Art. 6.-</w:t>
      </w:r>
      <w:r>
        <w:rPr>
          <w:rFonts w:eastAsia="Times New Roman"/>
          <w:sz w:val="30"/>
          <w:szCs w:val="30"/>
          <w:lang w:val="es-ES"/>
        </w:rPr>
        <w:t xml:space="preserve"> Para alcanzar los objetivos de producción previstos en el Sistema, los Países Miembros emprenderán las siguientes acciones:</w:t>
      </w:r>
      <w:r>
        <w:rPr>
          <w:rFonts w:eastAsia="Times New Roman"/>
          <w:sz w:val="30"/>
          <w:szCs w:val="30"/>
          <w:lang w:val="es-ES"/>
        </w:rPr>
        <w:br/>
      </w:r>
      <w:r>
        <w:rPr>
          <w:rFonts w:eastAsia="Times New Roman"/>
          <w:sz w:val="30"/>
          <w:szCs w:val="30"/>
          <w:lang w:val="es-ES"/>
        </w:rPr>
        <w:br/>
        <w:t>a) Formular y ejecutar planes y proyectos específicos de integración agropecuari</w:t>
      </w:r>
      <w:r>
        <w:rPr>
          <w:rFonts w:eastAsia="Times New Roman"/>
          <w:sz w:val="30"/>
          <w:szCs w:val="30"/>
          <w:lang w:val="es-ES"/>
        </w:rPr>
        <w:t xml:space="preserve">a orientados a incrementar la producción de los alimentos básicos a través de aumentos en la productividad y expansión de la frontera agrícola; </w:t>
      </w:r>
      <w:r>
        <w:rPr>
          <w:rFonts w:eastAsia="Times New Roman"/>
          <w:sz w:val="30"/>
          <w:szCs w:val="30"/>
          <w:lang w:val="es-ES"/>
        </w:rPr>
        <w:br/>
      </w:r>
      <w:r>
        <w:rPr>
          <w:rFonts w:eastAsia="Times New Roman"/>
          <w:sz w:val="30"/>
          <w:szCs w:val="30"/>
          <w:lang w:val="es-ES"/>
        </w:rPr>
        <w:br/>
        <w:t xml:space="preserve">b) Concretar estrategias y acciones conjuntas entre los sectores público y privado de los Países Miembros con </w:t>
      </w:r>
      <w:r>
        <w:rPr>
          <w:rFonts w:eastAsia="Times New Roman"/>
          <w:sz w:val="30"/>
          <w:szCs w:val="30"/>
          <w:lang w:val="es-ES"/>
        </w:rPr>
        <w:t xml:space="preserve">los órganos del Acuerdo, orientadas a estimular la producción de alimentos en los rubros que se consideran prioritarios; </w:t>
      </w:r>
      <w:r>
        <w:rPr>
          <w:rFonts w:eastAsia="Times New Roman"/>
          <w:sz w:val="30"/>
          <w:szCs w:val="30"/>
          <w:lang w:val="es-ES"/>
        </w:rPr>
        <w:br/>
      </w:r>
      <w:r>
        <w:rPr>
          <w:rFonts w:eastAsia="Times New Roman"/>
          <w:sz w:val="30"/>
          <w:szCs w:val="30"/>
          <w:lang w:val="es-ES"/>
        </w:rPr>
        <w:br/>
        <w:t xml:space="preserve">c) Desarrollar proyectos agroindustriales encaminados a una debida </w:t>
      </w:r>
      <w:r>
        <w:rPr>
          <w:rFonts w:eastAsia="Times New Roman"/>
          <w:sz w:val="30"/>
          <w:szCs w:val="30"/>
          <w:lang w:val="es-ES"/>
        </w:rPr>
        <w:lastRenderedPageBreak/>
        <w:t xml:space="preserve">articulación entre la producción agropecuaria y la industrial, en </w:t>
      </w:r>
      <w:r>
        <w:rPr>
          <w:rFonts w:eastAsia="Times New Roman"/>
          <w:sz w:val="30"/>
          <w:szCs w:val="30"/>
          <w:lang w:val="es-ES"/>
        </w:rPr>
        <w:t xml:space="preserve">función de los requerimientos nutricionales de la población; </w:t>
      </w:r>
      <w:r>
        <w:rPr>
          <w:rFonts w:eastAsia="Times New Roman"/>
          <w:sz w:val="30"/>
          <w:szCs w:val="30"/>
          <w:lang w:val="es-ES"/>
        </w:rPr>
        <w:br/>
      </w:r>
      <w:r>
        <w:rPr>
          <w:rFonts w:eastAsia="Times New Roman"/>
          <w:sz w:val="30"/>
          <w:szCs w:val="30"/>
          <w:lang w:val="es-ES"/>
        </w:rPr>
        <w:br/>
        <w:t xml:space="preserve">d) Instrumentar programas de intercambio recíproco de experiencias desarrolladas por los Países Miembros en materia de producción, industria alimentaria e insumos básicos para la agricultura; </w:t>
      </w:r>
      <w:r>
        <w:rPr>
          <w:rFonts w:eastAsia="Times New Roman"/>
          <w:sz w:val="30"/>
          <w:szCs w:val="30"/>
          <w:lang w:val="es-ES"/>
        </w:rPr>
        <w:br/>
      </w:r>
      <w:r>
        <w:rPr>
          <w:rFonts w:eastAsia="Times New Roman"/>
          <w:sz w:val="30"/>
          <w:szCs w:val="30"/>
          <w:lang w:val="es-ES"/>
        </w:rPr>
        <w:br/>
        <w:t>e) Promover la creación de empresas multinacionales andinas de producción agropecuaria y agroindustrial.</w:t>
      </w:r>
    </w:p>
    <w:p w:rsidR="00000000" w:rsidRDefault="00334F0F">
      <w:pPr>
        <w:divId w:val="962274074"/>
        <w:rPr>
          <w:rFonts w:eastAsia="Times New Roman"/>
          <w:sz w:val="30"/>
          <w:szCs w:val="30"/>
          <w:lang w:val="es-ES"/>
        </w:rPr>
      </w:pPr>
      <w:r>
        <w:rPr>
          <w:rFonts w:eastAsia="Times New Roman"/>
          <w:b/>
          <w:bCs/>
          <w:sz w:val="30"/>
          <w:szCs w:val="30"/>
          <w:lang w:val="es-ES"/>
        </w:rPr>
        <w:t>Art. 7.-</w:t>
      </w:r>
      <w:r>
        <w:rPr>
          <w:rFonts w:eastAsia="Times New Roman"/>
          <w:sz w:val="30"/>
          <w:szCs w:val="30"/>
          <w:lang w:val="es-ES"/>
        </w:rPr>
        <w:t xml:space="preserve"> Las acciones conjuntas en el campo de la sanidad animal y vegetal contemplarán, entre otras, las siguientes:</w:t>
      </w:r>
      <w:r>
        <w:rPr>
          <w:rFonts w:eastAsia="Times New Roman"/>
          <w:sz w:val="30"/>
          <w:szCs w:val="30"/>
          <w:lang w:val="es-ES"/>
        </w:rPr>
        <w:br/>
      </w:r>
      <w:r>
        <w:rPr>
          <w:rFonts w:eastAsia="Times New Roman"/>
          <w:sz w:val="30"/>
          <w:szCs w:val="30"/>
          <w:lang w:val="es-ES"/>
        </w:rPr>
        <w:br/>
        <w:t>a) Programas dirigidos a la def</w:t>
      </w:r>
      <w:r>
        <w:rPr>
          <w:rFonts w:eastAsia="Times New Roman"/>
          <w:sz w:val="30"/>
          <w:szCs w:val="30"/>
          <w:lang w:val="es-ES"/>
        </w:rPr>
        <w:t xml:space="preserve">ensa de la Subregión contra plagas y enfermedades exóticas que puedan afectar renglones de la producción y el control fitosanitario y zoosanitario de las plagas y enfermedades ya existentes y con mayor incidencia en el área; </w:t>
      </w:r>
      <w:r>
        <w:rPr>
          <w:rFonts w:eastAsia="Times New Roman"/>
          <w:sz w:val="30"/>
          <w:szCs w:val="30"/>
          <w:lang w:val="es-ES"/>
        </w:rPr>
        <w:br/>
      </w:r>
      <w:r>
        <w:rPr>
          <w:rFonts w:eastAsia="Times New Roman"/>
          <w:sz w:val="30"/>
          <w:szCs w:val="30"/>
          <w:lang w:val="es-ES"/>
        </w:rPr>
        <w:br/>
        <w:t>b) Fortalecimiento de centros</w:t>
      </w:r>
      <w:r>
        <w:rPr>
          <w:rFonts w:eastAsia="Times New Roman"/>
          <w:sz w:val="30"/>
          <w:szCs w:val="30"/>
          <w:lang w:val="es-ES"/>
        </w:rPr>
        <w:t xml:space="preserve"> de diagnóstico animal y vegetal; </w:t>
      </w:r>
      <w:r>
        <w:rPr>
          <w:rFonts w:eastAsia="Times New Roman"/>
          <w:sz w:val="30"/>
          <w:szCs w:val="30"/>
          <w:lang w:val="es-ES"/>
        </w:rPr>
        <w:br/>
      </w:r>
      <w:r>
        <w:rPr>
          <w:rFonts w:eastAsia="Times New Roman"/>
          <w:sz w:val="30"/>
          <w:szCs w:val="30"/>
          <w:lang w:val="es-ES"/>
        </w:rPr>
        <w:br/>
        <w:t xml:space="preserve">c) Armonización de procedimientos para la expedición de los certificados y permisos fitosanitarios y zoosanitarios para importación y exportación de productos agropecuarios; </w:t>
      </w:r>
      <w:r>
        <w:rPr>
          <w:rFonts w:eastAsia="Times New Roman"/>
          <w:sz w:val="30"/>
          <w:szCs w:val="30"/>
          <w:lang w:val="es-ES"/>
        </w:rPr>
        <w:br/>
      </w:r>
      <w:r>
        <w:rPr>
          <w:rFonts w:eastAsia="Times New Roman"/>
          <w:sz w:val="30"/>
          <w:szCs w:val="30"/>
          <w:lang w:val="es-ES"/>
        </w:rPr>
        <w:br/>
        <w:t>d) Desarrollo de las acciones previstas en l</w:t>
      </w:r>
      <w:r>
        <w:rPr>
          <w:rFonts w:eastAsia="Times New Roman"/>
          <w:sz w:val="30"/>
          <w:szCs w:val="30"/>
          <w:lang w:val="es-ES"/>
        </w:rPr>
        <w:t>as Decisiones 92, 122 y 127.</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Nota:</w:t>
      </w:r>
      <w:r>
        <w:rPr>
          <w:rFonts w:eastAsia="Times New Roman"/>
          <w:sz w:val="30"/>
          <w:szCs w:val="30"/>
          <w:lang w:val="es-ES"/>
        </w:rPr>
        <w:br/>
      </w:r>
      <w:r>
        <w:rPr>
          <w:rFonts w:eastAsia="Times New Roman"/>
          <w:i/>
          <w:iCs/>
          <w:sz w:val="30"/>
          <w:szCs w:val="30"/>
          <w:lang w:val="es-ES"/>
        </w:rPr>
        <w:t>Las Decisiones 92, 122 y 127 fueron sustituidas por la Decisión 328 que contiene el régimen de Sanidad Agropecuaria Andina.</w:t>
      </w:r>
    </w:p>
    <w:p w:rsidR="00000000" w:rsidRDefault="00334F0F">
      <w:pPr>
        <w:jc w:val="center"/>
        <w:rPr>
          <w:rFonts w:eastAsia="Times New Roman"/>
          <w:sz w:val="36"/>
          <w:szCs w:val="36"/>
          <w:lang w:val="es-ES"/>
        </w:rPr>
      </w:pPr>
      <w:r>
        <w:rPr>
          <w:rFonts w:eastAsia="Times New Roman"/>
          <w:b/>
          <w:bCs/>
          <w:sz w:val="36"/>
          <w:szCs w:val="36"/>
          <w:lang w:val="es-ES"/>
        </w:rPr>
        <w:br/>
        <w:t>Sección Tercera</w:t>
      </w:r>
      <w:r>
        <w:rPr>
          <w:rFonts w:eastAsia="Times New Roman"/>
          <w:b/>
          <w:bCs/>
          <w:sz w:val="36"/>
          <w:szCs w:val="36"/>
          <w:lang w:val="es-ES"/>
        </w:rPr>
        <w:br/>
        <w:t>DE LOS INSTRUMENTOS DE LA INVESTIGACIÓN Y TRANSFERENCIA DE TECNOLOGÍA</w:t>
      </w:r>
    </w:p>
    <w:p w:rsidR="00000000" w:rsidRDefault="00334F0F">
      <w:pPr>
        <w:divId w:val="690451019"/>
        <w:rPr>
          <w:rFonts w:eastAsia="Times New Roman"/>
          <w:sz w:val="30"/>
          <w:szCs w:val="30"/>
          <w:lang w:val="es-ES"/>
        </w:rPr>
      </w:pPr>
      <w:r>
        <w:rPr>
          <w:rFonts w:eastAsia="Times New Roman"/>
          <w:b/>
          <w:bCs/>
          <w:sz w:val="30"/>
          <w:szCs w:val="30"/>
          <w:lang w:val="es-ES"/>
        </w:rPr>
        <w:t>Art. 8.-</w:t>
      </w:r>
      <w:r>
        <w:rPr>
          <w:rFonts w:eastAsia="Times New Roman"/>
          <w:sz w:val="30"/>
          <w:szCs w:val="30"/>
          <w:lang w:val="es-ES"/>
        </w:rPr>
        <w:t xml:space="preserve"> </w:t>
      </w:r>
      <w:r>
        <w:rPr>
          <w:rFonts w:eastAsia="Times New Roman"/>
          <w:sz w:val="30"/>
          <w:szCs w:val="30"/>
          <w:lang w:val="es-ES"/>
        </w:rPr>
        <w:t>Los Países Miembros buscarán alcanzar un mayor desarrollo tecnológico que contribuya a:</w:t>
      </w:r>
      <w:r>
        <w:rPr>
          <w:rFonts w:eastAsia="Times New Roman"/>
          <w:sz w:val="30"/>
          <w:szCs w:val="30"/>
          <w:lang w:val="es-ES"/>
        </w:rPr>
        <w:br/>
      </w:r>
      <w:r>
        <w:rPr>
          <w:rFonts w:eastAsia="Times New Roman"/>
          <w:sz w:val="30"/>
          <w:szCs w:val="30"/>
          <w:lang w:val="es-ES"/>
        </w:rPr>
        <w:br/>
        <w:t xml:space="preserve">a) Promover y estimular tanto en instituciones públicas como privadas la ejecución de programas nacionales y subregionales de investigación </w:t>
      </w:r>
      <w:r>
        <w:rPr>
          <w:rFonts w:eastAsia="Times New Roman"/>
          <w:sz w:val="30"/>
          <w:szCs w:val="30"/>
          <w:lang w:val="es-ES"/>
        </w:rPr>
        <w:lastRenderedPageBreak/>
        <w:t>y transferencia tecnológica</w:t>
      </w:r>
      <w:r>
        <w:rPr>
          <w:rFonts w:eastAsia="Times New Roman"/>
          <w:sz w:val="30"/>
          <w:szCs w:val="30"/>
          <w:lang w:val="es-ES"/>
        </w:rPr>
        <w:t xml:space="preserve"> para coadyuvar a los objetivos del desarrollo agropecuario subregional y la seguridad alimentaria; </w:t>
      </w:r>
      <w:r>
        <w:rPr>
          <w:rFonts w:eastAsia="Times New Roman"/>
          <w:sz w:val="30"/>
          <w:szCs w:val="30"/>
          <w:lang w:val="es-ES"/>
        </w:rPr>
        <w:br/>
      </w:r>
      <w:r>
        <w:rPr>
          <w:rFonts w:eastAsia="Times New Roman"/>
          <w:sz w:val="30"/>
          <w:szCs w:val="30"/>
          <w:lang w:val="es-ES"/>
        </w:rPr>
        <w:br/>
        <w:t>b) Auspiciar, dentro del proceso de integración y del desarrollo agropecuario, el intercambio de tecnologías y resultados generados por la investigación a</w:t>
      </w:r>
      <w:r>
        <w:rPr>
          <w:rFonts w:eastAsia="Times New Roman"/>
          <w:sz w:val="30"/>
          <w:szCs w:val="30"/>
          <w:lang w:val="es-ES"/>
        </w:rPr>
        <w:t xml:space="preserve">grícola y promover su transferencia entre los Países Miembros para disminuir la dependencia tecnológica, en el marco de la seguridad alimentaria; </w:t>
      </w:r>
      <w:r>
        <w:rPr>
          <w:rFonts w:eastAsia="Times New Roman"/>
          <w:sz w:val="30"/>
          <w:szCs w:val="30"/>
          <w:lang w:val="es-ES"/>
        </w:rPr>
        <w:br/>
      </w:r>
      <w:r>
        <w:rPr>
          <w:rFonts w:eastAsia="Times New Roman"/>
          <w:sz w:val="30"/>
          <w:szCs w:val="30"/>
          <w:lang w:val="es-ES"/>
        </w:rPr>
        <w:br/>
        <w:t xml:space="preserve">c) Promover el intercambio de investigadores y técnicos del sector, auspiciando los servicios de asistencia </w:t>
      </w:r>
      <w:r>
        <w:rPr>
          <w:rFonts w:eastAsia="Times New Roman"/>
          <w:sz w:val="30"/>
          <w:szCs w:val="30"/>
          <w:lang w:val="es-ES"/>
        </w:rPr>
        <w:t xml:space="preserve">técnica en aquellas áreas en que cada País Miembro tenga un mayor desarrollo agropecuario; </w:t>
      </w:r>
      <w:r>
        <w:rPr>
          <w:rFonts w:eastAsia="Times New Roman"/>
          <w:sz w:val="30"/>
          <w:szCs w:val="30"/>
          <w:lang w:val="es-ES"/>
        </w:rPr>
        <w:br/>
      </w:r>
      <w:r>
        <w:rPr>
          <w:rFonts w:eastAsia="Times New Roman"/>
          <w:sz w:val="30"/>
          <w:szCs w:val="30"/>
          <w:lang w:val="es-ES"/>
        </w:rPr>
        <w:br/>
        <w:t>d) Asegurar, de acuerdo con las posibilidades de cada país, los recursos financieros necesarios que garanticen la ejecución de los programas de investigación y tra</w:t>
      </w:r>
      <w:r>
        <w:rPr>
          <w:rFonts w:eastAsia="Times New Roman"/>
          <w:sz w:val="30"/>
          <w:szCs w:val="30"/>
          <w:lang w:val="es-ES"/>
        </w:rPr>
        <w:t xml:space="preserve">nsferencia tecnológica; </w:t>
      </w:r>
      <w:r>
        <w:rPr>
          <w:rFonts w:eastAsia="Times New Roman"/>
          <w:sz w:val="30"/>
          <w:szCs w:val="30"/>
          <w:lang w:val="es-ES"/>
        </w:rPr>
        <w:br/>
      </w:r>
      <w:r>
        <w:rPr>
          <w:rFonts w:eastAsia="Times New Roman"/>
          <w:sz w:val="30"/>
          <w:szCs w:val="30"/>
          <w:lang w:val="es-ES"/>
        </w:rPr>
        <w:br/>
        <w:t xml:space="preserve">e) Promover y consolidar los logros y la experiencia obtenida a través de los Proyectos Andinos de Desarrollo Tecnológico en el sector agropecuario; </w:t>
      </w:r>
      <w:r>
        <w:rPr>
          <w:rFonts w:eastAsia="Times New Roman"/>
          <w:sz w:val="30"/>
          <w:szCs w:val="30"/>
          <w:lang w:val="es-ES"/>
        </w:rPr>
        <w:br/>
      </w:r>
      <w:r>
        <w:rPr>
          <w:rFonts w:eastAsia="Times New Roman"/>
          <w:sz w:val="30"/>
          <w:szCs w:val="30"/>
          <w:lang w:val="es-ES"/>
        </w:rPr>
        <w:br/>
        <w:t>f) Coordinar acciones de generación y transferencia de tecnología con los organ</w:t>
      </w:r>
      <w:r>
        <w:rPr>
          <w:rFonts w:eastAsia="Times New Roman"/>
          <w:sz w:val="30"/>
          <w:szCs w:val="30"/>
          <w:lang w:val="es-ES"/>
        </w:rPr>
        <w:t>ismos internacionales que operan en la región.</w:t>
      </w:r>
    </w:p>
    <w:p w:rsidR="00000000" w:rsidRDefault="00334F0F">
      <w:pPr>
        <w:jc w:val="center"/>
        <w:rPr>
          <w:rFonts w:eastAsia="Times New Roman"/>
          <w:sz w:val="36"/>
          <w:szCs w:val="36"/>
          <w:lang w:val="es-ES"/>
        </w:rPr>
      </w:pPr>
      <w:r>
        <w:rPr>
          <w:rFonts w:eastAsia="Times New Roman"/>
          <w:b/>
          <w:bCs/>
          <w:sz w:val="36"/>
          <w:szCs w:val="36"/>
          <w:lang w:val="es-ES"/>
        </w:rPr>
        <w:br/>
        <w:t>Sección Cuarta</w:t>
      </w:r>
      <w:r>
        <w:rPr>
          <w:rFonts w:eastAsia="Times New Roman"/>
          <w:b/>
          <w:bCs/>
          <w:sz w:val="36"/>
          <w:szCs w:val="36"/>
          <w:lang w:val="es-ES"/>
        </w:rPr>
        <w:br/>
        <w:t>DE LOS INSTRUMENTOS DE COMERCIO</w:t>
      </w:r>
    </w:p>
    <w:p w:rsidR="00000000" w:rsidRDefault="00334F0F">
      <w:pPr>
        <w:divId w:val="1060448306"/>
        <w:rPr>
          <w:rFonts w:eastAsia="Times New Roman"/>
          <w:sz w:val="30"/>
          <w:szCs w:val="30"/>
          <w:lang w:val="es-ES"/>
        </w:rPr>
      </w:pPr>
      <w:r>
        <w:rPr>
          <w:rFonts w:eastAsia="Times New Roman"/>
          <w:b/>
          <w:bCs/>
          <w:sz w:val="30"/>
          <w:szCs w:val="30"/>
          <w:lang w:val="es-ES"/>
        </w:rPr>
        <w:t>Art. 9.-</w:t>
      </w:r>
      <w:r>
        <w:rPr>
          <w:rFonts w:eastAsia="Times New Roman"/>
          <w:sz w:val="30"/>
          <w:szCs w:val="30"/>
          <w:lang w:val="es-ES"/>
        </w:rPr>
        <w:t xml:space="preserve"> Los Países Miembros propiciarán los avances del programa de liberación del comercio y la protección externa común para los productos agropecuarios, de c</w:t>
      </w:r>
      <w:r>
        <w:rPr>
          <w:rFonts w:eastAsia="Times New Roman"/>
          <w:sz w:val="30"/>
          <w:szCs w:val="30"/>
          <w:lang w:val="es-ES"/>
        </w:rPr>
        <w:t>onformidad con lo previsto en el Acuerdo de Cartagena.</w:t>
      </w:r>
    </w:p>
    <w:p w:rsidR="00000000" w:rsidRDefault="00334F0F">
      <w:pPr>
        <w:divId w:val="358161411"/>
        <w:rPr>
          <w:rFonts w:eastAsia="Times New Roman"/>
          <w:sz w:val="30"/>
          <w:szCs w:val="30"/>
          <w:lang w:val="es-ES"/>
        </w:rPr>
      </w:pPr>
      <w:r>
        <w:rPr>
          <w:rFonts w:eastAsia="Times New Roman"/>
          <w:b/>
          <w:bCs/>
          <w:sz w:val="30"/>
          <w:szCs w:val="30"/>
          <w:lang w:val="es-ES"/>
        </w:rPr>
        <w:t>Art. 10.-</w:t>
      </w:r>
      <w:r>
        <w:rPr>
          <w:rFonts w:eastAsia="Times New Roman"/>
          <w:sz w:val="30"/>
          <w:szCs w:val="30"/>
          <w:lang w:val="es-ES"/>
        </w:rPr>
        <w:t xml:space="preserve"> Los Países Miembros procurarán mejorar las condiciones del intercambio y los volúmenes comerciales a través de, entre otras, las siguientes acciones:</w:t>
      </w:r>
      <w:r>
        <w:rPr>
          <w:rFonts w:eastAsia="Times New Roman"/>
          <w:sz w:val="30"/>
          <w:szCs w:val="30"/>
          <w:lang w:val="es-ES"/>
        </w:rPr>
        <w:br/>
      </w:r>
      <w:r>
        <w:rPr>
          <w:rFonts w:eastAsia="Times New Roman"/>
          <w:sz w:val="30"/>
          <w:szCs w:val="30"/>
          <w:lang w:val="es-ES"/>
        </w:rPr>
        <w:br/>
        <w:t xml:space="preserve">a) Consolidar el Sistema de Información </w:t>
      </w:r>
      <w:r>
        <w:rPr>
          <w:rFonts w:eastAsia="Times New Roman"/>
          <w:sz w:val="30"/>
          <w:szCs w:val="30"/>
          <w:lang w:val="es-ES"/>
        </w:rPr>
        <w:t xml:space="preserve">Comercial Agropecuario y vincularlo a las otras redes subregionales de información; </w:t>
      </w:r>
      <w:r>
        <w:rPr>
          <w:rFonts w:eastAsia="Times New Roman"/>
          <w:sz w:val="30"/>
          <w:szCs w:val="30"/>
          <w:lang w:val="es-ES"/>
        </w:rPr>
        <w:br/>
      </w:r>
      <w:r>
        <w:rPr>
          <w:rFonts w:eastAsia="Times New Roman"/>
          <w:sz w:val="30"/>
          <w:szCs w:val="30"/>
          <w:lang w:val="es-ES"/>
        </w:rPr>
        <w:br/>
        <w:t xml:space="preserve">b) Otorgar el énfasis necesario al desarrollo de las exportaciones de productos agropecuarios en el marco del Programa Andino de </w:t>
      </w:r>
      <w:r>
        <w:rPr>
          <w:rFonts w:eastAsia="Times New Roman"/>
          <w:sz w:val="30"/>
          <w:szCs w:val="30"/>
          <w:lang w:val="es-ES"/>
        </w:rPr>
        <w:lastRenderedPageBreak/>
        <w:t>Promoción de Exportaciones No Tradicional</w:t>
      </w:r>
      <w:r>
        <w:rPr>
          <w:rFonts w:eastAsia="Times New Roman"/>
          <w:sz w:val="30"/>
          <w:szCs w:val="30"/>
          <w:lang w:val="es-ES"/>
        </w:rPr>
        <w:t xml:space="preserve">es y continuar la realización de ferias especializadas; </w:t>
      </w:r>
      <w:r>
        <w:rPr>
          <w:rFonts w:eastAsia="Times New Roman"/>
          <w:sz w:val="30"/>
          <w:szCs w:val="30"/>
          <w:lang w:val="es-ES"/>
        </w:rPr>
        <w:br/>
      </w:r>
      <w:r>
        <w:rPr>
          <w:rFonts w:eastAsia="Times New Roman"/>
          <w:sz w:val="30"/>
          <w:szCs w:val="30"/>
          <w:lang w:val="es-ES"/>
        </w:rPr>
        <w:br/>
        <w:t>c) Acordar nuevos mecanismos conjuntos de estímulo al comercio agropecuario andino en campos como el del financiamiento, el intercambio compensado, las operaciones comerciales con base en excedentes</w:t>
      </w:r>
      <w:r>
        <w:rPr>
          <w:rFonts w:eastAsia="Times New Roman"/>
          <w:sz w:val="30"/>
          <w:szCs w:val="30"/>
          <w:lang w:val="es-ES"/>
        </w:rPr>
        <w:t xml:space="preserve"> y faltantes y la promoción de empresas multinacionales andinas de comercialización de productos e insumos agropecuarios; </w:t>
      </w:r>
      <w:r>
        <w:rPr>
          <w:rFonts w:eastAsia="Times New Roman"/>
          <w:sz w:val="30"/>
          <w:szCs w:val="30"/>
          <w:lang w:val="es-ES"/>
        </w:rPr>
        <w:br/>
      </w:r>
      <w:r>
        <w:rPr>
          <w:rFonts w:eastAsia="Times New Roman"/>
          <w:sz w:val="30"/>
          <w:szCs w:val="30"/>
          <w:lang w:val="es-ES"/>
        </w:rPr>
        <w:br/>
        <w:t>d) Promover la adopción de los instrumentos legales pertinentes dirigidos a superar las trabas existentes al comercio intrasubregion</w:t>
      </w:r>
      <w:r>
        <w:rPr>
          <w:rFonts w:eastAsia="Times New Roman"/>
          <w:sz w:val="30"/>
          <w:szCs w:val="30"/>
          <w:lang w:val="es-ES"/>
        </w:rPr>
        <w:t xml:space="preserve">al de productos e insumos, tendientes a establecer una reglamentación común en aspectos relativos a la normalización técnica, simplificación de trámites aduaneros, regulaciones de carácter sanitario y almacenaje; </w:t>
      </w:r>
      <w:r>
        <w:rPr>
          <w:rFonts w:eastAsia="Times New Roman"/>
          <w:sz w:val="30"/>
          <w:szCs w:val="30"/>
          <w:lang w:val="es-ES"/>
        </w:rPr>
        <w:br/>
      </w:r>
      <w:r>
        <w:rPr>
          <w:rFonts w:eastAsia="Times New Roman"/>
          <w:sz w:val="30"/>
          <w:szCs w:val="30"/>
          <w:lang w:val="es-ES"/>
        </w:rPr>
        <w:br/>
        <w:t>e) Adecuar y reglamentar los mecanismos q</w:t>
      </w:r>
      <w:r>
        <w:rPr>
          <w:rFonts w:eastAsia="Times New Roman"/>
          <w:sz w:val="30"/>
          <w:szCs w:val="30"/>
          <w:lang w:val="es-ES"/>
        </w:rPr>
        <w:t>ue regulan el comercio intrasubregional de productos e insumos agropecuarios, a fin de que dichos instrumentos sean compatibles con las características del sector, permitan el manejo coherente de la política agropecuaria y contribuyan al logro de la seguri</w:t>
      </w:r>
      <w:r>
        <w:rPr>
          <w:rFonts w:eastAsia="Times New Roman"/>
          <w:sz w:val="30"/>
          <w:szCs w:val="30"/>
          <w:lang w:val="es-ES"/>
        </w:rPr>
        <w:t xml:space="preserve">dad alimentaria subregional; </w:t>
      </w:r>
      <w:r>
        <w:rPr>
          <w:rFonts w:eastAsia="Times New Roman"/>
          <w:sz w:val="30"/>
          <w:szCs w:val="30"/>
          <w:lang w:val="es-ES"/>
        </w:rPr>
        <w:br/>
      </w:r>
      <w:r>
        <w:rPr>
          <w:rFonts w:eastAsia="Times New Roman"/>
          <w:sz w:val="30"/>
          <w:szCs w:val="30"/>
          <w:lang w:val="es-ES"/>
        </w:rPr>
        <w:br/>
        <w:t>f) Concretar acuerdos complementarios preferenciales de abastecimiento de productos y grupos de productos, por intermedio de las entidades estatales y privadas que participan en el intercambio agropecuario, con preferencia so</w:t>
      </w:r>
      <w:r>
        <w:rPr>
          <w:rFonts w:eastAsia="Times New Roman"/>
          <w:sz w:val="30"/>
          <w:szCs w:val="30"/>
          <w:lang w:val="es-ES"/>
        </w:rPr>
        <w:t>bre los productos señalados como prioritarios y aquellos objeto de programas conjuntos.</w:t>
      </w:r>
    </w:p>
    <w:p w:rsidR="00000000" w:rsidRDefault="00334F0F">
      <w:pPr>
        <w:divId w:val="897202005"/>
        <w:rPr>
          <w:rFonts w:eastAsia="Times New Roman"/>
          <w:sz w:val="30"/>
          <w:szCs w:val="30"/>
          <w:lang w:val="es-ES"/>
        </w:rPr>
      </w:pPr>
      <w:r>
        <w:rPr>
          <w:rFonts w:eastAsia="Times New Roman"/>
          <w:b/>
          <w:bCs/>
          <w:sz w:val="30"/>
          <w:szCs w:val="30"/>
          <w:lang w:val="es-ES"/>
        </w:rPr>
        <w:t>Art. 11.-</w:t>
      </w:r>
      <w:r>
        <w:rPr>
          <w:rFonts w:eastAsia="Times New Roman"/>
          <w:sz w:val="30"/>
          <w:szCs w:val="30"/>
          <w:lang w:val="es-ES"/>
        </w:rPr>
        <w:t xml:space="preserve"> Los Países Miembros promoverán la adopción de posiciones conjuntas orientadas a mejorar las condiciones de importación de alimentos deficitarios, así como de </w:t>
      </w:r>
      <w:r>
        <w:rPr>
          <w:rFonts w:eastAsia="Times New Roman"/>
          <w:sz w:val="30"/>
          <w:szCs w:val="30"/>
          <w:lang w:val="es-ES"/>
        </w:rPr>
        <w:t>exportación de productos agropecuarios.</w:t>
      </w:r>
    </w:p>
    <w:p w:rsidR="00000000" w:rsidRDefault="00334F0F">
      <w:pPr>
        <w:jc w:val="center"/>
        <w:rPr>
          <w:rFonts w:eastAsia="Times New Roman"/>
          <w:sz w:val="36"/>
          <w:szCs w:val="36"/>
          <w:lang w:val="es-ES"/>
        </w:rPr>
      </w:pPr>
      <w:r>
        <w:rPr>
          <w:rFonts w:eastAsia="Times New Roman"/>
          <w:b/>
          <w:bCs/>
          <w:sz w:val="36"/>
          <w:szCs w:val="36"/>
          <w:lang w:val="es-ES"/>
        </w:rPr>
        <w:br/>
        <w:t>Sección Quinta</w:t>
      </w:r>
      <w:r>
        <w:rPr>
          <w:rFonts w:eastAsia="Times New Roman"/>
          <w:b/>
          <w:bCs/>
          <w:sz w:val="36"/>
          <w:szCs w:val="36"/>
          <w:lang w:val="es-ES"/>
        </w:rPr>
        <w:br/>
        <w:t>DE LOS INSTRUMENTOS PARA LA FORMACIÓN, ALMACENAMIENTO Y DISTRIBUCIÓN DE RESERVAS DE ALIMENTOS</w:t>
      </w:r>
    </w:p>
    <w:p w:rsidR="00000000" w:rsidRDefault="00334F0F">
      <w:pPr>
        <w:divId w:val="1052339968"/>
        <w:rPr>
          <w:rFonts w:eastAsia="Times New Roman"/>
          <w:sz w:val="30"/>
          <w:szCs w:val="30"/>
          <w:lang w:val="es-ES"/>
        </w:rPr>
      </w:pPr>
      <w:r>
        <w:rPr>
          <w:rFonts w:eastAsia="Times New Roman"/>
          <w:b/>
          <w:bCs/>
          <w:sz w:val="30"/>
          <w:szCs w:val="30"/>
          <w:lang w:val="es-ES"/>
        </w:rPr>
        <w:t>Art. 12.-</w:t>
      </w:r>
      <w:r>
        <w:rPr>
          <w:rFonts w:eastAsia="Times New Roman"/>
          <w:sz w:val="30"/>
          <w:szCs w:val="30"/>
          <w:lang w:val="es-ES"/>
        </w:rPr>
        <w:t xml:space="preserve"> </w:t>
      </w:r>
      <w:r>
        <w:rPr>
          <w:rFonts w:eastAsia="Times New Roman"/>
          <w:sz w:val="30"/>
          <w:szCs w:val="30"/>
          <w:lang w:val="es-ES"/>
        </w:rPr>
        <w:t>Para garantizar un adecuado abastecimiento de alimentos y atender las necesidades derivadas de desastres naturales o situaciones de emergencia se establecerán mecanismos como los siguientes:</w:t>
      </w:r>
      <w:r>
        <w:rPr>
          <w:rFonts w:eastAsia="Times New Roman"/>
          <w:sz w:val="30"/>
          <w:szCs w:val="30"/>
          <w:lang w:val="es-ES"/>
        </w:rPr>
        <w:br/>
      </w:r>
      <w:r>
        <w:rPr>
          <w:rFonts w:eastAsia="Times New Roman"/>
          <w:sz w:val="30"/>
          <w:szCs w:val="30"/>
          <w:lang w:val="es-ES"/>
        </w:rPr>
        <w:lastRenderedPageBreak/>
        <w:br/>
        <w:t>a) Un sistema de información que permita vigilar continuamente e</w:t>
      </w:r>
      <w:r>
        <w:rPr>
          <w:rFonts w:eastAsia="Times New Roman"/>
          <w:sz w:val="30"/>
          <w:szCs w:val="30"/>
          <w:lang w:val="es-ES"/>
        </w:rPr>
        <w:t xml:space="preserve">l balance alimentario de los países y de la Subregión, orientado a evaluar el nivel de las reservas y establecer los requerimientos inmediatos de intercambio; </w:t>
      </w:r>
      <w:r>
        <w:rPr>
          <w:rFonts w:eastAsia="Times New Roman"/>
          <w:sz w:val="30"/>
          <w:szCs w:val="30"/>
          <w:lang w:val="es-ES"/>
        </w:rPr>
        <w:br/>
      </w:r>
      <w:r>
        <w:rPr>
          <w:rFonts w:eastAsia="Times New Roman"/>
          <w:sz w:val="30"/>
          <w:szCs w:val="30"/>
          <w:lang w:val="es-ES"/>
        </w:rPr>
        <w:br/>
        <w:t>b) Un esquema de financiamiento que contribuya a aliviar las restricciones financieras que enfr</w:t>
      </w:r>
      <w:r>
        <w:rPr>
          <w:rFonts w:eastAsia="Times New Roman"/>
          <w:sz w:val="30"/>
          <w:szCs w:val="30"/>
          <w:lang w:val="es-ES"/>
        </w:rPr>
        <w:t xml:space="preserve">ente cualquier País Miembro en situaciones de emergencia; </w:t>
      </w:r>
      <w:r>
        <w:rPr>
          <w:rFonts w:eastAsia="Times New Roman"/>
          <w:sz w:val="30"/>
          <w:szCs w:val="30"/>
          <w:lang w:val="es-ES"/>
        </w:rPr>
        <w:br/>
      </w:r>
      <w:r>
        <w:rPr>
          <w:rFonts w:eastAsia="Times New Roman"/>
          <w:sz w:val="30"/>
          <w:szCs w:val="30"/>
          <w:lang w:val="es-ES"/>
        </w:rPr>
        <w:br/>
        <w:t xml:space="preserve">c) El mantenimiento de reservas nacionales coordinadas a nivel subregional que contribuyan a la seguridad alimentaria; </w:t>
      </w:r>
      <w:r>
        <w:rPr>
          <w:rFonts w:eastAsia="Times New Roman"/>
          <w:sz w:val="30"/>
          <w:szCs w:val="30"/>
          <w:lang w:val="es-ES"/>
        </w:rPr>
        <w:br/>
      </w:r>
      <w:r>
        <w:rPr>
          <w:rFonts w:eastAsia="Times New Roman"/>
          <w:sz w:val="30"/>
          <w:szCs w:val="30"/>
          <w:lang w:val="es-ES"/>
        </w:rPr>
        <w:br/>
        <w:t xml:space="preserve">d) El fortalecimiento de la infraestructura nacional de silos, almacenes y </w:t>
      </w:r>
      <w:r>
        <w:rPr>
          <w:rFonts w:eastAsia="Times New Roman"/>
          <w:sz w:val="30"/>
          <w:szCs w:val="30"/>
          <w:lang w:val="es-ES"/>
        </w:rPr>
        <w:t>depósitos de productos agropecuarios.</w:t>
      </w:r>
    </w:p>
    <w:p w:rsidR="00000000" w:rsidRDefault="00334F0F">
      <w:pPr>
        <w:jc w:val="center"/>
        <w:rPr>
          <w:rFonts w:eastAsia="Times New Roman"/>
          <w:sz w:val="36"/>
          <w:szCs w:val="36"/>
          <w:lang w:val="es-ES"/>
        </w:rPr>
      </w:pPr>
      <w:r>
        <w:rPr>
          <w:rFonts w:eastAsia="Times New Roman"/>
          <w:b/>
          <w:bCs/>
          <w:sz w:val="36"/>
          <w:szCs w:val="36"/>
          <w:lang w:val="es-ES"/>
        </w:rPr>
        <w:br/>
        <w:t>Sección Sexta</w:t>
      </w:r>
      <w:r>
        <w:rPr>
          <w:rFonts w:eastAsia="Times New Roman"/>
          <w:b/>
          <w:bCs/>
          <w:sz w:val="36"/>
          <w:szCs w:val="36"/>
          <w:lang w:val="es-ES"/>
        </w:rPr>
        <w:br/>
        <w:t>DE LOS INSTRUMENTOS DEL FINANCIAMIENTO</w:t>
      </w:r>
    </w:p>
    <w:p w:rsidR="00000000" w:rsidRDefault="00334F0F">
      <w:pPr>
        <w:divId w:val="1768041123"/>
        <w:rPr>
          <w:rFonts w:eastAsia="Times New Roman"/>
          <w:sz w:val="30"/>
          <w:szCs w:val="30"/>
          <w:lang w:val="es-ES"/>
        </w:rPr>
      </w:pPr>
      <w:r>
        <w:rPr>
          <w:rFonts w:eastAsia="Times New Roman"/>
          <w:b/>
          <w:bCs/>
          <w:sz w:val="30"/>
          <w:szCs w:val="30"/>
          <w:lang w:val="es-ES"/>
        </w:rPr>
        <w:t>Art. 13.-</w:t>
      </w:r>
      <w:r>
        <w:rPr>
          <w:rFonts w:eastAsia="Times New Roman"/>
          <w:sz w:val="30"/>
          <w:szCs w:val="30"/>
          <w:lang w:val="es-ES"/>
        </w:rPr>
        <w:t xml:space="preserve"> Los Países Miembros promoverán con los organismos financieros subregionales andinos, la canalización de recursos suficientes orientados hacia las activida</w:t>
      </w:r>
      <w:r>
        <w:rPr>
          <w:rFonts w:eastAsia="Times New Roman"/>
          <w:sz w:val="30"/>
          <w:szCs w:val="30"/>
          <w:lang w:val="es-ES"/>
        </w:rPr>
        <w:t>des de agricultura, seguridad alimentaria y conservación del ambiente que garanticen el cumplimiento de los objetivos previstos en esta Decisión.</w:t>
      </w:r>
    </w:p>
    <w:p w:rsidR="00000000" w:rsidRDefault="00334F0F">
      <w:pPr>
        <w:divId w:val="1180656299"/>
        <w:rPr>
          <w:rFonts w:eastAsia="Times New Roman"/>
          <w:sz w:val="30"/>
          <w:szCs w:val="30"/>
          <w:lang w:val="es-ES"/>
        </w:rPr>
      </w:pPr>
      <w:r>
        <w:rPr>
          <w:rFonts w:eastAsia="Times New Roman"/>
          <w:b/>
          <w:bCs/>
          <w:sz w:val="30"/>
          <w:szCs w:val="30"/>
          <w:lang w:val="es-ES"/>
        </w:rPr>
        <w:t>Art. 14.-</w:t>
      </w:r>
      <w:r>
        <w:rPr>
          <w:rFonts w:eastAsia="Times New Roman"/>
          <w:sz w:val="30"/>
          <w:szCs w:val="30"/>
          <w:lang w:val="es-ES"/>
        </w:rPr>
        <w:t xml:space="preserve"> Los Ministros de Agricultura de los Países Miembros realizarán gestiones ante los organismos interna</w:t>
      </w:r>
      <w:r>
        <w:rPr>
          <w:rFonts w:eastAsia="Times New Roman"/>
          <w:sz w:val="30"/>
          <w:szCs w:val="30"/>
          <w:lang w:val="es-ES"/>
        </w:rPr>
        <w:t>cionales de financiamiento, con el propósito de apoyar la obtención de los recursos necesarios para los programas y acciones señaladas en la presente Decisión.</w:t>
      </w:r>
    </w:p>
    <w:p w:rsidR="00000000" w:rsidRDefault="00334F0F">
      <w:pPr>
        <w:jc w:val="center"/>
        <w:rPr>
          <w:rFonts w:eastAsia="Times New Roman"/>
          <w:sz w:val="36"/>
          <w:szCs w:val="36"/>
          <w:lang w:val="es-ES"/>
        </w:rPr>
      </w:pPr>
      <w:r>
        <w:rPr>
          <w:rFonts w:eastAsia="Times New Roman"/>
          <w:b/>
          <w:bCs/>
          <w:sz w:val="36"/>
          <w:szCs w:val="36"/>
          <w:lang w:val="es-ES"/>
        </w:rPr>
        <w:br/>
        <w:t>Sección Séptima</w:t>
      </w:r>
      <w:r>
        <w:rPr>
          <w:rFonts w:eastAsia="Times New Roman"/>
          <w:b/>
          <w:bCs/>
          <w:sz w:val="36"/>
          <w:szCs w:val="36"/>
          <w:lang w:val="es-ES"/>
        </w:rPr>
        <w:br/>
        <w:t>DE LOS INSTRUMENTOS DE LA CONSERVACIÓN</w:t>
      </w:r>
    </w:p>
    <w:p w:rsidR="00000000" w:rsidRDefault="00334F0F">
      <w:pPr>
        <w:divId w:val="1587032183"/>
        <w:rPr>
          <w:rFonts w:eastAsia="Times New Roman"/>
          <w:sz w:val="30"/>
          <w:szCs w:val="30"/>
          <w:lang w:val="es-ES"/>
        </w:rPr>
      </w:pPr>
      <w:r>
        <w:rPr>
          <w:rFonts w:eastAsia="Times New Roman"/>
          <w:b/>
          <w:bCs/>
          <w:sz w:val="30"/>
          <w:szCs w:val="30"/>
          <w:lang w:val="es-ES"/>
        </w:rPr>
        <w:t>Art. 15.-</w:t>
      </w:r>
      <w:r>
        <w:rPr>
          <w:rFonts w:eastAsia="Times New Roman"/>
          <w:sz w:val="30"/>
          <w:szCs w:val="30"/>
          <w:lang w:val="es-ES"/>
        </w:rPr>
        <w:t xml:space="preserve"> Para la conservación del medio</w:t>
      </w:r>
      <w:r>
        <w:rPr>
          <w:rFonts w:eastAsia="Times New Roman"/>
          <w:sz w:val="30"/>
          <w:szCs w:val="30"/>
          <w:lang w:val="es-ES"/>
        </w:rPr>
        <w:t xml:space="preserve"> ambiente, los Países Miembros:</w:t>
      </w:r>
      <w:r>
        <w:rPr>
          <w:rFonts w:eastAsia="Times New Roman"/>
          <w:sz w:val="30"/>
          <w:szCs w:val="30"/>
          <w:lang w:val="es-ES"/>
        </w:rPr>
        <w:br/>
      </w:r>
      <w:r>
        <w:rPr>
          <w:rFonts w:eastAsia="Times New Roman"/>
          <w:sz w:val="30"/>
          <w:szCs w:val="30"/>
          <w:lang w:val="es-ES"/>
        </w:rPr>
        <w:br/>
        <w:t xml:space="preserve">a) Establecerán mecanismos para el uso y manejo racional de los suelos, bosques, fauna y flora; </w:t>
      </w:r>
      <w:r>
        <w:rPr>
          <w:rFonts w:eastAsia="Times New Roman"/>
          <w:sz w:val="30"/>
          <w:szCs w:val="30"/>
          <w:lang w:val="es-ES"/>
        </w:rPr>
        <w:br/>
      </w:r>
      <w:r>
        <w:rPr>
          <w:rFonts w:eastAsia="Times New Roman"/>
          <w:sz w:val="30"/>
          <w:szCs w:val="30"/>
          <w:lang w:val="es-ES"/>
        </w:rPr>
        <w:lastRenderedPageBreak/>
        <w:br/>
        <w:t>b) Protegerán y velarán por el manejo racional de las cuencas hidrográficas, así como de los bosques y de los pastos circunda</w:t>
      </w:r>
      <w:r>
        <w:rPr>
          <w:rFonts w:eastAsia="Times New Roman"/>
          <w:sz w:val="30"/>
          <w:szCs w:val="30"/>
          <w:lang w:val="es-ES"/>
        </w:rPr>
        <w:t xml:space="preserve">ntes; </w:t>
      </w:r>
      <w:r>
        <w:rPr>
          <w:rFonts w:eastAsia="Times New Roman"/>
          <w:sz w:val="30"/>
          <w:szCs w:val="30"/>
          <w:lang w:val="es-ES"/>
        </w:rPr>
        <w:br/>
      </w:r>
      <w:r>
        <w:rPr>
          <w:rFonts w:eastAsia="Times New Roman"/>
          <w:sz w:val="30"/>
          <w:szCs w:val="30"/>
          <w:lang w:val="es-ES"/>
        </w:rPr>
        <w:br/>
        <w:t xml:space="preserve">c) Incrementarán programas de educación ambiental en relación con los problemas de conservación de suelos y de los recursos naturales renovables, así como la participación de la población en la realización de prácticas conservacionistas; </w:t>
      </w:r>
      <w:r>
        <w:rPr>
          <w:rFonts w:eastAsia="Times New Roman"/>
          <w:sz w:val="30"/>
          <w:szCs w:val="30"/>
          <w:lang w:val="es-ES"/>
        </w:rPr>
        <w:br/>
      </w:r>
      <w:r>
        <w:rPr>
          <w:rFonts w:eastAsia="Times New Roman"/>
          <w:sz w:val="30"/>
          <w:szCs w:val="30"/>
          <w:lang w:val="es-ES"/>
        </w:rPr>
        <w:br/>
        <w:t>d) Reali</w:t>
      </w:r>
      <w:r>
        <w:rPr>
          <w:rFonts w:eastAsia="Times New Roman"/>
          <w:sz w:val="30"/>
          <w:szCs w:val="30"/>
          <w:lang w:val="es-ES"/>
        </w:rPr>
        <w:t xml:space="preserve">zarán acuerdos entre dos o más países para la protección y desarrollo de las cuencas hidrográficas, incluyendo programas de reforestación y otras actividades que contribuyan al mejor uso de los recursos naturales; </w:t>
      </w:r>
      <w:r>
        <w:rPr>
          <w:rFonts w:eastAsia="Times New Roman"/>
          <w:sz w:val="30"/>
          <w:szCs w:val="30"/>
          <w:lang w:val="es-ES"/>
        </w:rPr>
        <w:br/>
      </w:r>
      <w:r>
        <w:rPr>
          <w:rFonts w:eastAsia="Times New Roman"/>
          <w:sz w:val="30"/>
          <w:szCs w:val="30"/>
          <w:lang w:val="es-ES"/>
        </w:rPr>
        <w:br/>
        <w:t>e) Establecerán sistemas y concertarán c</w:t>
      </w:r>
      <w:r>
        <w:rPr>
          <w:rFonts w:eastAsia="Times New Roman"/>
          <w:sz w:val="30"/>
          <w:szCs w:val="30"/>
          <w:lang w:val="es-ES"/>
        </w:rPr>
        <w:t>onvenios para la protección y defensa de las áreas marítimas contra la contaminación y la conservación de sus recursos biológicos.</w:t>
      </w:r>
    </w:p>
    <w:p w:rsidR="00000000" w:rsidRDefault="00334F0F">
      <w:pPr>
        <w:jc w:val="center"/>
        <w:rPr>
          <w:rFonts w:eastAsia="Times New Roman"/>
          <w:sz w:val="36"/>
          <w:szCs w:val="36"/>
          <w:lang w:val="es-ES"/>
        </w:rPr>
      </w:pPr>
      <w:r>
        <w:rPr>
          <w:rFonts w:eastAsia="Times New Roman"/>
          <w:b/>
          <w:bCs/>
          <w:sz w:val="36"/>
          <w:szCs w:val="36"/>
          <w:lang w:val="es-ES"/>
        </w:rPr>
        <w:br/>
        <w:t>Capítulo III</w:t>
      </w:r>
      <w:r>
        <w:rPr>
          <w:rFonts w:eastAsia="Times New Roman"/>
          <w:b/>
          <w:bCs/>
          <w:sz w:val="36"/>
          <w:szCs w:val="36"/>
          <w:lang w:val="es-ES"/>
        </w:rPr>
        <w:br/>
        <w:t>DE LOS ÓRGANOS</w:t>
      </w:r>
    </w:p>
    <w:p w:rsidR="00000000" w:rsidRDefault="00334F0F">
      <w:pPr>
        <w:divId w:val="1344237784"/>
        <w:rPr>
          <w:rFonts w:eastAsia="Times New Roman"/>
          <w:sz w:val="30"/>
          <w:szCs w:val="30"/>
          <w:lang w:val="es-ES"/>
        </w:rPr>
      </w:pPr>
      <w:r>
        <w:rPr>
          <w:rFonts w:eastAsia="Times New Roman"/>
          <w:b/>
          <w:bCs/>
          <w:sz w:val="30"/>
          <w:szCs w:val="30"/>
          <w:lang w:val="es-ES"/>
        </w:rPr>
        <w:t>Art. 16.-</w:t>
      </w:r>
      <w:r>
        <w:rPr>
          <w:rFonts w:eastAsia="Times New Roman"/>
          <w:sz w:val="30"/>
          <w:szCs w:val="30"/>
          <w:lang w:val="es-ES"/>
        </w:rPr>
        <w:t xml:space="preserve"> </w:t>
      </w:r>
      <w:r>
        <w:rPr>
          <w:rFonts w:eastAsia="Times New Roman"/>
          <w:sz w:val="30"/>
          <w:szCs w:val="30"/>
          <w:lang w:val="es-ES"/>
        </w:rPr>
        <w:t>Corresponderá a la Reunión de Ministros de Agricultura la formulación de la política general de ejecución del Sistema a que se refiere esta Decisión y la adopción de las providencias necesarias para ello. Su funcionamiento se regirá por lo establecido en l</w:t>
      </w:r>
      <w:r>
        <w:rPr>
          <w:rFonts w:eastAsia="Times New Roman"/>
          <w:sz w:val="30"/>
          <w:szCs w:val="30"/>
          <w:lang w:val="es-ES"/>
        </w:rPr>
        <w:t>a Decisión 121.</w:t>
      </w:r>
    </w:p>
    <w:p w:rsidR="00000000" w:rsidRDefault="00334F0F">
      <w:pPr>
        <w:divId w:val="836115534"/>
        <w:rPr>
          <w:rFonts w:eastAsia="Times New Roman"/>
          <w:sz w:val="30"/>
          <w:szCs w:val="30"/>
          <w:lang w:val="es-ES"/>
        </w:rPr>
      </w:pPr>
      <w:r>
        <w:rPr>
          <w:rFonts w:eastAsia="Times New Roman"/>
          <w:b/>
          <w:bCs/>
          <w:sz w:val="30"/>
          <w:szCs w:val="30"/>
          <w:lang w:val="es-ES"/>
        </w:rPr>
        <w:t>Art. 17.-</w:t>
      </w:r>
      <w:r>
        <w:rPr>
          <w:rFonts w:eastAsia="Times New Roman"/>
          <w:sz w:val="30"/>
          <w:szCs w:val="30"/>
          <w:lang w:val="es-ES"/>
        </w:rPr>
        <w:t xml:space="preserve"> Para la adopción de medidas específicas relacionadas con el Sistema a que se refiere la presente Decisión y cuando corresponda, la Comisión podrá celebrar Períodos de Sesiones Extraordinarias con la participación de los Ministros </w:t>
      </w:r>
      <w:r>
        <w:rPr>
          <w:rFonts w:eastAsia="Times New Roman"/>
          <w:sz w:val="30"/>
          <w:szCs w:val="30"/>
          <w:lang w:val="es-ES"/>
        </w:rPr>
        <w:t>de Agricultura como representantes plenipotenciarios acreditados para el efecto por los Gobiernos de los Países Miembros.</w:t>
      </w:r>
    </w:p>
    <w:p w:rsidR="00000000" w:rsidRDefault="00334F0F">
      <w:pPr>
        <w:divId w:val="1868520605"/>
        <w:rPr>
          <w:rFonts w:eastAsia="Times New Roman"/>
          <w:sz w:val="30"/>
          <w:szCs w:val="30"/>
          <w:lang w:val="es-ES"/>
        </w:rPr>
      </w:pPr>
      <w:r>
        <w:rPr>
          <w:rFonts w:eastAsia="Times New Roman"/>
          <w:b/>
          <w:bCs/>
          <w:sz w:val="30"/>
          <w:szCs w:val="30"/>
          <w:lang w:val="es-ES"/>
        </w:rPr>
        <w:t>Art. 18.-</w:t>
      </w:r>
      <w:r>
        <w:rPr>
          <w:rFonts w:eastAsia="Times New Roman"/>
          <w:sz w:val="30"/>
          <w:szCs w:val="30"/>
          <w:lang w:val="es-ES"/>
        </w:rPr>
        <w:t xml:space="preserve"> La Junta prestará apoyo técnico y presentará propuestas, estudios o evaluaciones que coadyuven al desarrollo del Sistema.</w:t>
      </w:r>
      <w:r>
        <w:rPr>
          <w:rFonts w:eastAsia="Times New Roman"/>
          <w:sz w:val="30"/>
          <w:szCs w:val="30"/>
          <w:lang w:val="es-ES"/>
        </w:rPr>
        <w:br/>
      </w:r>
      <w:r>
        <w:rPr>
          <w:rFonts w:eastAsia="Times New Roman"/>
          <w:sz w:val="30"/>
          <w:szCs w:val="30"/>
          <w:lang w:val="es-ES"/>
        </w:rPr>
        <w:br/>
      </w:r>
      <w:r>
        <w:rPr>
          <w:rFonts w:eastAsia="Times New Roman"/>
          <w:b/>
          <w:bCs/>
          <w:sz w:val="30"/>
          <w:szCs w:val="30"/>
          <w:u w:val="single"/>
          <w:lang w:val="es-ES"/>
        </w:rPr>
        <w:t>N</w:t>
      </w:r>
      <w:r>
        <w:rPr>
          <w:rFonts w:eastAsia="Times New Roman"/>
          <w:b/>
          <w:bCs/>
          <w:sz w:val="30"/>
          <w:szCs w:val="30"/>
          <w:u w:val="single"/>
          <w:lang w:val="es-ES"/>
        </w:rPr>
        <w:t>ota:</w:t>
      </w:r>
      <w:r>
        <w:rPr>
          <w:rFonts w:eastAsia="Times New Roman"/>
          <w:sz w:val="30"/>
          <w:szCs w:val="30"/>
          <w:lang w:val="es-ES"/>
        </w:rPr>
        <w:br/>
      </w:r>
      <w:r>
        <w:rPr>
          <w:rFonts w:eastAsia="Times New Roman"/>
          <w:i/>
          <w:iCs/>
          <w:sz w:val="30"/>
          <w:szCs w:val="30"/>
          <w:lang w:val="es-ES"/>
        </w:rPr>
        <w:t>La Junta del Acuerdo de Cartagena fue sustituida por la Secretaría General de la Comunidad Andina, mediante Protocolo modificatorio del Acuerdo de Cartagena (R.O. 41, 7-X-1996).</w:t>
      </w:r>
    </w:p>
    <w:p w:rsidR="00000000" w:rsidRDefault="00334F0F">
      <w:pPr>
        <w:divId w:val="383330572"/>
        <w:rPr>
          <w:rFonts w:eastAsia="Times New Roman"/>
          <w:sz w:val="30"/>
          <w:szCs w:val="30"/>
          <w:lang w:val="es-ES"/>
        </w:rPr>
      </w:pPr>
      <w:r>
        <w:rPr>
          <w:rFonts w:eastAsia="Times New Roman"/>
          <w:b/>
          <w:bCs/>
          <w:sz w:val="30"/>
          <w:szCs w:val="30"/>
          <w:lang w:val="es-ES"/>
        </w:rPr>
        <w:lastRenderedPageBreak/>
        <w:t>Art. 19.-</w:t>
      </w:r>
      <w:r>
        <w:rPr>
          <w:rFonts w:eastAsia="Times New Roman"/>
          <w:sz w:val="30"/>
          <w:szCs w:val="30"/>
          <w:lang w:val="es-ES"/>
        </w:rPr>
        <w:t xml:space="preserve"> El Consejo Agropecuario se regirá en su funcionamiento por lo e</w:t>
      </w:r>
      <w:r>
        <w:rPr>
          <w:rFonts w:eastAsia="Times New Roman"/>
          <w:sz w:val="30"/>
          <w:szCs w:val="30"/>
          <w:lang w:val="es-ES"/>
        </w:rPr>
        <w:t>stablecido en las Decisiones 22 y 76 de la Comisión y estará integrado por representantes de alto nivel de los Ministerios de Agricultura de los Países Miembros. Sus funciones principales serán:</w:t>
      </w:r>
      <w:r>
        <w:rPr>
          <w:rFonts w:eastAsia="Times New Roman"/>
          <w:sz w:val="30"/>
          <w:szCs w:val="30"/>
          <w:lang w:val="es-ES"/>
        </w:rPr>
        <w:br/>
      </w:r>
      <w:r>
        <w:rPr>
          <w:rFonts w:eastAsia="Times New Roman"/>
          <w:sz w:val="30"/>
          <w:szCs w:val="30"/>
          <w:lang w:val="es-ES"/>
        </w:rPr>
        <w:br/>
        <w:t>a) Asesorar a los órganos del Acuerdo y a los Ministros de A</w:t>
      </w:r>
      <w:r>
        <w:rPr>
          <w:rFonts w:eastAsia="Times New Roman"/>
          <w:sz w:val="30"/>
          <w:szCs w:val="30"/>
          <w:lang w:val="es-ES"/>
        </w:rPr>
        <w:t>gricultura en la armonización y coordinación de las políticas nacionales, preparación de los programas y acciones conjuntas en el sector agropecuario y, en particular, en el área del Sistema "José Celestino Mutis";</w:t>
      </w:r>
      <w:r>
        <w:rPr>
          <w:rFonts w:eastAsia="Times New Roman"/>
          <w:sz w:val="30"/>
          <w:szCs w:val="30"/>
          <w:lang w:val="es-ES"/>
        </w:rPr>
        <w:br/>
      </w:r>
      <w:r>
        <w:rPr>
          <w:rFonts w:eastAsia="Times New Roman"/>
          <w:sz w:val="30"/>
          <w:szCs w:val="30"/>
          <w:lang w:val="es-ES"/>
        </w:rPr>
        <w:br/>
        <w:t>b) Cooperar en las actividades relaciona</w:t>
      </w:r>
      <w:r>
        <w:rPr>
          <w:rFonts w:eastAsia="Times New Roman"/>
          <w:sz w:val="30"/>
          <w:szCs w:val="30"/>
          <w:lang w:val="es-ES"/>
        </w:rPr>
        <w:t>das con la aplicación de la presente Decisión y la evaluación de su funcionamiento.</w:t>
      </w:r>
    </w:p>
    <w:p w:rsidR="00000000" w:rsidRDefault="00334F0F">
      <w:pPr>
        <w:divId w:val="929970636"/>
        <w:rPr>
          <w:rFonts w:eastAsia="Times New Roman"/>
          <w:sz w:val="30"/>
          <w:szCs w:val="30"/>
          <w:lang w:val="es-ES"/>
        </w:rPr>
      </w:pPr>
      <w:r>
        <w:rPr>
          <w:rFonts w:eastAsia="Times New Roman"/>
          <w:b/>
          <w:bCs/>
          <w:sz w:val="30"/>
          <w:szCs w:val="30"/>
          <w:lang w:val="es-ES"/>
        </w:rPr>
        <w:t>Art. 20.-</w:t>
      </w:r>
      <w:r>
        <w:rPr>
          <w:rFonts w:eastAsia="Times New Roman"/>
          <w:sz w:val="30"/>
          <w:szCs w:val="30"/>
          <w:lang w:val="es-ES"/>
        </w:rPr>
        <w:t xml:space="preserve"> Los Países Miembros, a través de los Ministerios de Agricultura y los Organismos de Enlace, coordinarán todo lo concerniente a la ejecución de las actividades rel</w:t>
      </w:r>
      <w:r>
        <w:rPr>
          <w:rFonts w:eastAsia="Times New Roman"/>
          <w:sz w:val="30"/>
          <w:szCs w:val="30"/>
          <w:lang w:val="es-ES"/>
        </w:rPr>
        <w:t>acionadas con esta Decisión.</w:t>
      </w:r>
      <w:r>
        <w:rPr>
          <w:rFonts w:eastAsia="Times New Roman"/>
          <w:sz w:val="30"/>
          <w:szCs w:val="30"/>
          <w:lang w:val="es-ES"/>
        </w:rPr>
        <w:br/>
      </w:r>
      <w:r>
        <w:rPr>
          <w:rFonts w:eastAsia="Times New Roman"/>
          <w:sz w:val="30"/>
          <w:szCs w:val="30"/>
          <w:lang w:val="es-ES"/>
        </w:rPr>
        <w:br/>
        <w:t>Dada en la ciudad de Caracas, el veinticinco de julio de mil novecientos ochenta y tres.</w:t>
      </w:r>
    </w:p>
    <w:p w:rsidR="00000000" w:rsidRDefault="00334F0F">
      <w:pPr>
        <w:jc w:val="center"/>
        <w:rPr>
          <w:rFonts w:eastAsia="Times New Roman"/>
          <w:sz w:val="36"/>
          <w:szCs w:val="36"/>
          <w:lang w:val="es-ES"/>
        </w:rPr>
      </w:pPr>
      <w:r>
        <w:rPr>
          <w:rFonts w:eastAsia="Times New Roman"/>
          <w:b/>
          <w:bCs/>
          <w:sz w:val="36"/>
          <w:szCs w:val="36"/>
          <w:lang w:val="es-ES"/>
        </w:rPr>
        <w:br/>
      </w:r>
      <w:r>
        <w:rPr>
          <w:rFonts w:eastAsia="Times New Roman"/>
          <w:b/>
          <w:bCs/>
          <w:sz w:val="36"/>
          <w:szCs w:val="36"/>
          <w:lang w:val="es-ES"/>
        </w:rPr>
        <w:br/>
        <w:t>FUENTES DE LA PRESENTE EDICIÓN DE LA DECISIÓN QUE CONTIENE EL SISTEMA ANDINO "JOSÉ CELESTINO MUTIS" SOBRE AGRICULTURA, SEGURIDAD ALIMEN</w:t>
      </w:r>
      <w:r>
        <w:rPr>
          <w:rFonts w:eastAsia="Times New Roman"/>
          <w:b/>
          <w:bCs/>
          <w:sz w:val="36"/>
          <w:szCs w:val="36"/>
          <w:lang w:val="es-ES"/>
        </w:rPr>
        <w:t>TARIA Y CONSERVACIÓN DEL AMBIENTE</w:t>
      </w:r>
    </w:p>
    <w:p w:rsidR="00334F0F" w:rsidRDefault="00334F0F">
      <w:pPr>
        <w:divId w:val="1417554599"/>
        <w:rPr>
          <w:rFonts w:eastAsia="Times New Roman"/>
          <w:sz w:val="30"/>
          <w:szCs w:val="30"/>
          <w:lang w:val="es-ES"/>
        </w:rPr>
      </w:pPr>
      <w:r>
        <w:rPr>
          <w:rFonts w:eastAsia="Times New Roman"/>
          <w:sz w:val="30"/>
          <w:szCs w:val="30"/>
          <w:lang w:val="es-ES"/>
        </w:rPr>
        <w:br/>
      </w:r>
      <w:r>
        <w:rPr>
          <w:rFonts w:eastAsia="Times New Roman"/>
          <w:sz w:val="30"/>
          <w:szCs w:val="30"/>
          <w:lang w:val="es-ES"/>
        </w:rPr>
        <w:br/>
        <w:t>1.- Decisión 182 (Registro Oficial 611, 1-XI-1983).</w:t>
      </w:r>
    </w:p>
    <w:sectPr w:rsidR="00334F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B0889"/>
    <w:rsid w:val="000B0889"/>
    <w:rsid w:val="00334F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4AA76C-B852-4869-9B2F-618BE57F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t1">
    <w:name w:val="ct1"/>
    <w:basedOn w:val="Normal"/>
    <w:pPr>
      <w:pBdr>
        <w:bottom w:val="single" w:sz="6" w:space="0" w:color="auto"/>
        <w:right w:val="single" w:sz="6" w:space="0" w:color="auto"/>
      </w:pBdr>
      <w:spacing w:before="100" w:beforeAutospacing="1" w:after="100" w:afterAutospacing="1"/>
    </w:pPr>
  </w:style>
  <w:style w:type="paragraph" w:customStyle="1" w:styleId="ct2">
    <w:name w:val="ct2"/>
    <w:basedOn w:val="Normal"/>
    <w:pPr>
      <w:pBdr>
        <w:left w:val="single" w:sz="6" w:space="0" w:color="auto"/>
        <w:bottom w:val="single" w:sz="6" w:space="0" w:color="auto"/>
        <w:right w:val="single" w:sz="6" w:space="0" w:color="auto"/>
      </w:pBdr>
      <w:spacing w:before="100" w:beforeAutospacing="1" w:after="100" w:afterAutospacing="1"/>
    </w:pPr>
  </w:style>
  <w:style w:type="paragraph" w:customStyle="1" w:styleId="ct3">
    <w:name w:val="ct3"/>
    <w:basedOn w:val="Normal"/>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1411">
      <w:marLeft w:val="0"/>
      <w:marRight w:val="0"/>
      <w:marTop w:val="0"/>
      <w:marBottom w:val="0"/>
      <w:divBdr>
        <w:top w:val="none" w:sz="0" w:space="0" w:color="auto"/>
        <w:left w:val="none" w:sz="0" w:space="0" w:color="auto"/>
        <w:bottom w:val="none" w:sz="0" w:space="0" w:color="auto"/>
        <w:right w:val="none" w:sz="0" w:space="0" w:color="auto"/>
      </w:divBdr>
    </w:div>
    <w:div w:id="383330572">
      <w:marLeft w:val="0"/>
      <w:marRight w:val="0"/>
      <w:marTop w:val="0"/>
      <w:marBottom w:val="0"/>
      <w:divBdr>
        <w:top w:val="none" w:sz="0" w:space="0" w:color="auto"/>
        <w:left w:val="none" w:sz="0" w:space="0" w:color="auto"/>
        <w:bottom w:val="none" w:sz="0" w:space="0" w:color="auto"/>
        <w:right w:val="none" w:sz="0" w:space="0" w:color="auto"/>
      </w:divBdr>
    </w:div>
    <w:div w:id="514999174">
      <w:marLeft w:val="0"/>
      <w:marRight w:val="0"/>
      <w:marTop w:val="0"/>
      <w:marBottom w:val="0"/>
      <w:divBdr>
        <w:top w:val="none" w:sz="0" w:space="0" w:color="auto"/>
        <w:left w:val="none" w:sz="0" w:space="0" w:color="auto"/>
        <w:bottom w:val="none" w:sz="0" w:space="0" w:color="auto"/>
        <w:right w:val="none" w:sz="0" w:space="0" w:color="auto"/>
      </w:divBdr>
    </w:div>
    <w:div w:id="527065005">
      <w:marLeft w:val="0"/>
      <w:marRight w:val="0"/>
      <w:marTop w:val="0"/>
      <w:marBottom w:val="0"/>
      <w:divBdr>
        <w:top w:val="none" w:sz="0" w:space="0" w:color="auto"/>
        <w:left w:val="none" w:sz="0" w:space="0" w:color="auto"/>
        <w:bottom w:val="none" w:sz="0" w:space="0" w:color="auto"/>
        <w:right w:val="none" w:sz="0" w:space="0" w:color="auto"/>
      </w:divBdr>
    </w:div>
    <w:div w:id="671419616">
      <w:marLeft w:val="0"/>
      <w:marRight w:val="0"/>
      <w:marTop w:val="0"/>
      <w:marBottom w:val="0"/>
      <w:divBdr>
        <w:top w:val="none" w:sz="0" w:space="0" w:color="auto"/>
        <w:left w:val="none" w:sz="0" w:space="0" w:color="auto"/>
        <w:bottom w:val="none" w:sz="0" w:space="0" w:color="auto"/>
        <w:right w:val="none" w:sz="0" w:space="0" w:color="auto"/>
      </w:divBdr>
    </w:div>
    <w:div w:id="690451019">
      <w:marLeft w:val="0"/>
      <w:marRight w:val="0"/>
      <w:marTop w:val="0"/>
      <w:marBottom w:val="0"/>
      <w:divBdr>
        <w:top w:val="none" w:sz="0" w:space="0" w:color="auto"/>
        <w:left w:val="none" w:sz="0" w:space="0" w:color="auto"/>
        <w:bottom w:val="none" w:sz="0" w:space="0" w:color="auto"/>
        <w:right w:val="none" w:sz="0" w:space="0" w:color="auto"/>
      </w:divBdr>
    </w:div>
    <w:div w:id="836115534">
      <w:marLeft w:val="0"/>
      <w:marRight w:val="0"/>
      <w:marTop w:val="0"/>
      <w:marBottom w:val="0"/>
      <w:divBdr>
        <w:top w:val="none" w:sz="0" w:space="0" w:color="auto"/>
        <w:left w:val="none" w:sz="0" w:space="0" w:color="auto"/>
        <w:bottom w:val="none" w:sz="0" w:space="0" w:color="auto"/>
        <w:right w:val="none" w:sz="0" w:space="0" w:color="auto"/>
      </w:divBdr>
    </w:div>
    <w:div w:id="897202005">
      <w:marLeft w:val="0"/>
      <w:marRight w:val="0"/>
      <w:marTop w:val="0"/>
      <w:marBottom w:val="0"/>
      <w:divBdr>
        <w:top w:val="none" w:sz="0" w:space="0" w:color="auto"/>
        <w:left w:val="none" w:sz="0" w:space="0" w:color="auto"/>
        <w:bottom w:val="none" w:sz="0" w:space="0" w:color="auto"/>
        <w:right w:val="none" w:sz="0" w:space="0" w:color="auto"/>
      </w:divBdr>
    </w:div>
    <w:div w:id="929970636">
      <w:marLeft w:val="0"/>
      <w:marRight w:val="0"/>
      <w:marTop w:val="0"/>
      <w:marBottom w:val="0"/>
      <w:divBdr>
        <w:top w:val="none" w:sz="0" w:space="0" w:color="auto"/>
        <w:left w:val="none" w:sz="0" w:space="0" w:color="auto"/>
        <w:bottom w:val="none" w:sz="0" w:space="0" w:color="auto"/>
        <w:right w:val="none" w:sz="0" w:space="0" w:color="auto"/>
      </w:divBdr>
    </w:div>
    <w:div w:id="962274074">
      <w:marLeft w:val="0"/>
      <w:marRight w:val="0"/>
      <w:marTop w:val="0"/>
      <w:marBottom w:val="0"/>
      <w:divBdr>
        <w:top w:val="none" w:sz="0" w:space="0" w:color="auto"/>
        <w:left w:val="none" w:sz="0" w:space="0" w:color="auto"/>
        <w:bottom w:val="none" w:sz="0" w:space="0" w:color="auto"/>
        <w:right w:val="none" w:sz="0" w:space="0" w:color="auto"/>
      </w:divBdr>
    </w:div>
    <w:div w:id="1018968206">
      <w:marLeft w:val="0"/>
      <w:marRight w:val="0"/>
      <w:marTop w:val="0"/>
      <w:marBottom w:val="0"/>
      <w:divBdr>
        <w:top w:val="none" w:sz="0" w:space="0" w:color="auto"/>
        <w:left w:val="none" w:sz="0" w:space="0" w:color="auto"/>
        <w:bottom w:val="none" w:sz="0" w:space="0" w:color="auto"/>
        <w:right w:val="none" w:sz="0" w:space="0" w:color="auto"/>
      </w:divBdr>
    </w:div>
    <w:div w:id="1052339968">
      <w:marLeft w:val="0"/>
      <w:marRight w:val="0"/>
      <w:marTop w:val="0"/>
      <w:marBottom w:val="0"/>
      <w:divBdr>
        <w:top w:val="none" w:sz="0" w:space="0" w:color="auto"/>
        <w:left w:val="none" w:sz="0" w:space="0" w:color="auto"/>
        <w:bottom w:val="none" w:sz="0" w:space="0" w:color="auto"/>
        <w:right w:val="none" w:sz="0" w:space="0" w:color="auto"/>
      </w:divBdr>
    </w:div>
    <w:div w:id="1060448306">
      <w:marLeft w:val="0"/>
      <w:marRight w:val="0"/>
      <w:marTop w:val="0"/>
      <w:marBottom w:val="0"/>
      <w:divBdr>
        <w:top w:val="none" w:sz="0" w:space="0" w:color="auto"/>
        <w:left w:val="none" w:sz="0" w:space="0" w:color="auto"/>
        <w:bottom w:val="none" w:sz="0" w:space="0" w:color="auto"/>
        <w:right w:val="none" w:sz="0" w:space="0" w:color="auto"/>
      </w:divBdr>
    </w:div>
    <w:div w:id="1180656299">
      <w:marLeft w:val="0"/>
      <w:marRight w:val="0"/>
      <w:marTop w:val="0"/>
      <w:marBottom w:val="0"/>
      <w:divBdr>
        <w:top w:val="none" w:sz="0" w:space="0" w:color="auto"/>
        <w:left w:val="none" w:sz="0" w:space="0" w:color="auto"/>
        <w:bottom w:val="none" w:sz="0" w:space="0" w:color="auto"/>
        <w:right w:val="none" w:sz="0" w:space="0" w:color="auto"/>
      </w:divBdr>
    </w:div>
    <w:div w:id="1344237784">
      <w:marLeft w:val="0"/>
      <w:marRight w:val="0"/>
      <w:marTop w:val="0"/>
      <w:marBottom w:val="0"/>
      <w:divBdr>
        <w:top w:val="none" w:sz="0" w:space="0" w:color="auto"/>
        <w:left w:val="none" w:sz="0" w:space="0" w:color="auto"/>
        <w:bottom w:val="none" w:sz="0" w:space="0" w:color="auto"/>
        <w:right w:val="none" w:sz="0" w:space="0" w:color="auto"/>
      </w:divBdr>
    </w:div>
    <w:div w:id="1417554599">
      <w:marLeft w:val="0"/>
      <w:marRight w:val="0"/>
      <w:marTop w:val="0"/>
      <w:marBottom w:val="0"/>
      <w:divBdr>
        <w:top w:val="none" w:sz="0" w:space="0" w:color="auto"/>
        <w:left w:val="none" w:sz="0" w:space="0" w:color="auto"/>
        <w:bottom w:val="none" w:sz="0" w:space="0" w:color="auto"/>
        <w:right w:val="none" w:sz="0" w:space="0" w:color="auto"/>
      </w:divBdr>
    </w:div>
    <w:div w:id="1587032183">
      <w:marLeft w:val="0"/>
      <w:marRight w:val="0"/>
      <w:marTop w:val="0"/>
      <w:marBottom w:val="0"/>
      <w:divBdr>
        <w:top w:val="none" w:sz="0" w:space="0" w:color="auto"/>
        <w:left w:val="none" w:sz="0" w:space="0" w:color="auto"/>
        <w:bottom w:val="none" w:sz="0" w:space="0" w:color="auto"/>
        <w:right w:val="none" w:sz="0" w:space="0" w:color="auto"/>
      </w:divBdr>
    </w:div>
    <w:div w:id="1604877559">
      <w:marLeft w:val="0"/>
      <w:marRight w:val="0"/>
      <w:marTop w:val="0"/>
      <w:marBottom w:val="0"/>
      <w:divBdr>
        <w:top w:val="none" w:sz="0" w:space="0" w:color="auto"/>
        <w:left w:val="none" w:sz="0" w:space="0" w:color="auto"/>
        <w:bottom w:val="none" w:sz="0" w:space="0" w:color="auto"/>
        <w:right w:val="none" w:sz="0" w:space="0" w:color="auto"/>
      </w:divBdr>
    </w:div>
    <w:div w:id="1768041123">
      <w:marLeft w:val="0"/>
      <w:marRight w:val="0"/>
      <w:marTop w:val="0"/>
      <w:marBottom w:val="0"/>
      <w:divBdr>
        <w:top w:val="none" w:sz="0" w:space="0" w:color="auto"/>
        <w:left w:val="none" w:sz="0" w:space="0" w:color="auto"/>
        <w:bottom w:val="none" w:sz="0" w:space="0" w:color="auto"/>
        <w:right w:val="none" w:sz="0" w:space="0" w:color="auto"/>
      </w:divBdr>
    </w:div>
    <w:div w:id="1768574679">
      <w:marLeft w:val="0"/>
      <w:marRight w:val="0"/>
      <w:marTop w:val="0"/>
      <w:marBottom w:val="0"/>
      <w:divBdr>
        <w:top w:val="none" w:sz="0" w:space="0" w:color="auto"/>
        <w:left w:val="none" w:sz="0" w:space="0" w:color="auto"/>
        <w:bottom w:val="none" w:sz="0" w:space="0" w:color="auto"/>
        <w:right w:val="none" w:sz="0" w:space="0" w:color="auto"/>
      </w:divBdr>
    </w:div>
    <w:div w:id="1868520605">
      <w:marLeft w:val="0"/>
      <w:marRight w:val="0"/>
      <w:marTop w:val="0"/>
      <w:marBottom w:val="0"/>
      <w:divBdr>
        <w:top w:val="none" w:sz="0" w:space="0" w:color="auto"/>
        <w:left w:val="none" w:sz="0" w:space="0" w:color="auto"/>
        <w:bottom w:val="none" w:sz="0" w:space="0" w:color="auto"/>
        <w:right w:val="none" w:sz="0" w:space="0" w:color="auto"/>
      </w:divBdr>
    </w:div>
    <w:div w:id="1962683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2699</Words>
  <Characters>14845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User_Gigabyte</dc:creator>
  <cp:keywords/>
  <dc:description/>
  <cp:lastModifiedBy>User_Gigabyte</cp:lastModifiedBy>
  <cp:revision>2</cp:revision>
  <dcterms:created xsi:type="dcterms:W3CDTF">2017-11-23T20:40:00Z</dcterms:created>
  <dcterms:modified xsi:type="dcterms:W3CDTF">2017-11-23T20:40:00Z</dcterms:modified>
</cp:coreProperties>
</file>